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rsidR="00F04716">
        <w:t>(-20, 30, -30, 1);</w:t>
      </w:r>
      <w:r w:rsidR="00F04716">
        <w:br/>
      </w:r>
      <w:r w:rsidR="00F04716">
        <w:br/>
      </w:r>
      <w:r w:rsidR="00F04716" w:rsidRPr="00F04716">
        <w:rPr>
          <w:color w:val="FF0000"/>
        </w:rPr>
        <w:t>-</w:t>
      </w:r>
      <w:r w:rsidRPr="00F04716">
        <w:rPr>
          <w:color w:val="FF0000"/>
        </w:rPr>
        <w:t>glUseProgram(progLighting);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lastRenderedPageBreak/>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lastRenderedPageBreak/>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rsidR="00A611DD">
        <w:rPr>
          <w:rFonts w:hint="eastAsia"/>
        </w:rPr>
        <w:t>木の描画プログラムを参考にして、</w:t>
      </w:r>
      <w:r>
        <w:t>地面など</w:t>
      </w:r>
      <w:r w:rsidR="00C71154">
        <w:t>の</w:t>
      </w:r>
      <w:r>
        <w:rPr>
          <w:rFonts w:hint="eastAsia"/>
        </w:rPr>
        <w:t>progLighting</w:t>
      </w:r>
      <w:r w:rsidR="00A611DD">
        <w:rPr>
          <w:rFonts w:hint="eastAsia"/>
        </w:rPr>
        <w:t>を使用しているプログラムを</w:t>
      </w:r>
      <w:r>
        <w:rPr>
          <w:rFonts w:hint="eastAsia"/>
        </w:rPr>
        <w:t>p</w:t>
      </w:r>
      <w:r>
        <w:t>rogLighting.Draw</w:t>
      </w:r>
      <w:r w:rsidR="00A611DD">
        <w:t>関数</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lastRenderedPageBreak/>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r>
      <w:r w:rsidRPr="00853079">
        <w:rPr>
          <w:color w:val="FF0000"/>
        </w:rPr>
        <w:lastRenderedPageBreak/>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lastRenderedPageBreak/>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pPr>
        <w:rPr>
          <w:rFonts w:hint="eastAsia"/>
        </w:rPr>
      </w:pPr>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bookmarkStart w:id="0" w:name="_GoBack"/>
      <w:bookmarkEnd w:id="0"/>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BDA" w:rsidRDefault="00A65BDA" w:rsidP="00897DC8">
      <w:pPr>
        <w:spacing w:after="0" w:line="240" w:lineRule="auto"/>
      </w:pPr>
      <w:r>
        <w:separator/>
      </w:r>
    </w:p>
  </w:endnote>
  <w:endnote w:type="continuationSeparator" w:id="0">
    <w:p w:rsidR="00A65BDA" w:rsidRDefault="00A65BD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A41D8">
      <w:rPr>
        <w:b/>
        <w:bCs/>
        <w:noProof/>
      </w:rPr>
      <w:t>31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A41D8">
      <w:rPr>
        <w:b/>
        <w:bCs/>
        <w:noProof/>
      </w:rPr>
      <w:t>32</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BDA" w:rsidRDefault="00A65BDA" w:rsidP="00897DC8">
      <w:pPr>
        <w:spacing w:after="0" w:line="240" w:lineRule="auto"/>
      </w:pPr>
      <w:r>
        <w:separator/>
      </w:r>
    </w:p>
  </w:footnote>
  <w:footnote w:type="continuationSeparator" w:id="0">
    <w:p w:rsidR="00A65BDA" w:rsidRDefault="00A65BD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297C"/>
    <w:rsid w:val="0015304D"/>
    <w:rsid w:val="00155CC7"/>
    <w:rsid w:val="0016224F"/>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4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73BA"/>
    <w:rsid w:val="00995631"/>
    <w:rsid w:val="00997BB4"/>
    <w:rsid w:val="009A1C14"/>
    <w:rsid w:val="009A23A4"/>
    <w:rsid w:val="009A40DC"/>
    <w:rsid w:val="009A53DE"/>
    <w:rsid w:val="009B0037"/>
    <w:rsid w:val="009B293D"/>
    <w:rsid w:val="009B42AA"/>
    <w:rsid w:val="009B4DCE"/>
    <w:rsid w:val="009B4E1D"/>
    <w:rsid w:val="009B788E"/>
    <w:rsid w:val="009C15CE"/>
    <w:rsid w:val="009C292A"/>
    <w:rsid w:val="009C58B4"/>
    <w:rsid w:val="009C66B4"/>
    <w:rsid w:val="009D57C2"/>
    <w:rsid w:val="009D79B3"/>
    <w:rsid w:val="009E083E"/>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1631</TotalTime>
  <Pages>32</Pages>
  <Words>6751</Words>
  <Characters>38485</Characters>
  <Application>Microsoft Office Word</Application>
  <DocSecurity>0</DocSecurity>
  <Lines>320</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161</cp:revision>
  <dcterms:created xsi:type="dcterms:W3CDTF">2018-10-30T02:06:00Z</dcterms:created>
  <dcterms:modified xsi:type="dcterms:W3CDTF">2018-11-11T14:05:00Z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