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18"/>
          <w:szCs w:val="18"/>
        </w:rPr>
        <w:t xml:space="preserve">PWCM / FUNCTION DEFINITION MATRIX / REV B / SHEET 1 OF 2</w:t>
      </w:r>
    </w:p>
    <w:p>
      <w:pPr>
        <w:pBdr>
          <w:bottom w:val="single" w:color="000000" w:sz="8"/>
        </w:pBdr>
        <w:spacing w:after="160"/>
      </w:pPr>
      <w:r>
        <w:rPr>
          <w:rFonts w:ascii="Arial" w:cs="Arial" w:eastAsia="Arial" w:hAnsi="Arial"/>
          <w:sz w:val="16"/>
          <w:szCs w:val="16"/>
        </w:rPr>
        <w:t xml:space="preserve">Front Door Power Window Control Module — condensed engineering sheet</w:t>
      </w:r>
    </w:p>
    <w:p>
      <w:pPr>
        <w:spacing w:after="80"/>
      </w:pPr>
      <w:r>
        <w:rPr>
          <w:rFonts w:ascii="Arial" w:cs="Arial" w:eastAsia="Arial" w:hAnsi="Arial"/>
          <w:b/>
          <w:bCs/>
          <w:sz w:val="18"/>
          <w:szCs w:val="18"/>
        </w:rPr>
        <w:t xml:space="preserve">A. MODE / CONDITION MATRIX</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400"/>
        <w:gridCol w:w="1400"/>
        <w:gridCol w:w="1400"/>
        <w:gridCol w:w="1500"/>
        <w:gridCol w:w="5580"/>
      </w:tblGrid>
      <w:tr>
        <w:trPr>
          <w:tblHeader/>
        </w:trPr>
        <w:tc>
          <w:tcPr>
            <w:tcW w:type="dxa" w:w="900"/>
            <w:shd w:fill="404040" w:color="auto" w:val="clear"/>
            <w:tcMar>
              <w:top w:type="dxa" w:w="50"/>
              <w:left w:type="dxa" w:w="80"/>
              <w:bottom w:type="dxa" w:w="50"/>
              <w:right w:type="dxa" w:w="80"/>
            </w:tcMar>
          </w:tcPr>
          <w:p>
            <w:pPr>
              <w:spacing w:after="0" w:line="220"/>
            </w:pPr>
            <w:r>
              <w:rPr>
                <w:rFonts w:ascii="Arial" w:cs="Arial" w:eastAsia="Arial" w:hAnsi="Arial"/>
                <w:b/>
                <w:bCs/>
                <w:color w:val="FFFFFF"/>
                <w:sz w:val="17"/>
                <w:szCs w:val="17"/>
              </w:rPr>
              <w:t xml:space="preserve">Ref</w:t>
            </w:r>
          </w:p>
        </w:tc>
        <w:tc>
          <w:tcPr>
            <w:tcW w:type="dxa" w:w="1500"/>
            <w:shd w:fill="404040" w:color="auto" w:val="clear"/>
            <w:tcMar>
              <w:top w:type="dxa" w:w="50"/>
              <w:left w:type="dxa" w:w="80"/>
              <w:bottom w:type="dxa" w:w="50"/>
              <w:right w:type="dxa" w:w="80"/>
            </w:tcMar>
          </w:tcPr>
          <w:p>
            <w:pPr>
              <w:spacing w:after="0" w:line="220"/>
            </w:pPr>
            <w:r>
              <w:rPr>
                <w:rFonts w:ascii="Arial" w:cs="Arial" w:eastAsia="Arial" w:hAnsi="Arial"/>
                <w:b/>
                <w:bCs/>
                <w:color w:val="FFFFFF"/>
                <w:sz w:val="17"/>
                <w:szCs w:val="17"/>
              </w:rPr>
              <w:t xml:space="preserve">Mode</w:t>
            </w:r>
          </w:p>
        </w:tc>
        <w:tc>
          <w:tcPr>
            <w:tcW w:type="dxa" w:w="1400"/>
            <w:shd w:fill="404040" w:color="auto" w:val="clear"/>
            <w:tcMar>
              <w:top w:type="dxa" w:w="50"/>
              <w:left w:type="dxa" w:w="80"/>
              <w:bottom w:type="dxa" w:w="50"/>
              <w:right w:type="dxa" w:w="80"/>
            </w:tcMar>
          </w:tcPr>
          <w:p>
            <w:pPr>
              <w:spacing w:after="0" w:line="220"/>
            </w:pPr>
            <w:r>
              <w:rPr>
                <w:rFonts w:ascii="Arial" w:cs="Arial" w:eastAsia="Arial" w:hAnsi="Arial"/>
                <w:b/>
                <w:bCs/>
                <w:color w:val="FFFFFF"/>
                <w:sz w:val="17"/>
                <w:szCs w:val="17"/>
              </w:rPr>
              <w:t xml:space="preserve">Trigger</w:t>
            </w:r>
          </w:p>
        </w:tc>
        <w:tc>
          <w:tcPr>
            <w:tcW w:type="dxa" w:w="1400"/>
            <w:shd w:fill="404040" w:color="auto" w:val="clear"/>
            <w:tcMar>
              <w:top w:type="dxa" w:w="50"/>
              <w:left w:type="dxa" w:w="80"/>
              <w:bottom w:type="dxa" w:w="50"/>
              <w:right w:type="dxa" w:w="80"/>
            </w:tcMar>
          </w:tcPr>
          <w:p>
            <w:pPr>
              <w:spacing w:after="0" w:line="220"/>
            </w:pPr>
            <w:r>
              <w:rPr>
                <w:rFonts w:ascii="Arial" w:cs="Arial" w:eastAsia="Arial" w:hAnsi="Arial"/>
                <w:b/>
                <w:bCs/>
                <w:color w:val="FFFFFF"/>
                <w:sz w:val="17"/>
                <w:szCs w:val="17"/>
              </w:rPr>
              <w:t xml:space="preserve">Ends on</w:t>
            </w:r>
          </w:p>
        </w:tc>
        <w:tc>
          <w:tcPr>
            <w:tcW w:type="dxa" w:w="1400"/>
            <w:shd w:fill="404040" w:color="auto" w:val="clear"/>
            <w:tcMar>
              <w:top w:type="dxa" w:w="50"/>
              <w:left w:type="dxa" w:w="80"/>
              <w:bottom w:type="dxa" w:w="50"/>
              <w:right w:type="dxa" w:w="80"/>
            </w:tcMar>
          </w:tcPr>
          <w:p>
            <w:pPr>
              <w:spacing w:after="0" w:line="220"/>
            </w:pPr>
            <w:r>
              <w:rPr>
                <w:rFonts w:ascii="Arial" w:cs="Arial" w:eastAsia="Arial" w:hAnsi="Arial"/>
                <w:b/>
                <w:bCs/>
                <w:color w:val="FFFFFF"/>
                <w:sz w:val="17"/>
                <w:szCs w:val="17"/>
              </w:rPr>
              <w:t xml:space="preserve">Express?</w:t>
            </w:r>
          </w:p>
        </w:tc>
        <w:tc>
          <w:tcPr>
            <w:tcW w:type="dxa" w:w="1500"/>
            <w:shd w:fill="404040" w:color="auto" w:val="clear"/>
            <w:tcMar>
              <w:top w:type="dxa" w:w="50"/>
              <w:left w:type="dxa" w:w="80"/>
              <w:bottom w:type="dxa" w:w="50"/>
              <w:right w:type="dxa" w:w="80"/>
            </w:tcMar>
          </w:tcPr>
          <w:p>
            <w:pPr>
              <w:spacing w:after="0" w:line="220"/>
            </w:pPr>
            <w:r>
              <w:rPr>
                <w:rFonts w:ascii="Arial" w:cs="Arial" w:eastAsia="Arial" w:hAnsi="Arial"/>
                <w:b/>
                <w:bCs/>
                <w:color w:val="FFFFFF"/>
                <w:sz w:val="17"/>
                <w:szCs w:val="17"/>
              </w:rPr>
              <w:t xml:space="preserve">Lockout affected?</w:t>
            </w:r>
          </w:p>
        </w:tc>
        <w:tc>
          <w:tcPr>
            <w:tcW w:type="dxa" w:w="5580"/>
            <w:shd w:fill="404040" w:color="auto" w:val="clear"/>
            <w:tcMar>
              <w:top w:type="dxa" w:w="50"/>
              <w:left w:type="dxa" w:w="80"/>
              <w:bottom w:type="dxa" w:w="50"/>
              <w:right w:type="dxa" w:w="80"/>
            </w:tcMar>
          </w:tcPr>
          <w:p>
            <w:pPr>
              <w:spacing w:after="0" w:line="220"/>
            </w:pPr>
            <w:r>
              <w:rPr>
                <w:rFonts w:ascii="Arial" w:cs="Arial" w:eastAsia="Arial" w:hAnsi="Arial"/>
                <w:b/>
                <w:bCs/>
                <w:color w:val="FFFFFF"/>
                <w:sz w:val="17"/>
                <w:szCs w:val="17"/>
              </w:rPr>
              <w:t xml:space="preserve">Notes</w:t>
            </w:r>
          </w:p>
        </w:tc>
      </w:tr>
      <w:tr>
        <w:tc>
          <w:tcPr>
            <w:tcW w:type="dxa" w:w="9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A-01</w:t>
            </w:r>
          </w:p>
        </w:tc>
        <w:tc>
          <w:tcPr>
            <w:tcW w:type="dxa" w:w="15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Manual up</w:t>
            </w:r>
          </w:p>
        </w:tc>
        <w:tc>
          <w:tcPr>
            <w:tcW w:type="dxa" w:w="14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SW_UP_D1 held</w:t>
            </w:r>
          </w:p>
        </w:tc>
        <w:tc>
          <w:tcPr>
            <w:tcW w:type="dxa" w:w="14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Switch release / end stop</w:t>
            </w:r>
          </w:p>
        </w:tc>
        <w:tc>
          <w:tcPr>
            <w:tcW w:type="dxa" w:w="14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No</w:t>
            </w:r>
          </w:p>
        </w:tc>
        <w:tc>
          <w:tcPr>
            <w:tcW w:type="dxa" w:w="15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Yes (non-driver)</w:t>
            </w:r>
          </w:p>
        </w:tc>
        <w:tc>
          <w:tcPr>
            <w:tcW w:type="dxa" w:w="558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Continues only while held. Occupant is deemed to be supervising the movement.</w:t>
            </w:r>
          </w:p>
        </w:tc>
      </w:tr>
      <w:tr>
        <w:tc>
          <w:tcPr>
            <w:tcW w:type="dxa" w:w="9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A-02</w:t>
            </w:r>
          </w:p>
        </w:tc>
        <w:tc>
          <w:tcPr>
            <w:tcW w:type="dxa" w:w="15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Manual down</w:t>
            </w:r>
          </w:p>
        </w:tc>
        <w:tc>
          <w:tcPr>
            <w:tcW w:type="dxa" w:w="14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SW_DN_D1 held</w:t>
            </w:r>
          </w:p>
        </w:tc>
        <w:tc>
          <w:tcPr>
            <w:tcW w:type="dxa" w:w="14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Switch release / end stop</w:t>
            </w:r>
          </w:p>
        </w:tc>
        <w:tc>
          <w:tcPr>
            <w:tcW w:type="dxa" w:w="14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No</w:t>
            </w:r>
          </w:p>
        </w:tc>
        <w:tc>
          <w:tcPr>
            <w:tcW w:type="dxa" w:w="15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Yes (non-driver)</w:t>
            </w:r>
          </w:p>
        </w:tc>
        <w:tc>
          <w:tcPr>
            <w:tcW w:type="dxa" w:w="558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As A-01, opening direction.</w:t>
            </w:r>
          </w:p>
        </w:tc>
      </w:tr>
      <w:tr>
        <w:tc>
          <w:tcPr>
            <w:tcW w:type="dxa" w:w="9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A-03</w:t>
            </w:r>
          </w:p>
        </w:tc>
        <w:tc>
          <w:tcPr>
            <w:tcW w:type="dxa" w:w="15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Express up</w:t>
            </w:r>
          </w:p>
        </w:tc>
        <w:tc>
          <w:tcPr>
            <w:tcW w:type="dxa" w:w="14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SW_UP_D2</w:t>
            </w:r>
          </w:p>
        </w:tc>
        <w:tc>
          <w:tcPr>
            <w:tcW w:type="dxa" w:w="14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End stop / obstruction / interrupt</w:t>
            </w:r>
          </w:p>
        </w:tc>
        <w:tc>
          <w:tcPr>
            <w:tcW w:type="dxa" w:w="14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Yes</w:t>
            </w:r>
          </w:p>
        </w:tc>
        <w:tc>
          <w:tcPr>
            <w:tcW w:type="dxa" w:w="15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Yes (non-driver)</w:t>
            </w:r>
          </w:p>
        </w:tc>
        <w:tc>
          <w:tcPr>
            <w:tcW w:type="dxa" w:w="558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Driver door only. Requires valid normalisation record. Unsupervised — obstruction detection mandatory.</w:t>
            </w:r>
          </w:p>
        </w:tc>
      </w:tr>
      <w:tr>
        <w:tc>
          <w:tcPr>
            <w:tcW w:type="dxa" w:w="9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A-04</w:t>
            </w:r>
          </w:p>
        </w:tc>
        <w:tc>
          <w:tcPr>
            <w:tcW w:type="dxa" w:w="15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Express down</w:t>
            </w:r>
          </w:p>
        </w:tc>
        <w:tc>
          <w:tcPr>
            <w:tcW w:type="dxa" w:w="14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SW_DN_D2</w:t>
            </w:r>
          </w:p>
        </w:tc>
        <w:tc>
          <w:tcPr>
            <w:tcW w:type="dxa" w:w="14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End stop / interrupt</w:t>
            </w:r>
          </w:p>
        </w:tc>
        <w:tc>
          <w:tcPr>
            <w:tcW w:type="dxa" w:w="14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Yes</w:t>
            </w:r>
          </w:p>
        </w:tc>
        <w:tc>
          <w:tcPr>
            <w:tcW w:type="dxa" w:w="15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Yes (non-driver)</w:t>
            </w:r>
          </w:p>
        </w:tc>
        <w:tc>
          <w:tcPr>
            <w:tcW w:type="dxa" w:w="558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Both front doors.</w:t>
            </w:r>
          </w:p>
        </w:tc>
      </w:tr>
      <w:tr>
        <w:tc>
          <w:tcPr>
            <w:tcW w:type="dxa" w:w="9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A-05</w:t>
            </w:r>
          </w:p>
        </w:tc>
        <w:tc>
          <w:tcPr>
            <w:tcW w:type="dxa" w:w="15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Remote close</w:t>
            </w:r>
          </w:p>
        </w:tc>
        <w:tc>
          <w:tcPr>
            <w:tcW w:type="dxa" w:w="14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CAN_WIN_REQ</w:t>
            </w:r>
          </w:p>
        </w:tc>
        <w:tc>
          <w:tcPr>
            <w:tcW w:type="dxa" w:w="14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End stop / obstruction</w:t>
            </w:r>
          </w:p>
        </w:tc>
        <w:tc>
          <w:tcPr>
            <w:tcW w:type="dxa" w:w="14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Yes</w:t>
            </w:r>
          </w:p>
        </w:tc>
        <w:tc>
          <w:tcPr>
            <w:tcW w:type="dxa" w:w="15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No</w:t>
            </w:r>
          </w:p>
        </w:tc>
        <w:tc>
          <w:tcPr>
            <w:tcW w:type="dxa" w:w="558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Issued by BDC. Treated as unsupervised.</w:t>
            </w:r>
          </w:p>
        </w:tc>
      </w:tr>
      <w:tr>
        <w:tc>
          <w:tcPr>
            <w:tcW w:type="dxa" w:w="9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A-06</w:t>
            </w:r>
          </w:p>
        </w:tc>
        <w:tc>
          <w:tcPr>
            <w:tcW w:type="dxa" w:w="15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Reversal</w:t>
            </w:r>
          </w:p>
        </w:tc>
        <w:tc>
          <w:tcPr>
            <w:tcW w:type="dxa" w:w="14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Obstruction detected</w:t>
            </w:r>
          </w:p>
        </w:tc>
        <w:tc>
          <w:tcPr>
            <w:tcW w:type="dxa" w:w="14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≥300 mm travelled / fully open</w:t>
            </w:r>
          </w:p>
        </w:tc>
        <w:tc>
          <w:tcPr>
            <w:tcW w:type="dxa" w:w="14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n/a</w:t>
            </w:r>
          </w:p>
        </w:tc>
        <w:tc>
          <w:tcPr>
            <w:tcW w:type="dxa" w:w="15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No</w:t>
            </w:r>
          </w:p>
        </w:tc>
        <w:tc>
          <w:tcPr>
            <w:tcW w:type="dxa" w:w="558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Not interruptible. Overrides any pending request.</w:t>
            </w:r>
          </w:p>
        </w:tc>
      </w:tr>
    </w:tbl>
    <w:p>
      <w:pPr>
        <w:spacing w:after="100"/>
      </w:pPr>
      <w:r>
        <w:rPr>
          <w:rFonts w:ascii="Arial" w:cs="Arial" w:eastAsia="Arial" w:hAnsi="Arial"/>
          <w:sz w:val="17"/>
          <w:szCs w:val="17"/>
        </w:rPr>
        <w:t xml:space="preserve"/>
      </w:r>
    </w:p>
    <w:p>
      <w:pPr>
        <w:spacing w:after="80"/>
      </w:pPr>
      <w:r>
        <w:rPr>
          <w:rFonts w:ascii="Arial" w:cs="Arial" w:eastAsia="Arial" w:hAnsi="Arial"/>
          <w:b/>
          <w:bCs/>
          <w:sz w:val="18"/>
          <w:szCs w:val="18"/>
        </w:rPr>
        <w:t xml:space="preserve">B. PARAMETER SET (READ ACROSS BOTH HALVES)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1100"/>
        <w:gridCol w:w="2340"/>
        <w:gridCol w:w="700"/>
        <w:gridCol w:w="2700"/>
        <w:gridCol w:w="1100"/>
        <w:gridCol w:w="2340"/>
      </w:tblGrid>
      <w:tr>
        <w:trPr>
          <w:tblHeader/>
        </w:trPr>
        <w:tc>
          <w:tcPr>
            <w:tcW w:type="dxa" w:w="700"/>
            <w:shd w:fill="404040" w:color="auto" w:val="clear"/>
            <w:tcMar>
              <w:top w:type="dxa" w:w="50"/>
              <w:left w:type="dxa" w:w="80"/>
              <w:bottom w:type="dxa" w:w="50"/>
              <w:right w:type="dxa" w:w="80"/>
            </w:tcMar>
          </w:tcPr>
          <w:p>
            <w:pPr>
              <w:spacing w:after="0" w:line="220"/>
            </w:pPr>
            <w:r>
              <w:rPr>
                <w:rFonts w:ascii="Arial" w:cs="Arial" w:eastAsia="Arial" w:hAnsi="Arial"/>
                <w:b/>
                <w:bCs/>
                <w:color w:val="FFFFFF"/>
                <w:sz w:val="17"/>
                <w:szCs w:val="17"/>
              </w:rPr>
              <w:t xml:space="preserve">ID</w:t>
            </w:r>
          </w:p>
        </w:tc>
        <w:tc>
          <w:tcPr>
            <w:tcW w:type="dxa" w:w="2700"/>
            <w:shd w:fill="404040" w:color="auto" w:val="clear"/>
            <w:tcMar>
              <w:top w:type="dxa" w:w="50"/>
              <w:left w:type="dxa" w:w="80"/>
              <w:bottom w:type="dxa" w:w="50"/>
              <w:right w:type="dxa" w:w="80"/>
            </w:tcMar>
          </w:tcPr>
          <w:p>
            <w:pPr>
              <w:spacing w:after="0" w:line="220"/>
            </w:pPr>
            <w:r>
              <w:rPr>
                <w:rFonts w:ascii="Arial" w:cs="Arial" w:eastAsia="Arial" w:hAnsi="Arial"/>
                <w:b/>
                <w:bCs/>
                <w:color w:val="FFFFFF"/>
                <w:sz w:val="17"/>
                <w:szCs w:val="17"/>
              </w:rPr>
              <w:t xml:space="preserve">Parameter</w:t>
            </w:r>
          </w:p>
        </w:tc>
        <w:tc>
          <w:tcPr>
            <w:tcW w:type="dxa" w:w="1100"/>
            <w:shd w:fill="404040" w:color="auto" w:val="clear"/>
            <w:tcMar>
              <w:top w:type="dxa" w:w="50"/>
              <w:left w:type="dxa" w:w="80"/>
              <w:bottom w:type="dxa" w:w="50"/>
              <w:right w:type="dxa" w:w="80"/>
            </w:tcMar>
          </w:tcPr>
          <w:p>
            <w:pPr>
              <w:spacing w:after="0" w:line="220"/>
            </w:pPr>
            <w:r>
              <w:rPr>
                <w:rFonts w:ascii="Arial" w:cs="Arial" w:eastAsia="Arial" w:hAnsi="Arial"/>
                <w:b/>
                <w:bCs/>
                <w:color w:val="FFFFFF"/>
                <w:sz w:val="17"/>
                <w:szCs w:val="17"/>
              </w:rPr>
              <w:t xml:space="preserve">Value</w:t>
            </w:r>
          </w:p>
        </w:tc>
        <w:tc>
          <w:tcPr>
            <w:tcW w:type="dxa" w:w="2340"/>
            <w:shd w:fill="404040" w:color="auto" w:val="clear"/>
            <w:tcMar>
              <w:top w:type="dxa" w:w="50"/>
              <w:left w:type="dxa" w:w="80"/>
              <w:bottom w:type="dxa" w:w="50"/>
              <w:right w:type="dxa" w:w="80"/>
            </w:tcMar>
          </w:tcPr>
          <w:p>
            <w:pPr>
              <w:spacing w:after="0" w:line="220"/>
            </w:pPr>
            <w:r>
              <w:rPr>
                <w:rFonts w:ascii="Arial" w:cs="Arial" w:eastAsia="Arial" w:hAnsi="Arial"/>
                <w:b/>
                <w:bCs/>
                <w:color w:val="FFFFFF"/>
                <w:sz w:val="17"/>
                <w:szCs w:val="17"/>
              </w:rPr>
              <w:t xml:space="preserve">Note</w:t>
            </w:r>
          </w:p>
        </w:tc>
        <w:tc>
          <w:tcPr>
            <w:tcW w:type="dxa" w:w="700"/>
            <w:shd w:fill="404040" w:color="auto" w:val="clear"/>
            <w:tcMar>
              <w:top w:type="dxa" w:w="50"/>
              <w:left w:type="dxa" w:w="80"/>
              <w:bottom w:type="dxa" w:w="50"/>
              <w:right w:type="dxa" w:w="80"/>
            </w:tcMar>
          </w:tcPr>
          <w:p>
            <w:pPr>
              <w:spacing w:after="0" w:line="220"/>
            </w:pPr>
            <w:r>
              <w:rPr>
                <w:rFonts w:ascii="Arial" w:cs="Arial" w:eastAsia="Arial" w:hAnsi="Arial"/>
                <w:b/>
                <w:bCs/>
                <w:color w:val="FFFFFF"/>
                <w:sz w:val="17"/>
                <w:szCs w:val="17"/>
              </w:rPr>
              <w:t xml:space="preserve">ID</w:t>
            </w:r>
          </w:p>
        </w:tc>
        <w:tc>
          <w:tcPr>
            <w:tcW w:type="dxa" w:w="2700"/>
            <w:shd w:fill="404040" w:color="auto" w:val="clear"/>
            <w:tcMar>
              <w:top w:type="dxa" w:w="50"/>
              <w:left w:type="dxa" w:w="80"/>
              <w:bottom w:type="dxa" w:w="50"/>
              <w:right w:type="dxa" w:w="80"/>
            </w:tcMar>
          </w:tcPr>
          <w:p>
            <w:pPr>
              <w:spacing w:after="0" w:line="220"/>
            </w:pPr>
            <w:r>
              <w:rPr>
                <w:rFonts w:ascii="Arial" w:cs="Arial" w:eastAsia="Arial" w:hAnsi="Arial"/>
                <w:b/>
                <w:bCs/>
                <w:color w:val="FFFFFF"/>
                <w:sz w:val="17"/>
                <w:szCs w:val="17"/>
              </w:rPr>
              <w:t xml:space="preserve">Parameter</w:t>
            </w:r>
          </w:p>
        </w:tc>
        <w:tc>
          <w:tcPr>
            <w:tcW w:type="dxa" w:w="1100"/>
            <w:shd w:fill="404040" w:color="auto" w:val="clear"/>
            <w:tcMar>
              <w:top w:type="dxa" w:w="50"/>
              <w:left w:type="dxa" w:w="80"/>
              <w:bottom w:type="dxa" w:w="50"/>
              <w:right w:type="dxa" w:w="80"/>
            </w:tcMar>
          </w:tcPr>
          <w:p>
            <w:pPr>
              <w:spacing w:after="0" w:line="220"/>
            </w:pPr>
            <w:r>
              <w:rPr>
                <w:rFonts w:ascii="Arial" w:cs="Arial" w:eastAsia="Arial" w:hAnsi="Arial"/>
                <w:b/>
                <w:bCs/>
                <w:color w:val="FFFFFF"/>
                <w:sz w:val="17"/>
                <w:szCs w:val="17"/>
              </w:rPr>
              <w:t xml:space="preserve">Value</w:t>
            </w:r>
          </w:p>
        </w:tc>
        <w:tc>
          <w:tcPr>
            <w:tcW w:type="dxa" w:w="2340"/>
            <w:shd w:fill="404040" w:color="auto" w:val="clear"/>
            <w:tcMar>
              <w:top w:type="dxa" w:w="50"/>
              <w:left w:type="dxa" w:w="80"/>
              <w:bottom w:type="dxa" w:w="50"/>
              <w:right w:type="dxa" w:w="80"/>
            </w:tcMar>
          </w:tcPr>
          <w:p>
            <w:pPr>
              <w:spacing w:after="0" w:line="220"/>
            </w:pPr>
            <w:r>
              <w:rPr>
                <w:rFonts w:ascii="Arial" w:cs="Arial" w:eastAsia="Arial" w:hAnsi="Arial"/>
                <w:b/>
                <w:bCs/>
                <w:color w:val="FFFFFF"/>
                <w:sz w:val="17"/>
                <w:szCs w:val="17"/>
              </w:rPr>
              <w:t xml:space="preserve">Note</w:t>
            </w:r>
          </w:p>
        </w:tc>
      </w:tr>
      <w:tr>
        <w:tc>
          <w:tcPr>
            <w:tcW w:type="dxa" w:w="7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P-01</w:t>
            </w:r>
          </w:p>
        </w:tc>
        <w:tc>
          <w:tcPr>
            <w:tcW w:type="dxa" w:w="27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Max squeezing force</w:t>
            </w:r>
          </w:p>
        </w:tc>
        <w:tc>
          <w:tcPr>
            <w:tcW w:type="dxa" w:w="11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100 N</w:t>
            </w:r>
          </w:p>
        </w:tc>
        <w:tc>
          <w:tcPr>
            <w:tcW w:type="dxa" w:w="234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Detection zone only</w:t>
            </w:r>
          </w:p>
        </w:tc>
        <w:tc>
          <w:tcPr>
            <w:tcW w:type="dxa" w:w="7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P-07</w:t>
            </w:r>
          </w:p>
        </w:tc>
        <w:tc>
          <w:tcPr>
            <w:tcW w:type="dxa" w:w="27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Travel time express up</w:t>
            </w:r>
          </w:p>
        </w:tc>
        <w:tc>
          <w:tcPr>
            <w:tcW w:type="dxa" w:w="11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1.7 s</w:t>
            </w:r>
          </w:p>
        </w:tc>
        <w:tc>
          <w:tcPr>
            <w:tcW w:type="dxa" w:w="234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±0.2 s @13.5V/23°C</w:t>
            </w:r>
          </w:p>
        </w:tc>
      </w:tr>
      <w:tr>
        <w:tc>
          <w:tcPr>
            <w:tcW w:type="dxa" w:w="7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P-02</w:t>
            </w:r>
          </w:p>
        </w:tc>
        <w:tc>
          <w:tcPr>
            <w:tcW w:type="dxa" w:w="27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Detection zone lower</w:t>
            </w:r>
          </w:p>
        </w:tc>
        <w:tc>
          <w:tcPr>
            <w:tcW w:type="dxa" w:w="11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4 mm</w:t>
            </w:r>
          </w:p>
        </w:tc>
        <w:tc>
          <w:tcPr>
            <w:tcW w:type="dxa" w:w="234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From mating structure</w:t>
            </w:r>
          </w:p>
        </w:tc>
        <w:tc>
          <w:tcPr>
            <w:tcW w:type="dxa" w:w="7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P-08</w:t>
            </w:r>
          </w:p>
        </w:tc>
        <w:tc>
          <w:tcPr>
            <w:tcW w:type="dxa" w:w="27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Operating voltage</w:t>
            </w:r>
          </w:p>
        </w:tc>
        <w:tc>
          <w:tcPr>
            <w:tcW w:type="dxa" w:w="11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9.0–16.0 V</w:t>
            </w:r>
          </w:p>
        </w:tc>
        <w:tc>
          <w:tcPr>
            <w:tcW w:type="dxa" w:w="234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Full function</w:t>
            </w:r>
          </w:p>
        </w:tc>
      </w:tr>
      <w:tr>
        <w:tc>
          <w:tcPr>
            <w:tcW w:type="dxa" w:w="7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P-03</w:t>
            </w:r>
          </w:p>
        </w:tc>
        <w:tc>
          <w:tcPr>
            <w:tcW w:type="dxa" w:w="27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Detection zone upper</w:t>
            </w:r>
          </w:p>
        </w:tc>
        <w:tc>
          <w:tcPr>
            <w:tcW w:type="dxa" w:w="11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200 mm</w:t>
            </w:r>
          </w:p>
        </w:tc>
        <w:tc>
          <w:tcPr>
            <w:tcW w:type="dxa" w:w="234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From mating structure</w:t>
            </w:r>
          </w:p>
        </w:tc>
        <w:tc>
          <w:tcPr>
            <w:tcW w:type="dxa" w:w="7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P-09</w:t>
            </w:r>
          </w:p>
        </w:tc>
        <w:tc>
          <w:tcPr>
            <w:tcW w:type="dxa" w:w="27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Degraded voltage</w:t>
            </w:r>
          </w:p>
        </w:tc>
        <w:tc>
          <w:tcPr>
            <w:tcW w:type="dxa" w:w="11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6.5–9.0 V</w:t>
            </w:r>
          </w:p>
        </w:tc>
        <w:tc>
          <w:tcPr>
            <w:tcW w:type="dxa" w:w="234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Manual only</w:t>
            </w:r>
          </w:p>
        </w:tc>
      </w:tr>
      <w:tr>
        <w:tc>
          <w:tcPr>
            <w:tcW w:type="dxa" w:w="7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P-04</w:t>
            </w:r>
          </w:p>
        </w:tc>
        <w:tc>
          <w:tcPr>
            <w:tcW w:type="dxa" w:w="27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Halt time on detect</w:t>
            </w:r>
          </w:p>
        </w:tc>
        <w:tc>
          <w:tcPr>
            <w:tcW w:type="dxa" w:w="11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100 ms</w:t>
            </w:r>
          </w:p>
        </w:tc>
        <w:tc>
          <w:tcPr>
            <w:tcW w:type="dxa" w:w="234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Maximum</w:t>
            </w:r>
          </w:p>
        </w:tc>
        <w:tc>
          <w:tcPr>
            <w:tcW w:type="dxa" w:w="7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P-10</w:t>
            </w:r>
          </w:p>
        </w:tc>
        <w:tc>
          <w:tcPr>
            <w:tcW w:type="dxa" w:w="27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Operating temp</w:t>
            </w:r>
          </w:p>
        </w:tc>
        <w:tc>
          <w:tcPr>
            <w:tcW w:type="dxa" w:w="11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−40…+85 °C</w:t>
            </w:r>
          </w:p>
        </w:tc>
        <w:tc>
          <w:tcPr>
            <w:tcW w:type="dxa" w:w="234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Substrate</w:t>
            </w:r>
          </w:p>
        </w:tc>
      </w:tr>
      <w:tr>
        <w:tc>
          <w:tcPr>
            <w:tcW w:type="dxa" w:w="7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P-05</w:t>
            </w:r>
          </w:p>
        </w:tc>
        <w:tc>
          <w:tcPr>
            <w:tcW w:type="dxa" w:w="27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Reversal travel</w:t>
            </w:r>
          </w:p>
        </w:tc>
        <w:tc>
          <w:tcPr>
            <w:tcW w:type="dxa" w:w="11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≥300 mm</w:t>
            </w:r>
          </w:p>
        </w:tc>
        <w:tc>
          <w:tcPr>
            <w:tcW w:type="dxa" w:w="234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Or fully open</w:t>
            </w:r>
          </w:p>
        </w:tc>
        <w:tc>
          <w:tcPr>
            <w:tcW w:type="dxa" w:w="7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P-11</w:t>
            </w:r>
          </w:p>
        </w:tc>
        <w:tc>
          <w:tcPr>
            <w:tcW w:type="dxa" w:w="27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Cycles before derate</w:t>
            </w:r>
          </w:p>
        </w:tc>
        <w:tc>
          <w:tcPr>
            <w:tcW w:type="dxa" w:w="11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12</w:t>
            </w:r>
          </w:p>
        </w:tc>
        <w:tc>
          <w:tcPr>
            <w:tcW w:type="dxa" w:w="234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Consecutive full travel</w:t>
            </w:r>
          </w:p>
        </w:tc>
      </w:tr>
      <w:tr>
        <w:tc>
          <w:tcPr>
            <w:tcW w:type="dxa" w:w="7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P-06</w:t>
            </w:r>
          </w:p>
        </w:tc>
        <w:tc>
          <w:tcPr>
            <w:tcW w:type="dxa" w:w="27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Travel time express down</w:t>
            </w:r>
          </w:p>
        </w:tc>
        <w:tc>
          <w:tcPr>
            <w:tcW w:type="dxa" w:w="11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1.4 s</w:t>
            </w:r>
          </w:p>
        </w:tc>
        <w:tc>
          <w:tcPr>
            <w:tcW w:type="dxa" w:w="234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±0.2 s @13.5V/23°C</w:t>
            </w:r>
          </w:p>
        </w:tc>
        <w:tc>
          <w:tcPr>
            <w:tcW w:type="dxa" w:w="7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P-12</w:t>
            </w:r>
          </w:p>
        </w:tc>
        <w:tc>
          <w:tcPr>
            <w:tcW w:type="dxa" w:w="27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Switch service after IGN off</w:t>
            </w:r>
          </w:p>
        </w:tc>
        <w:tc>
          <w:tcPr>
            <w:tcW w:type="dxa" w:w="11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TBD</w:t>
            </w:r>
          </w:p>
        </w:tc>
        <w:tc>
          <w:tcPr>
            <w:tcW w:type="dxa" w:w="234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Target 10 min</w:t>
            </w:r>
          </w:p>
        </w:tc>
      </w:tr>
    </w:tbl>
    <w:p>
      <w:pPr>
        <w:spacing w:after="100"/>
      </w:pPr>
      <w:r>
        <w:rPr>
          <w:rFonts w:ascii="Arial" w:cs="Arial" w:eastAsia="Arial" w:hAnsi="Arial"/>
          <w:sz w:val="17"/>
          <w:szCs w:val="17"/>
        </w:rPr>
        <w:t xml:space="preserve"/>
      </w:r>
    </w:p>
    <w:p>
      <w:pPr>
        <w:spacing w:after="80"/>
      </w:pPr>
      <w:r>
        <w:rPr>
          <w:rFonts w:ascii="Arial" w:cs="Arial" w:eastAsia="Arial" w:hAnsi="Arial"/>
          <w:b/>
          <w:bCs/>
          <w:sz w:val="18"/>
          <w:szCs w:val="18"/>
        </w:rPr>
        <w:t xml:space="preserve">C. SIGNAL LIST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200"/>
        <w:gridCol w:w="3040"/>
        <w:gridCol w:w="1700"/>
        <w:gridCol w:w="900"/>
        <w:gridCol w:w="1200"/>
        <w:gridCol w:w="3040"/>
      </w:tblGrid>
      <w:tr>
        <w:trPr>
          <w:tblHeader/>
        </w:trPr>
        <w:tc>
          <w:tcPr>
            <w:tcW w:type="dxa" w:w="1700"/>
            <w:shd w:fill="404040" w:color="auto" w:val="clear"/>
            <w:tcMar>
              <w:top w:type="dxa" w:w="50"/>
              <w:left w:type="dxa" w:w="80"/>
              <w:bottom w:type="dxa" w:w="50"/>
              <w:right w:type="dxa" w:w="80"/>
            </w:tcMar>
          </w:tcPr>
          <w:p>
            <w:pPr>
              <w:spacing w:after="0" w:line="220"/>
            </w:pPr>
            <w:r>
              <w:rPr>
                <w:rFonts w:ascii="Arial" w:cs="Arial" w:eastAsia="Arial" w:hAnsi="Arial"/>
                <w:b/>
                <w:bCs/>
                <w:color w:val="FFFFFF"/>
                <w:sz w:val="17"/>
                <w:szCs w:val="17"/>
              </w:rPr>
              <w:t xml:space="preserve">Signal</w:t>
            </w:r>
          </w:p>
        </w:tc>
        <w:tc>
          <w:tcPr>
            <w:tcW w:type="dxa" w:w="900"/>
            <w:shd w:fill="404040" w:color="auto" w:val="clear"/>
            <w:tcMar>
              <w:top w:type="dxa" w:w="50"/>
              <w:left w:type="dxa" w:w="80"/>
              <w:bottom w:type="dxa" w:w="50"/>
              <w:right w:type="dxa" w:w="80"/>
            </w:tcMar>
          </w:tcPr>
          <w:p>
            <w:pPr>
              <w:spacing w:after="0" w:line="220"/>
            </w:pPr>
            <w:r>
              <w:rPr>
                <w:rFonts w:ascii="Arial" w:cs="Arial" w:eastAsia="Arial" w:hAnsi="Arial"/>
                <w:b/>
                <w:bCs/>
                <w:color w:val="FFFFFF"/>
                <w:sz w:val="17"/>
                <w:szCs w:val="17"/>
              </w:rPr>
              <w:t xml:space="preserve">Dir</w:t>
            </w:r>
          </w:p>
        </w:tc>
        <w:tc>
          <w:tcPr>
            <w:tcW w:type="dxa" w:w="1200"/>
            <w:shd w:fill="404040" w:color="auto" w:val="clear"/>
            <w:tcMar>
              <w:top w:type="dxa" w:w="50"/>
              <w:left w:type="dxa" w:w="80"/>
              <w:bottom w:type="dxa" w:w="50"/>
              <w:right w:type="dxa" w:w="80"/>
            </w:tcMar>
          </w:tcPr>
          <w:p>
            <w:pPr>
              <w:spacing w:after="0" w:line="220"/>
            </w:pPr>
            <w:r>
              <w:rPr>
                <w:rFonts w:ascii="Arial" w:cs="Arial" w:eastAsia="Arial" w:hAnsi="Arial"/>
                <w:b/>
                <w:bCs/>
                <w:color w:val="FFFFFF"/>
                <w:sz w:val="17"/>
                <w:szCs w:val="17"/>
              </w:rPr>
              <w:t xml:space="preserve">Type</w:t>
            </w:r>
          </w:p>
        </w:tc>
        <w:tc>
          <w:tcPr>
            <w:tcW w:type="dxa" w:w="3040"/>
            <w:shd w:fill="404040" w:color="auto" w:val="clear"/>
            <w:tcMar>
              <w:top w:type="dxa" w:w="50"/>
              <w:left w:type="dxa" w:w="80"/>
              <w:bottom w:type="dxa" w:w="50"/>
              <w:right w:type="dxa" w:w="80"/>
            </w:tcMar>
          </w:tcPr>
          <w:p>
            <w:pPr>
              <w:spacing w:after="0" w:line="220"/>
            </w:pPr>
            <w:r>
              <w:rPr>
                <w:rFonts w:ascii="Arial" w:cs="Arial" w:eastAsia="Arial" w:hAnsi="Arial"/>
                <w:b/>
                <w:bCs/>
                <w:color w:val="FFFFFF"/>
                <w:sz w:val="17"/>
                <w:szCs w:val="17"/>
              </w:rPr>
              <w:t xml:space="preserve">Description</w:t>
            </w:r>
          </w:p>
        </w:tc>
        <w:tc>
          <w:tcPr>
            <w:tcW w:type="dxa" w:w="1700"/>
            <w:shd w:fill="404040" w:color="auto" w:val="clear"/>
            <w:tcMar>
              <w:top w:type="dxa" w:w="50"/>
              <w:left w:type="dxa" w:w="80"/>
              <w:bottom w:type="dxa" w:w="50"/>
              <w:right w:type="dxa" w:w="80"/>
            </w:tcMar>
          </w:tcPr>
          <w:p>
            <w:pPr>
              <w:spacing w:after="0" w:line="220"/>
            </w:pPr>
            <w:r>
              <w:rPr>
                <w:rFonts w:ascii="Arial" w:cs="Arial" w:eastAsia="Arial" w:hAnsi="Arial"/>
                <w:b/>
                <w:bCs/>
                <w:color w:val="FFFFFF"/>
                <w:sz w:val="17"/>
                <w:szCs w:val="17"/>
              </w:rPr>
              <w:t xml:space="preserve">Signal</w:t>
            </w:r>
          </w:p>
        </w:tc>
        <w:tc>
          <w:tcPr>
            <w:tcW w:type="dxa" w:w="900"/>
            <w:shd w:fill="404040" w:color="auto" w:val="clear"/>
            <w:tcMar>
              <w:top w:type="dxa" w:w="50"/>
              <w:left w:type="dxa" w:w="80"/>
              <w:bottom w:type="dxa" w:w="50"/>
              <w:right w:type="dxa" w:w="80"/>
            </w:tcMar>
          </w:tcPr>
          <w:p>
            <w:pPr>
              <w:spacing w:after="0" w:line="220"/>
            </w:pPr>
            <w:r>
              <w:rPr>
                <w:rFonts w:ascii="Arial" w:cs="Arial" w:eastAsia="Arial" w:hAnsi="Arial"/>
                <w:b/>
                <w:bCs/>
                <w:color w:val="FFFFFF"/>
                <w:sz w:val="17"/>
                <w:szCs w:val="17"/>
              </w:rPr>
              <w:t xml:space="preserve">Dir</w:t>
            </w:r>
          </w:p>
        </w:tc>
        <w:tc>
          <w:tcPr>
            <w:tcW w:type="dxa" w:w="1200"/>
            <w:shd w:fill="404040" w:color="auto" w:val="clear"/>
            <w:tcMar>
              <w:top w:type="dxa" w:w="50"/>
              <w:left w:type="dxa" w:w="80"/>
              <w:bottom w:type="dxa" w:w="50"/>
              <w:right w:type="dxa" w:w="80"/>
            </w:tcMar>
          </w:tcPr>
          <w:p>
            <w:pPr>
              <w:spacing w:after="0" w:line="220"/>
            </w:pPr>
            <w:r>
              <w:rPr>
                <w:rFonts w:ascii="Arial" w:cs="Arial" w:eastAsia="Arial" w:hAnsi="Arial"/>
                <w:b/>
                <w:bCs/>
                <w:color w:val="FFFFFF"/>
                <w:sz w:val="17"/>
                <w:szCs w:val="17"/>
              </w:rPr>
              <w:t xml:space="preserve">Type</w:t>
            </w:r>
          </w:p>
        </w:tc>
        <w:tc>
          <w:tcPr>
            <w:tcW w:type="dxa" w:w="3040"/>
            <w:shd w:fill="404040" w:color="auto" w:val="clear"/>
            <w:tcMar>
              <w:top w:type="dxa" w:w="50"/>
              <w:left w:type="dxa" w:w="80"/>
              <w:bottom w:type="dxa" w:w="50"/>
              <w:right w:type="dxa" w:w="80"/>
            </w:tcMar>
          </w:tcPr>
          <w:p>
            <w:pPr>
              <w:spacing w:after="0" w:line="220"/>
            </w:pPr>
            <w:r>
              <w:rPr>
                <w:rFonts w:ascii="Arial" w:cs="Arial" w:eastAsia="Arial" w:hAnsi="Arial"/>
                <w:b/>
                <w:bCs/>
                <w:color w:val="FFFFFF"/>
                <w:sz w:val="17"/>
                <w:szCs w:val="17"/>
              </w:rPr>
              <w:t xml:space="preserve">Description</w:t>
            </w:r>
          </w:p>
        </w:tc>
      </w:tr>
      <w:tr>
        <w:tc>
          <w:tcPr>
            <w:tcW w:type="dxa" w:w="17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SW_UP_D1</w:t>
            </w:r>
          </w:p>
        </w:tc>
        <w:tc>
          <w:tcPr>
            <w:tcW w:type="dxa" w:w="9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In</w:t>
            </w:r>
          </w:p>
        </w:tc>
        <w:tc>
          <w:tcPr>
            <w:tcW w:type="dxa" w:w="12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Discrete</w:t>
            </w:r>
          </w:p>
        </w:tc>
        <w:tc>
          <w:tcPr>
            <w:tcW w:type="dxa" w:w="304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Driver up, detent 1</w:t>
            </w:r>
          </w:p>
        </w:tc>
        <w:tc>
          <w:tcPr>
            <w:tcW w:type="dxa" w:w="17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MTR_PWM</w:t>
            </w:r>
          </w:p>
        </w:tc>
        <w:tc>
          <w:tcPr>
            <w:tcW w:type="dxa" w:w="9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Out</w:t>
            </w:r>
          </w:p>
        </w:tc>
        <w:tc>
          <w:tcPr>
            <w:tcW w:type="dxa" w:w="12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PWM</w:t>
            </w:r>
          </w:p>
        </w:tc>
        <w:tc>
          <w:tcPr>
            <w:tcW w:type="dxa" w:w="304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H-bridge duty command</w:t>
            </w:r>
          </w:p>
        </w:tc>
      </w:tr>
      <w:tr>
        <w:tc>
          <w:tcPr>
            <w:tcW w:type="dxa" w:w="17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SW_UP_D2</w:t>
            </w:r>
          </w:p>
        </w:tc>
        <w:tc>
          <w:tcPr>
            <w:tcW w:type="dxa" w:w="9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In</w:t>
            </w:r>
          </w:p>
        </w:tc>
        <w:tc>
          <w:tcPr>
            <w:tcW w:type="dxa" w:w="12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Discrete</w:t>
            </w:r>
          </w:p>
        </w:tc>
        <w:tc>
          <w:tcPr>
            <w:tcW w:type="dxa" w:w="304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Driver up, detent 2</w:t>
            </w:r>
          </w:p>
        </w:tc>
        <w:tc>
          <w:tcPr>
            <w:tcW w:type="dxa" w:w="17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MTR_DIR</w:t>
            </w:r>
          </w:p>
        </w:tc>
        <w:tc>
          <w:tcPr>
            <w:tcW w:type="dxa" w:w="9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Out</w:t>
            </w:r>
          </w:p>
        </w:tc>
        <w:tc>
          <w:tcPr>
            <w:tcW w:type="dxa" w:w="12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Discrete</w:t>
            </w:r>
          </w:p>
        </w:tc>
        <w:tc>
          <w:tcPr>
            <w:tcW w:type="dxa" w:w="304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Direction select</w:t>
            </w:r>
          </w:p>
        </w:tc>
      </w:tr>
      <w:tr>
        <w:tc>
          <w:tcPr>
            <w:tcW w:type="dxa" w:w="17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SW_DN_D1</w:t>
            </w:r>
          </w:p>
        </w:tc>
        <w:tc>
          <w:tcPr>
            <w:tcW w:type="dxa" w:w="9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In</w:t>
            </w:r>
          </w:p>
        </w:tc>
        <w:tc>
          <w:tcPr>
            <w:tcW w:type="dxa" w:w="12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Discrete</w:t>
            </w:r>
          </w:p>
        </w:tc>
        <w:tc>
          <w:tcPr>
            <w:tcW w:type="dxa" w:w="304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Driver down, detent 1</w:t>
            </w:r>
          </w:p>
        </w:tc>
        <w:tc>
          <w:tcPr>
            <w:tcW w:type="dxa" w:w="17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CAN_WIN_STAT</w:t>
            </w:r>
          </w:p>
        </w:tc>
        <w:tc>
          <w:tcPr>
            <w:tcW w:type="dxa" w:w="9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Out</w:t>
            </w:r>
          </w:p>
        </w:tc>
        <w:tc>
          <w:tcPr>
            <w:tcW w:type="dxa" w:w="12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Network</w:t>
            </w:r>
          </w:p>
        </w:tc>
        <w:tc>
          <w:tcPr>
            <w:tcW w:type="dxa" w:w="304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Position, state, availability</w:t>
            </w:r>
          </w:p>
        </w:tc>
      </w:tr>
      <w:tr>
        <w:tc>
          <w:tcPr>
            <w:tcW w:type="dxa" w:w="17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SW_DN_D2</w:t>
            </w:r>
          </w:p>
        </w:tc>
        <w:tc>
          <w:tcPr>
            <w:tcW w:type="dxa" w:w="9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In</w:t>
            </w:r>
          </w:p>
        </w:tc>
        <w:tc>
          <w:tcPr>
            <w:tcW w:type="dxa" w:w="12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Discrete</w:t>
            </w:r>
          </w:p>
        </w:tc>
        <w:tc>
          <w:tcPr>
            <w:tcW w:type="dxa" w:w="304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Driver down, detent 2</w:t>
            </w:r>
          </w:p>
        </w:tc>
        <w:tc>
          <w:tcPr>
            <w:tcW w:type="dxa" w:w="17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CAN_WIN_DTC</w:t>
            </w:r>
          </w:p>
        </w:tc>
        <w:tc>
          <w:tcPr>
            <w:tcW w:type="dxa" w:w="9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Out</w:t>
            </w:r>
          </w:p>
        </w:tc>
        <w:tc>
          <w:tcPr>
            <w:tcW w:type="dxa" w:w="12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Network</w:t>
            </w:r>
          </w:p>
        </w:tc>
        <w:tc>
          <w:tcPr>
            <w:tcW w:type="dxa" w:w="304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Active DTCs</w:t>
            </w:r>
          </w:p>
        </w:tc>
      </w:tr>
      <w:tr>
        <w:tc>
          <w:tcPr>
            <w:tcW w:type="dxa" w:w="17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SW_LOCKOUT</w:t>
            </w:r>
          </w:p>
        </w:tc>
        <w:tc>
          <w:tcPr>
            <w:tcW w:type="dxa" w:w="9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In</w:t>
            </w:r>
          </w:p>
        </w:tc>
        <w:tc>
          <w:tcPr>
            <w:tcW w:type="dxa" w:w="12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Discrete</w:t>
            </w:r>
          </w:p>
        </w:tc>
        <w:tc>
          <w:tcPr>
            <w:tcW w:type="dxa" w:w="304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Rear lockout state</w:t>
            </w:r>
          </w:p>
        </w:tc>
        <w:tc>
          <w:tcPr>
            <w:tcW w:type="dxa" w:w="17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w:t>
            </w:r>
          </w:p>
        </w:tc>
        <w:tc>
          <w:tcPr>
            <w:tcW w:type="dxa" w:w="9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w:t>
            </w:r>
          </w:p>
        </w:tc>
        <w:tc>
          <w:tcPr>
            <w:tcW w:type="dxa" w:w="12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w:t>
            </w:r>
          </w:p>
        </w:tc>
        <w:tc>
          <w:tcPr>
            <w:tcW w:type="dxa" w:w="304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w:t>
            </w:r>
          </w:p>
        </w:tc>
      </w:tr>
      <w:tr>
        <w:tc>
          <w:tcPr>
            <w:tcW w:type="dxa" w:w="17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HALL_A / HALL_B</w:t>
            </w:r>
          </w:p>
        </w:tc>
        <w:tc>
          <w:tcPr>
            <w:tcW w:type="dxa" w:w="9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In</w:t>
            </w:r>
          </w:p>
        </w:tc>
        <w:tc>
          <w:tcPr>
            <w:tcW w:type="dxa" w:w="12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Pulse</w:t>
            </w:r>
          </w:p>
        </w:tc>
        <w:tc>
          <w:tcPr>
            <w:tcW w:type="dxa" w:w="304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Quadrature; position + load</w:t>
            </w:r>
          </w:p>
        </w:tc>
        <w:tc>
          <w:tcPr>
            <w:tcW w:type="dxa" w:w="17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w:t>
            </w:r>
          </w:p>
        </w:tc>
        <w:tc>
          <w:tcPr>
            <w:tcW w:type="dxa" w:w="9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w:t>
            </w:r>
          </w:p>
        </w:tc>
        <w:tc>
          <w:tcPr>
            <w:tcW w:type="dxa" w:w="12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w:t>
            </w:r>
          </w:p>
        </w:tc>
        <w:tc>
          <w:tcPr>
            <w:tcW w:type="dxa" w:w="304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w:t>
            </w:r>
          </w:p>
        </w:tc>
      </w:tr>
      <w:tr>
        <w:tc>
          <w:tcPr>
            <w:tcW w:type="dxa" w:w="17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V_BATT</w:t>
            </w:r>
          </w:p>
        </w:tc>
        <w:tc>
          <w:tcPr>
            <w:tcW w:type="dxa" w:w="9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In</w:t>
            </w:r>
          </w:p>
        </w:tc>
        <w:tc>
          <w:tcPr>
            <w:tcW w:type="dxa" w:w="12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Analogue</w:t>
            </w:r>
          </w:p>
        </w:tc>
        <w:tc>
          <w:tcPr>
            <w:tcW w:type="dxa" w:w="304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Door harness supply</w:t>
            </w:r>
          </w:p>
        </w:tc>
        <w:tc>
          <w:tcPr>
            <w:tcW w:type="dxa" w:w="17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w:t>
            </w:r>
          </w:p>
        </w:tc>
        <w:tc>
          <w:tcPr>
            <w:tcW w:type="dxa" w:w="9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w:t>
            </w:r>
          </w:p>
        </w:tc>
        <w:tc>
          <w:tcPr>
            <w:tcW w:type="dxa" w:w="12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w:t>
            </w:r>
          </w:p>
        </w:tc>
        <w:tc>
          <w:tcPr>
            <w:tcW w:type="dxa" w:w="304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w:t>
            </w:r>
          </w:p>
        </w:tc>
      </w:tr>
      <w:tr>
        <w:tc>
          <w:tcPr>
            <w:tcW w:type="dxa" w:w="17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T_MOD</w:t>
            </w:r>
          </w:p>
        </w:tc>
        <w:tc>
          <w:tcPr>
            <w:tcW w:type="dxa" w:w="9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In</w:t>
            </w:r>
          </w:p>
        </w:tc>
        <w:tc>
          <w:tcPr>
            <w:tcW w:type="dxa" w:w="12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Analogue</w:t>
            </w:r>
          </w:p>
        </w:tc>
        <w:tc>
          <w:tcPr>
            <w:tcW w:type="dxa" w:w="304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Substrate temperature</w:t>
            </w:r>
          </w:p>
        </w:tc>
        <w:tc>
          <w:tcPr>
            <w:tcW w:type="dxa" w:w="17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w:t>
            </w:r>
          </w:p>
        </w:tc>
        <w:tc>
          <w:tcPr>
            <w:tcW w:type="dxa" w:w="9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w:t>
            </w:r>
          </w:p>
        </w:tc>
        <w:tc>
          <w:tcPr>
            <w:tcW w:type="dxa" w:w="12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w:t>
            </w:r>
          </w:p>
        </w:tc>
        <w:tc>
          <w:tcPr>
            <w:tcW w:type="dxa" w:w="304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w:t>
            </w:r>
          </w:p>
        </w:tc>
      </w:tr>
      <w:tr>
        <w:tc>
          <w:tcPr>
            <w:tcW w:type="dxa" w:w="17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CAN_WIN_REQ</w:t>
            </w:r>
          </w:p>
        </w:tc>
        <w:tc>
          <w:tcPr>
            <w:tcW w:type="dxa" w:w="9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In</w:t>
            </w:r>
          </w:p>
        </w:tc>
        <w:tc>
          <w:tcPr>
            <w:tcW w:type="dxa" w:w="12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Network</w:t>
            </w:r>
          </w:p>
        </w:tc>
        <w:tc>
          <w:tcPr>
            <w:tcW w:type="dxa" w:w="304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BDC window command</w:t>
            </w:r>
          </w:p>
        </w:tc>
        <w:tc>
          <w:tcPr>
            <w:tcW w:type="dxa" w:w="17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w:t>
            </w:r>
          </w:p>
        </w:tc>
        <w:tc>
          <w:tcPr>
            <w:tcW w:type="dxa" w:w="9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w:t>
            </w:r>
          </w:p>
        </w:tc>
        <w:tc>
          <w:tcPr>
            <w:tcW w:type="dxa" w:w="12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w:t>
            </w:r>
          </w:p>
        </w:tc>
        <w:tc>
          <w:tcPr>
            <w:tcW w:type="dxa" w:w="304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w:t>
            </w:r>
          </w:p>
        </w:tc>
      </w:tr>
    </w:tbl>
    <w:p>
      <w:pPr>
        <w:spacing w:after="100"/>
      </w:pPr>
      <w:r>
        <w:rPr>
          <w:rFonts w:ascii="Arial" w:cs="Arial" w:eastAsia="Arial" w:hAnsi="Arial"/>
          <w:sz w:val="17"/>
          <w:szCs w:val="17"/>
        </w:rPr>
        <w:t xml:space="preserve"/>
      </w:r>
    </w:p>
    <w:p>
      <w:pPr>
        <w:spacing w:after="80"/>
      </w:pPr>
      <w:r>
        <w:rPr>
          <w:rFonts w:ascii="Arial" w:cs="Arial" w:eastAsia="Arial" w:hAnsi="Arial"/>
          <w:b/>
          <w:bCs/>
          <w:sz w:val="18"/>
          <w:szCs w:val="18"/>
        </w:rPr>
        <w:t xml:space="preserve">D. BEHAVIOURAL NOTES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00"/>
        <w:gridCol w:w="12480"/>
      </w:tblGrid>
      <w:tr>
        <w:trPr>
          <w:tblHeader/>
        </w:trPr>
        <w:tc>
          <w:tcPr>
            <w:tcW w:type="dxa" w:w="1200"/>
            <w:shd w:fill="404040" w:color="auto" w:val="clear"/>
            <w:tcMar>
              <w:top w:type="dxa" w:w="50"/>
              <w:left w:type="dxa" w:w="80"/>
              <w:bottom w:type="dxa" w:w="50"/>
              <w:right w:type="dxa" w:w="80"/>
            </w:tcMar>
          </w:tcPr>
          <w:p>
            <w:pPr>
              <w:spacing w:after="0" w:line="220"/>
            </w:pPr>
            <w:r>
              <w:rPr>
                <w:rFonts w:ascii="Arial" w:cs="Arial" w:eastAsia="Arial" w:hAnsi="Arial"/>
                <w:b/>
                <w:bCs/>
                <w:color w:val="FFFFFF"/>
                <w:sz w:val="17"/>
                <w:szCs w:val="17"/>
              </w:rPr>
              <w:t xml:space="preserve">Ref</w:t>
            </w:r>
          </w:p>
        </w:tc>
        <w:tc>
          <w:tcPr>
            <w:tcW w:type="dxa" w:w="12480"/>
            <w:shd w:fill="404040" w:color="auto" w:val="clear"/>
            <w:tcMar>
              <w:top w:type="dxa" w:w="50"/>
              <w:left w:type="dxa" w:w="80"/>
              <w:bottom w:type="dxa" w:w="50"/>
              <w:right w:type="dxa" w:w="80"/>
            </w:tcMar>
          </w:tcPr>
          <w:p>
            <w:pPr>
              <w:spacing w:after="0" w:line="220"/>
            </w:pPr>
            <w:r>
              <w:rPr>
                <w:rFonts w:ascii="Arial" w:cs="Arial" w:eastAsia="Arial" w:hAnsi="Arial"/>
                <w:b/>
                <w:bCs/>
                <w:color w:val="FFFFFF"/>
                <w:sz w:val="17"/>
                <w:szCs w:val="17"/>
              </w:rPr>
              <w:t xml:space="preserve">Description</w:t>
            </w:r>
          </w:p>
        </w:tc>
      </w:tr>
      <w:tr>
        <w:tc>
          <w:tcPr>
            <w:tcW w:type="dxa" w:w="12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D-01</w:t>
            </w:r>
          </w:p>
        </w:tc>
        <w:tc>
          <w:tcPr>
            <w:tcW w:type="dxa" w:w="1248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Express up sequence. On command the module verifies a valid normalisation record and that no obstruction fault is latched, then energises the motor in the closing direction while monitoring load continuously. Approaching the upper seal the module enters the seal engagement region where the load rise caused by the seal is expected and is not treated as an obstruction. On observing the seated load signature the module de-energises and records the closed end stop. If that signature is not observed within the expected travel the module de-energises, discards the normalisation record and raises a position plausibility fault; express up is then unavailable until a manual close has been held to the end stop.</w:t>
            </w:r>
          </w:p>
        </w:tc>
      </w:tr>
      <w:tr>
        <w:tc>
          <w:tcPr>
            <w:tcW w:type="dxa" w:w="12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D-02</w:t>
            </w:r>
          </w:p>
        </w:tc>
        <w:tc>
          <w:tcPr>
            <w:tcW w:type="dxa" w:w="1248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Detection suppression. Within 4 mm of the mating structure the reversal function is suppressed. The residual gap is too small to admit a body part, and suppression avoids nuisance reversals from seal friction, ice or minor misalignment.</w:t>
            </w:r>
          </w:p>
        </w:tc>
      </w:tr>
      <w:tr>
        <w:tc>
          <w:tcPr>
            <w:tcW w:type="dxa" w:w="12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D-03</w:t>
            </w:r>
          </w:p>
        </w:tc>
        <w:tc>
          <w:tcPr>
            <w:tcW w:type="dxa" w:w="1248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Position retention. The module retains learned end-stop positions and last known glass position across ignition cycles, so a routine restart does not require the occupant to re-normalise before express movements are again available.</w:t>
            </w:r>
          </w:p>
        </w:tc>
      </w:tr>
      <w:tr>
        <w:tc>
          <w:tcPr>
            <w:tcW w:type="dxa" w:w="12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D-04</w:t>
            </w:r>
          </w:p>
        </w:tc>
        <w:tc>
          <w:tcPr>
            <w:tcW w:type="dxa" w:w="1248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Responsiveness. The window shall respond quickly to switch actuation so that the occupant does not perceive a delay between operating the switch and the glass beginning to move.</w:t>
            </w:r>
          </w:p>
        </w:tc>
      </w:tr>
      <w:tr>
        <w:tc>
          <w:tcPr>
            <w:tcW w:type="dxa" w:w="120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D-05</w:t>
            </w:r>
          </w:p>
        </w:tc>
        <w:tc>
          <w:tcPr>
            <w:tcW w:type="dxa" w:w="12480"/>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Repeated obstruction. Three obstruction events within one closing attempt sequence inhibit further automatic closing until ignition is cycled. Manual supervised closing remains available.</w:t>
            </w:r>
          </w:p>
        </w:tc>
      </w:tr>
      <w:tr>
        <w:tc>
          <w:tcPr>
            <w:tcW w:type="dxa" w:w="120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D-06</w:t>
            </w:r>
          </w:p>
        </w:tc>
        <w:tc>
          <w:tcPr>
            <w:tcW w:type="dxa" w:w="12480"/>
            <w:shd w:fill="F2F2F2" w:color="auto" w:val="clear"/>
            <w:tcMar>
              <w:top w:type="dxa" w:w="50"/>
              <w:left w:type="dxa" w:w="80"/>
              <w:bottom w:type="dxa" w:w="50"/>
              <w:right w:type="dxa" w:w="80"/>
            </w:tcMar>
          </w:tcPr>
          <w:p>
            <w:pPr>
              <w:spacing w:after="0" w:line="220"/>
            </w:pPr>
            <w:r>
              <w:rPr>
                <w:rFonts w:ascii="Arial" w:cs="Arial" w:eastAsia="Arial" w:hAnsi="Arial"/>
                <w:b w:val="false"/>
                <w:bCs w:val="false"/>
                <w:sz w:val="17"/>
                <w:szCs w:val="17"/>
              </w:rPr>
              <w:t xml:space="preserve">Communication loss. With the BDC unreachable the module continues to service local switch inputs using the last known lockout state. Vehicle-level commands are not actioned. On restoration the module resynchronises reported status before accepting new vehicle-level commands.</w:t>
            </w:r>
          </w:p>
        </w:tc>
      </w:tr>
    </w:tbl>
    <w:p>
      <w:pPr>
        <w:spacing w:after="100"/>
      </w:pPr>
      <w:r>
        <w:rPr>
          <w:rFonts w:ascii="Arial" w:cs="Arial" w:eastAsia="Arial" w:hAnsi="Arial"/>
          <w:sz w:val="17"/>
          <w:szCs w:val="17"/>
        </w:rPr>
        <w:t xml:space="preserve"/>
      </w:r>
    </w:p>
    <w:p>
      <w:pPr>
        <w:spacing w:before="120"/>
      </w:pPr>
      <w:r>
        <w:rPr>
          <w:rFonts w:ascii="Arial" w:cs="Arial" w:eastAsia="Arial" w:hAnsi="Arial"/>
          <w:i/>
          <w:iCs/>
          <w:sz w:val="15"/>
          <w:szCs w:val="15"/>
        </w:rPr>
        <w:t xml:space="preserve">Regulatory basis: publicly available regulation in the United States and under the UNECE framework requires a power-operated window closing without continuous occupant supervision to reverse before exerting a squeezing force of 100 N on an obstruction located between 4 mm and 200 mm from the structure against which the window closes. P-01 to P-03 derive from this and are not re-calibratable without formal change.</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2026-08-25T07:50:54.732Z</dcterms:created>
  <dcterms:modified xsi:type="dcterms:W3CDTF">2026-08-25T07:50:54.733Z</dcterms:modified>
</cp:coreProperties>
</file>

<file path=docProps/custom.xml><?xml version="1.0" encoding="utf-8"?>
<Properties xmlns="http://schemas.openxmlformats.org/officeDocument/2006/custom-properties" xmlns:vt="http://schemas.openxmlformats.org/officeDocument/2006/docPropsVTypes"/>
</file>