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Assignment 4 Facade Pattern</w:t>
      </w:r>
    </w:p>
    <w:p>
      <w:r>
        <w:rPr>
          <w:rFonts w:ascii="Times New Roman" w:hAnsi="Times New Roman"/>
          <w:color w:val="000000"/>
        </w:rPr>
        <w:t>Option A Media and File Conversion Facade</w:t>
      </w:r>
    </w:p>
    <w:p>
      <w:r>
        <w:rPr>
          <w:rFonts w:ascii="Times New Roman" w:hAnsi="Times New Roman"/>
          <w:color w:val="000000"/>
        </w:rPr>
        <w:t>Student: Timur Naumov</w:t>
        <w:br/>
        <w:t>Group: SE-2537</w:t>
        <w:br/>
        <w:t>Course: ShP-2216 Software Design Patterns</w:t>
      </w:r>
    </w:p>
    <w:p>
      <w:pPr>
        <w:pStyle w:val="Heading1"/>
      </w:pPr>
      <w:r>
        <w:rPr>
          <w:rFonts w:ascii="Times New Roman" w:hAnsi="Times New Roman"/>
          <w:color w:val="000000"/>
        </w:rPr>
        <w:t>1 Introduction</w:t>
      </w:r>
    </w:p>
    <w:p>
      <w:r>
        <w:rPr>
          <w:rFonts w:ascii="Times New Roman" w:hAnsi="Times New Roman"/>
          <w:color w:val="000000"/>
        </w:rPr>
        <w:t>This project implements a MediaConversionFacade in Java 17. A client supplies a file name and a target format through one convert method. The Facade coordinates metadata reading, codec selection, video bitrate conversion, and audio normalization in the correct order. This follows the Facade structure presented in Lecture 6: the client uses a simple interface, while the subsystem classes perform the individual operations.</w:t>
      </w:r>
    </w:p>
    <w:p>
      <w:r>
        <w:rPr>
          <w:rFonts w:ascii="Times New Roman" w:hAnsi="Times New Roman"/>
          <w:color w:val="000000"/>
        </w:rPr>
        <w:t>The program uses simulated media data. It does not decode or create a real media file. Each subsystem still performs a concrete step: it validates input, selects settings, transforms bitrate values, or recalculates the output size.</w:t>
      </w:r>
    </w:p>
    <w:p>
      <w:pPr>
        <w:pStyle w:val="Heading1"/>
      </w:pPr>
      <w:r>
        <w:rPr>
          <w:rFonts w:ascii="Times New Roman" w:hAnsi="Times New Roman"/>
          <w:color w:val="000000"/>
        </w:rPr>
        <w:t>Conversion steps</w:t>
      </w:r>
    </w:p>
    <w:p>
      <w:pPr>
        <w:pStyle w:val="ListNumber"/>
      </w:pPr>
      <w:r>
        <w:rPr>
          <w:rFonts w:ascii="Times New Roman" w:hAnsi="Times New Roman"/>
          <w:color w:val="000000"/>
        </w:rPr>
        <w:t>MetadataReader validates the name, extracts the extension, and returns fixed sample metadata: 120 seconds, 4,500 kbps video, 192 kbps audio, and a -4.0 dB audio peak.</w:t>
      </w:r>
    </w:p>
    <w:p>
      <w:pPr>
        <w:pStyle w:val="ListNumber"/>
      </w:pPr>
      <w:r>
        <w:rPr>
          <w:rFonts w:ascii="Times New Roman" w:hAnsi="Times New Roman"/>
          <w:color w:val="000000"/>
        </w:rPr>
        <w:t>CodecFactory accepts AVI, MKV, and MP4 sources, and MP4 or WebM targets. It selects Xvid or H.264 decoding and H.264 or VP9 encoding.</w:t>
      </w:r>
    </w:p>
    <w:p>
      <w:pPr>
        <w:pStyle w:val="ListNumber"/>
      </w:pPr>
      <w:r>
        <w:rPr>
          <w:rFonts w:ascii="Times New Roman" w:hAnsi="Times New Roman"/>
          <w:color w:val="000000"/>
        </w:rPr>
        <w:t>BitrateReader caps the simulated video bitrate at 2,500 kbps for MP4 or 1,800 kbps for WebM and estimates the output size.</w:t>
      </w:r>
    </w:p>
    <w:p>
      <w:pPr>
        <w:pStyle w:val="ListNumber"/>
      </w:pPr>
      <w:r>
        <w:rPr>
          <w:rFonts w:ascii="Times New Roman" w:hAnsi="Times New Roman"/>
          <w:color w:val="000000"/>
        </w:rPr>
        <w:t>AudioMixer caps the audio bitrate at 160 kbps, sets the simulated peak to -1.0 dB, and recalculates the size.</w:t>
      </w:r>
    </w:p>
    <w:p>
      <w:r>
        <w:rPr>
          <w:rFonts w:ascii="Times New Roman" w:hAnsi="Times New Roman"/>
          <w:color w:val="000000"/>
        </w:rPr>
        <w:t>For sample.avi converted to MP4, the final estimate is ceil((2500 + 160) × 120 / 8) = 39,900 kB. This estimate excludes container overhead.</w:t>
      </w:r>
    </w:p>
    <w:p>
      <w:pPr>
        <w:sectPr>
          <w:footerReference w:type="default" r:id="rId9"/>
          <w:pgSz w:w="11906" w:h="16838"/>
          <w:pgMar w:top="1440" w:right="1440" w:bottom="1440" w:left="1440" w:header="720" w:footer="720" w:gutter="0"/>
          <w:cols w:space="720"/>
          <w:docGrid w:linePitch="360"/>
        </w:sectPr>
      </w:pPr>
    </w:p>
    <w:p>
      <w:pPr>
        <w:pStyle w:val="Heading1"/>
        <w:spacing w:before="0" w:after="60"/>
      </w:pPr>
      <w:r>
        <w:rPr>
          <w:rFonts w:ascii="Times New Roman" w:hAnsi="Times New Roman"/>
          <w:color w:val="000000"/>
        </w:rPr>
        <w:t>2 UML class diagram</w:t>
      </w:r>
    </w:p>
    <w:p>
      <w:pPr>
        <w:spacing w:after="0" w:line="240" w:lineRule="auto"/>
        <w:jc w:val="center"/>
      </w:pPr>
      <w:r>
        <w:rPr>
          <w:rFonts w:ascii="Times New Roman" w:hAnsi="Times New Roman"/>
          <w:color w:val="000000"/>
        </w:rPr>
        <w:drawing>
          <wp:inline xmlns:a="http://schemas.openxmlformats.org/drawingml/2006/main" xmlns:pic="http://schemas.openxmlformats.org/drawingml/2006/picture">
            <wp:extent cx="8229600" cy="5143500"/>
            <wp:docPr id="1" name="Picture 1"/>
            <wp:cNvGraphicFramePr>
              <a:graphicFrameLocks noChangeAspect="1"/>
            </wp:cNvGraphicFramePr>
            <a:graphic>
              <a:graphicData uri="http://schemas.openxmlformats.org/drawingml/2006/picture">
                <pic:pic>
                  <pic:nvPicPr>
                    <pic:cNvPr id="0" name="uml.png"/>
                    <pic:cNvPicPr/>
                  </pic:nvPicPr>
                  <pic:blipFill>
                    <a:blip r:embed="rId10"/>
                    <a:stretch>
                      <a:fillRect/>
                    </a:stretch>
                  </pic:blipFill>
                  <pic:spPr>
                    <a:xfrm>
                      <a:off x="0" y="0"/>
                      <a:ext cx="8229600" cy="5143500"/>
                    </a:xfrm>
                    <a:prstGeom prst="rect"/>
                  </pic:spPr>
                </pic:pic>
              </a:graphicData>
            </a:graphic>
          </wp:inline>
        </w:drawing>
      </w:r>
    </w:p>
    <w:p>
      <w:pPr>
        <w:sectPr>
          <w:pgSz w:w="16838" w:h="11906" w:orient="landscape"/>
          <w:pgMar w:top="1440" w:right="1440" w:bottom="1440" w:left="1440" w:header="720" w:footer="720" w:gutter="0"/>
          <w:cols w:space="720"/>
          <w:docGrid w:linePitch="360"/>
        </w:sectPr>
      </w:pPr>
    </w:p>
    <w:p>
      <w:pPr>
        <w:pStyle w:val="Heading1"/>
      </w:pPr>
      <w:r>
        <w:rPr>
          <w:rFonts w:ascii="Times New Roman" w:hAnsi="Times New Roman"/>
          <w:color w:val="000000"/>
        </w:rPr>
        <w:t>3 Clean Code principles</w:t>
      </w:r>
    </w:p>
    <w:p>
      <w:pPr>
        <w:pStyle w:val="Heading2"/>
      </w:pPr>
      <w:r>
        <w:rPr>
          <w:rFonts w:ascii="Times New Roman" w:hAnsi="Times New Roman"/>
          <w:color w:val="000000"/>
        </w:rPr>
        <w:t>3.1 Meaningful names</w:t>
      </w:r>
    </w:p>
    <w:p>
      <w:r>
        <w:rPr>
          <w:rFonts w:ascii="Times New Roman" w:hAnsi="Times New Roman"/>
          <w:color w:val="000000"/>
        </w:rPr>
        <w:t>Names describe the domain action and its data. The variables metadata, codecs, and convertedMedia show what is passed between the conversion stages. This annotated excerpt is taken from MediaConversionFacade.</w:t>
      </w:r>
    </w:p>
    <w:p>
      <w:pPr>
        <w:keepLines/>
        <w:spacing w:after="120" w:line="240" w:lineRule="auto"/>
      </w:pPr>
      <w:r>
        <w:rPr>
          <w:rFonts w:ascii="Courier New" w:hAnsi="Courier New"/>
          <w:color w:val="000000"/>
          <w:sz w:val="18"/>
        </w:rPr>
        <w:t>MediaMetadata metadata = metadataReader.read(fileName);</w:t>
        <w:br/>
        <w:t>CodecPair codecs = codecFactory.select(metadata.sourceFormat(), targetFormat);</w:t>
        <w:br/>
        <w:t>ConversionResult convertedMedia = bitrateReader.transcode(metadata, codecs);</w:t>
      </w:r>
    </w:p>
    <w:p>
      <w:pPr>
        <w:pStyle w:val="Heading2"/>
      </w:pPr>
      <w:r>
        <w:rPr>
          <w:rFonts w:ascii="Times New Roman" w:hAnsi="Times New Roman"/>
          <w:color w:val="000000"/>
        </w:rPr>
        <w:t>3.2 Single Responsibility</w:t>
      </w:r>
    </w:p>
    <w:p>
      <w:r>
        <w:rPr>
          <w:rFonts w:ascii="Times New Roman" w:hAnsi="Times New Roman"/>
          <w:color w:val="000000"/>
        </w:rPr>
        <w:t>The Facade coordinates the workflow. It delegates metadata validation, codec rules, bitrate calculations, and audio settings to their own classes. Its final step delegates audio normalization rather than implementing that calculation again.</w:t>
      </w:r>
    </w:p>
    <w:p>
      <w:pPr>
        <w:keepLines/>
        <w:spacing w:after="120" w:line="240" w:lineRule="auto"/>
      </w:pPr>
      <w:r>
        <w:rPr>
          <w:rFonts w:ascii="Courier New" w:hAnsi="Courier New"/>
          <w:color w:val="000000"/>
          <w:sz w:val="18"/>
        </w:rPr>
        <w:t>ConversionResult convertedMedia = bitrateReader.transcode(metadata, codecs);</w:t>
        <w:br/>
        <w:t>return audioMixer.normalizeAudio(convertedMedia);</w:t>
      </w:r>
    </w:p>
    <w:p>
      <w:pPr>
        <w:pStyle w:val="Heading2"/>
      </w:pPr>
      <w:r>
        <w:rPr>
          <w:rFonts w:ascii="Times New Roman" w:hAnsi="Times New Roman"/>
          <w:color w:val="000000"/>
        </w:rPr>
        <w:t>3.3 A small public interface</w:t>
      </w:r>
    </w:p>
    <w:p>
      <w:r>
        <w:rPr>
          <w:rFonts w:ascii="Times New Roman" w:hAnsi="Times New Roman"/>
          <w:color w:val="000000"/>
        </w:rPr>
        <w:t>The client provides two ordinary strings and receives an immutable result. It does not construct subsystem objects or choose their call order. Codec names in the result are diagnostic data; the API does not expose subsystem instances.</w:t>
      </w:r>
    </w:p>
    <w:p>
      <w:pPr>
        <w:keepLines/>
        <w:spacing w:after="120" w:line="240" w:lineRule="auto"/>
      </w:pPr>
      <w:r>
        <w:rPr>
          <w:rFonts w:ascii="Courier New" w:hAnsi="Courier New"/>
          <w:color w:val="000000"/>
          <w:sz w:val="18"/>
        </w:rPr>
        <w:t>public ConversionResult convert(String fileName, String targetFormat)</w:t>
        <w:br/>
        <w:br/>
        <w:t>// Client call in Main</w:t>
        <w:br/>
        <w:t>ConversionResult result = facade.convert("sample.avi", "mp4");</w:t>
      </w:r>
    </w:p>
    <w:p>
      <w:r>
        <w:rPr>
          <w:rFonts w:ascii="Times New Roman" w:hAnsi="Times New Roman"/>
          <w:color w:val="000000"/>
        </w:rPr>
        <w:t>The Facade creates its helper objects locally. UML therefore models these relationships as dependencies. The design does not store or own subsystem objects through fields.</w:t>
      </w:r>
    </w:p>
    <w:p>
      <w:r>
        <w:rPr>
          <w:rFonts w:ascii="Times New Roman" w:hAnsi="Times New Roman"/>
          <w:color w:val="000000"/>
        </w:rPr>
        <w:br w:type="page"/>
      </w:r>
    </w:p>
    <w:p>
      <w:pPr>
        <w:pStyle w:val="Heading2"/>
      </w:pPr>
      <w:r>
        <w:rPr>
          <w:rFonts w:ascii="Times New Roman" w:hAnsi="Times New Roman"/>
          <w:color w:val="000000"/>
        </w:rPr>
        <w:t>3.4 Focused subsystem classes</w:t>
      </w:r>
    </w:p>
    <w:p>
      <w:r>
        <w:rPr>
          <w:rFonts w:ascii="Times New Roman" w:hAnsi="Times New Roman"/>
          <w:color w:val="000000"/>
        </w:rPr>
        <w:t>AudioMixer handles only the simulated audio settings and their effect on estimated size. CodecFactory handles supported formats and codec selection. The record types carry immutable data between these focused operations.</w:t>
      </w:r>
    </w:p>
    <w:p>
      <w:pPr>
        <w:keepLines/>
        <w:spacing w:after="120" w:line="240" w:lineRule="auto"/>
      </w:pPr>
      <w:r>
        <w:rPr>
          <w:rFonts w:ascii="Courier New" w:hAnsi="Courier New"/>
          <w:color w:val="000000"/>
          <w:sz w:val="18"/>
        </w:rPr>
        <w:t>int audioBitrateKbps = Math.min(media.audioBitrateKbps(), MAX_AUDIO_BITRATE_KBPS);</w:t>
        <w:br/>
        <w:t>long estimatedSizeKb = estimateSizeKb(</w:t>
        <w:br/>
        <w:t xml:space="preserve">        media.videoBitrateKbps(), audioBitrateKbps, media.durationSeconds());</w:t>
        <w:br/>
        <w:t>return media.withAudioSettings(</w:t>
        <w:br/>
        <w:t xml:space="preserve">        audioBitrateKbps, NORMALIZED_AUDIO_PEAK_DB, estimatedSizeKb);</w:t>
      </w:r>
    </w:p>
    <w:p>
      <w:pPr>
        <w:pStyle w:val="Heading2"/>
      </w:pPr>
      <w:r>
        <w:rPr>
          <w:rFonts w:ascii="Times New Roman" w:hAnsi="Times New Roman"/>
          <w:color w:val="000000"/>
        </w:rPr>
        <w:t>3.5 Explicit error handling</w:t>
      </w:r>
    </w:p>
    <w:p>
      <w:r>
        <w:rPr>
          <w:rFonts w:ascii="Times New Roman" w:hAnsi="Times New Roman"/>
          <w:color w:val="000000"/>
        </w:rPr>
        <w:t>Invalid requests fail with IllegalArgumentException and a message identifying the problem. The program rejects null or blank names, missing extensions, and unsupported source or target formats. It does not silently select a replacement format.</w:t>
      </w:r>
    </w:p>
    <w:p>
      <w:pPr>
        <w:keepLines/>
        <w:spacing w:after="120" w:line="240" w:lineRule="auto"/>
      </w:pPr>
      <w:r>
        <w:rPr>
          <w:rFonts w:ascii="Courier New" w:hAnsi="Courier New"/>
          <w:color w:val="000000"/>
          <w:sz w:val="18"/>
        </w:rPr>
        <w:t>if (fileName == null || fileName.isBlank()) {</w:t>
        <w:br/>
        <w:t xml:space="preserve">    throw new IllegalArgumentException("File name must not be null or blank.");</w:t>
        <w:br/>
        <w:t>}</w:t>
      </w:r>
    </w:p>
    <w:p>
      <w:pPr>
        <w:pStyle w:val="Heading1"/>
      </w:pPr>
      <w:r>
        <w:rPr>
          <w:rFonts w:ascii="Times New Roman" w:hAnsi="Times New Roman"/>
          <w:color w:val="000000"/>
        </w:rPr>
        <w:t>4 Conclusion</w:t>
      </w:r>
    </w:p>
    <w:p>
      <w:r>
        <w:rPr>
          <w:rFonts w:ascii="Times New Roman" w:hAnsi="Times New Roman"/>
          <w:color w:val="000000"/>
        </w:rPr>
        <w:t>The Facade hides object creation, the order of conversion steps, and data handoff between the subsystems. The client needs only convert(fileName, targetFormat). All four subsystem classes remain public and directly usable by advanced clients, and none refers back to the Facade. The conversion is a deterministic simulation suitable for a live demonstration.</w:t>
      </w:r>
    </w:p>
    <w:p>
      <w:r>
        <w:rPr>
          <w:rFonts w:ascii="Times New Roman" w:hAnsi="Times New Roman"/>
          <w:color w:val="000000"/>
        </w:rPr>
        <w:t>The project compiles with the Java 17 language target. Acceptance checks cover the sample result, case-insensitive extensions, and invalid input. The demo returns 2,500 kbps video, 160 kbps audio, a -1.0 dB peak, and a 39,900 kB estimate.</w:t>
      </w:r>
    </w:p>
    <w:p>
      <w:pPr>
        <w:pStyle w:val="Heading1"/>
      </w:pPr>
      <w:r>
        <w:rPr>
          <w:rFonts w:ascii="Times New Roman" w:hAnsi="Times New Roman"/>
          <w:color w:val="000000"/>
        </w:rPr>
        <w:t>5 GitHub repository</w:t>
      </w:r>
    </w:p>
    <w:p>
      <w:hyperlink r:id="rId11">
        <w:r>
          <w:t>https://github.com/tnaumovv/assignmen4-Facade-Pattern</w:t>
        </w:r>
      </w:hyperlink>
    </w:p>
    <w:p>
      <w:pPr>
        <w:pStyle w:val="Heading1"/>
      </w:pPr>
      <w:r>
        <w:rPr>
          <w:rFonts w:ascii="Times New Roman" w:hAnsi="Times New Roman"/>
          <w:color w:val="000000"/>
        </w:rPr>
        <w:t>References</w:t>
      </w:r>
    </w:p>
    <w:p>
      <w:r>
        <w:rPr>
          <w:rFonts w:ascii="Times New Roman" w:hAnsi="Times New Roman"/>
          <w:color w:val="000000"/>
        </w:rPr>
        <w:t>1. Assignment #4 Facade Pattern. ShP-2216 Software Design Patterns assignment instructions.</w:t>
        <w:br/>
        <w:t>2. Almas Ospanov. Lecture 6 The Facade Design Pattern. Course lecture slides, especially the structure and video conversion examples.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60"/>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tnaumovv/assignmen4-Facade-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Facade Pattern</dc:title>
  <dc:subject>Media Conversion Facade</dc:subject>
  <dc:creator>Timur Naumov</dc:creator>
  <cp:keywords/>
  <dc:description>generated by python-docx</dc:description>
  <cp:lastModifiedBy/>
  <cp:revision>1</cp:revision>
  <dcterms:created xsi:type="dcterms:W3CDTF">2013-12-23T23:15:00Z</dcterms:created>
  <dcterms:modified xsi:type="dcterms:W3CDTF">2013-12-23T23:15:00Z</dcterms:modified>
  <cp:category/>
</cp:coreProperties>
</file>