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2022-03-02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Looking at ploidy across Pomaderreae (Rhamnaceae)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Pomaderreae (Australian endemic tribe)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*With a a few species of </w:t>
      </w:r>
      <w:r w:rsidDel="00000000" w:rsidR="00000000" w:rsidRPr="00000000">
        <w:rPr>
          <w:i w:val="1"/>
          <w:rtl w:val="0"/>
        </w:rPr>
        <w:t xml:space="preserve">Pomaderris </w:t>
      </w:r>
      <w:r w:rsidDel="00000000" w:rsidR="00000000" w:rsidRPr="00000000">
        <w:rPr>
          <w:rtl w:val="0"/>
        </w:rPr>
        <w:t xml:space="preserve">found in NZ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~ 250 species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Dated tree (Francis)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samples together and update the dated tree (BEAST)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TreePL for now (might have to go with TreePL at the end if BEAST can’t converge)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MiSSE (Thais)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Spatial hotspots of diversification/ploidy etc. (Thais)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have cleaned occurrence records for all genera in Pomaderreae now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Distributional range-size </w:t>
      </w:r>
      <w:r w:rsidDel="00000000" w:rsidR="00000000" w:rsidRPr="00000000">
        <w:rPr>
          <w:rtl w:val="0"/>
        </w:rPr>
        <w:t xml:space="preserve">(Tim)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Still waiting for Spyridium (follow-up)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