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120" w:line="288" w:lineRule="auto"/>
        <w:jc w:val="center"/>
        <w:rPr>
          <w:sz w:val="36"/>
          <w:szCs w:val="36"/>
        </w:rPr>
      </w:pPr>
      <w:bookmarkStart w:colFirst="0" w:colLast="0" w:name="_a629q18j18z1" w:id="0"/>
      <w:bookmarkEnd w:id="0"/>
      <w:r w:rsidDel="00000000" w:rsidR="00000000" w:rsidRPr="00000000">
        <w:rPr>
          <w:sz w:val="36"/>
          <w:szCs w:val="36"/>
          <w:rtl w:val="0"/>
        </w:rPr>
        <w:t xml:space="preserve">HANOI UNIVERSITY OF SCIENCE AND TECHNOLOGY</w:t>
      </w:r>
    </w:p>
    <w:p w:rsidR="00000000" w:rsidDel="00000000" w:rsidP="00000000" w:rsidRDefault="00000000" w:rsidRPr="00000000" w14:paraId="00000002">
      <w:pPr>
        <w:spacing w:before="120" w:line="288" w:lineRule="auto"/>
        <w:jc w:val="center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School of Information and communications technology</w:t>
      </w:r>
    </w:p>
    <w:p w:rsidR="00000000" w:rsidDel="00000000" w:rsidP="00000000" w:rsidRDefault="00000000" w:rsidRPr="00000000" w14:paraId="00000003">
      <w:pPr>
        <w:spacing w:before="120" w:line="288" w:lineRule="auto"/>
        <w:jc w:val="center"/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before="120" w:line="288" w:lineRule="auto"/>
        <w:jc w:val="center"/>
        <w:rPr>
          <w:sz w:val="36"/>
          <w:szCs w:val="36"/>
        </w:rPr>
      </w:pPr>
      <w:r w:rsidDel="00000000" w:rsidR="00000000" w:rsidRPr="00000000">
        <w:rPr>
          <w:sz w:val="44"/>
          <w:szCs w:val="44"/>
          <w:rtl w:val="0"/>
        </w:rPr>
        <w:t xml:space="preserve">DESIGN PRINCIPLES REPORT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before="120" w:line="288" w:lineRule="auto"/>
        <w:jc w:val="both"/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before="120" w:line="288" w:lineRule="auto"/>
        <w:jc w:val="center"/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before="120" w:line="288" w:lineRule="auto"/>
        <w:jc w:val="center"/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AIMS Project</w:t>
      </w:r>
    </w:p>
    <w:p w:rsidR="00000000" w:rsidDel="00000000" w:rsidP="00000000" w:rsidRDefault="00000000" w:rsidRPr="00000000" w14:paraId="00000008">
      <w:pPr>
        <w:spacing w:before="120" w:line="288" w:lineRule="auto"/>
        <w:jc w:val="center"/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Subject: ITSS Software Development</w:t>
      </w:r>
    </w:p>
    <w:p w:rsidR="00000000" w:rsidDel="00000000" w:rsidP="00000000" w:rsidRDefault="00000000" w:rsidRPr="00000000" w14:paraId="00000009">
      <w:pPr>
        <w:spacing w:before="120" w:line="288" w:lineRule="auto"/>
        <w:jc w:val="center"/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before="120" w:line="288" w:lineRule="auto"/>
        <w:jc w:val="center"/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before="120" w:line="288" w:lineRule="auto"/>
        <w:jc w:val="center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Group 18</w:t>
      </w:r>
    </w:p>
    <w:p w:rsidR="00000000" w:rsidDel="00000000" w:rsidP="00000000" w:rsidRDefault="00000000" w:rsidRPr="00000000" w14:paraId="0000000C">
      <w:pPr>
        <w:spacing w:before="120" w:line="288" w:lineRule="auto"/>
        <w:jc w:val="center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Nguyễn Tuấn Đạt – 20235907</w:t>
      </w:r>
    </w:p>
    <w:p w:rsidR="00000000" w:rsidDel="00000000" w:rsidP="00000000" w:rsidRDefault="00000000" w:rsidRPr="00000000" w14:paraId="0000000D">
      <w:pPr>
        <w:spacing w:before="120" w:line="288" w:lineRule="auto"/>
        <w:jc w:val="center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Thành Hựu Đạt – 20235909</w:t>
      </w:r>
    </w:p>
    <w:p w:rsidR="00000000" w:rsidDel="00000000" w:rsidP="00000000" w:rsidRDefault="00000000" w:rsidRPr="00000000" w14:paraId="0000000E">
      <w:pPr>
        <w:spacing w:before="120" w:line="288" w:lineRule="auto"/>
        <w:jc w:val="center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Lê Tùng Lâm – 20235962</w:t>
      </w:r>
    </w:p>
    <w:p w:rsidR="00000000" w:rsidDel="00000000" w:rsidP="00000000" w:rsidRDefault="00000000" w:rsidRPr="00000000" w14:paraId="0000000F">
      <w:pPr>
        <w:spacing w:before="120" w:line="288" w:lineRule="auto"/>
        <w:jc w:val="center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Chu Tuấn Linh – 20235963</w:t>
      </w:r>
    </w:p>
    <w:p w:rsidR="00000000" w:rsidDel="00000000" w:rsidP="00000000" w:rsidRDefault="00000000" w:rsidRPr="00000000" w14:paraId="00000010">
      <w:pPr>
        <w:spacing w:before="120" w:line="288" w:lineRule="auto"/>
        <w:jc w:val="center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Tạ Hải Luân – 20235969</w:t>
      </w:r>
    </w:p>
    <w:p w:rsidR="00000000" w:rsidDel="00000000" w:rsidP="00000000" w:rsidRDefault="00000000" w:rsidRPr="00000000" w14:paraId="00000011">
      <w:pPr>
        <w:spacing w:before="120" w:line="288" w:lineRule="auto"/>
        <w:jc w:val="both"/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before="120" w:line="288" w:lineRule="auto"/>
        <w:jc w:val="center"/>
        <w:rPr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before="120" w:line="288" w:lineRule="auto"/>
        <w:jc w:val="center"/>
        <w:rPr>
          <w:i w:val="1"/>
          <w:iCs w:val="1"/>
          <w:sz w:val="28"/>
          <w:szCs w:val="28"/>
        </w:rPr>
      </w:pPr>
      <w:bookmarkStart w:colFirst="0" w:colLast="0" w:name="_20ajufrdh0eu" w:id="1"/>
      <w:bookmarkEnd w:id="1"/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Hanoi, May 2026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numPr>
          <w:ilvl w:val="0"/>
          <w:numId w:val="1"/>
        </w:numPr>
        <w:ind w:left="720" w:hanging="360"/>
        <w:rPr>
          <w:b w:val="1"/>
          <w:bCs w:val="1"/>
        </w:rPr>
      </w:pPr>
      <w:bookmarkStart w:colFirst="0" w:colLast="0" w:name="_8h1k0ls5v28e" w:id="2"/>
      <w:bookmarkEnd w:id="2"/>
      <w:r w:rsidDel="00000000" w:rsidR="00000000" w:rsidRPr="00000000">
        <w:rPr>
          <w:b w:val="1"/>
          <w:bCs w:val="1"/>
          <w:rtl w:val="0"/>
        </w:rPr>
        <w:t xml:space="preserve">Single Responsibility Principle (SRP)</w:t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0qkm4jz4m3" w:id="3"/>
      <w:bookmarkEnd w:id="3"/>
      <w:r w:rsidDel="00000000" w:rsidR="00000000" w:rsidRPr="00000000">
        <w:rPr>
          <w:rtl w:val="0"/>
        </w:rPr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47.382970151987"/>
        <w:gridCol w:w="709.4472074711592"/>
        <w:gridCol w:w="1792.508624793994"/>
        <w:gridCol w:w="1666.5712506866876"/>
        <w:gridCol w:w="2409.601757919795"/>
        <w:tblGridChange w:id="0">
          <w:tblGrid>
            <w:gridCol w:w="2447.382970151987"/>
            <w:gridCol w:w="709.4472074711592"/>
            <w:gridCol w:w="1792.508624793994"/>
            <w:gridCol w:w="1666.5712506866876"/>
            <w:gridCol w:w="2409.60175791979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Module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PIC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Impact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Improvement Direction</w:t>
            </w:r>
          </w:p>
        </w:tc>
      </w:tr>
      <w:tr>
        <w:trPr>
          <w:cantSplit w:val="0"/>
          <w:trHeight w:val="38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ProductService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Linh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This service handles multiple responsibilities in product CUD: data validation, product creation/update, type-specific detail synchronization, delete/deactivate handling based on stock, delete-count limitation, and history logging.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 small change in validation rules, history logging, or product subtype behavior may require changes in multiple parts of the same service. Unit tests are also harder to isolate.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Split it into ProductCommandService, ProductTypeDetailService, ProductDeletionPolicy, ProductValidator, and ProductHistoryService.</w:t>
            </w:r>
          </w:p>
        </w:tc>
      </w:tr>
      <w:tr>
        <w:trPr>
          <w:cantSplit w:val="0"/>
          <w:trHeight w:val="243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ProductListCreateView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Linh, Lam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This view combines customer product listing, manager product listing, and manager product creation.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Customer read flow and manager write flow have different reasons to change but are currently placed in the same controller.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Split customer read views from manager command/list views. Selectors/services may still be shared where appropriate.</w:t>
            </w:r>
          </w:p>
        </w:tc>
      </w:tr>
      <w:tr>
        <w:trPr>
          <w:cantSplit w:val="0"/>
          <w:trHeight w:val="21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ProductForm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Linh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This component manages form state, price hints, subtype resets, payload shaping, create/edit mode, and submit status.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When form rules, subtype fields, or layout change, the component can become large and difficult to test.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Move form state/validation into a hook such as useProductForm; move subtype behavior into a registry or dedicated components.</w:t>
            </w:r>
          </w:p>
        </w:tc>
      </w:tr>
      <w:tr>
        <w:trPr>
          <w:cantSplit w:val="0"/>
          <w:trHeight w:val="243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ProductListScreen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Lam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This component loads products, manages filters/pagination, handles add-to-cart errors, and opens the detail popup.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Product browsing and cart interaction are coupled in the same screen, making UI and flow tests more complex.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Extract useProductCatalog and useAddToCart hooks; keep the screen focused on composing layout.</w:t>
            </w:r>
          </w:p>
        </w:tc>
      </w:tr>
      <w:tr>
        <w:trPr>
          <w:cantSplit w:val="0"/>
          <w:trHeight w:val="243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ProductDetailPopup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Lam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This popup fetches product details, manages loading/error state, quantity state, add-to-cart action, and modal rendering.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Data loading, cart actions, and modal UI may change independently but are currently placed in one component.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Move fetch and cart actions into hooks; let the popup receive a view model and focus on rendering.</w:t>
            </w:r>
          </w:p>
        </w:tc>
      </w:tr>
      <w:tr>
        <w:trPr>
          <w:cantSplit w:val="0"/>
          <w:trHeight w:val="21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ProductDeleteDialog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Linh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This dialog renders confirmation UI but also contains text describing backend delete/deactivate rules.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If backend rules change, the UI copy may become inconsistent with actual behavior.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Pass policy text from the parent component or API metadata; keep the dialog focused on confirming the action.</w:t>
            </w:r>
          </w:p>
        </w:tc>
      </w:tr>
      <w:tr>
        <w:trPr>
          <w:cantSplit w:val="0"/>
          <w:trHeight w:val="27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CartService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 Thanh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This service combines cart retrieval/mutation, stock validation coordination, subtotal/weight calculation, and ORM access.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Cart mutation, checkout validation, and summary calculation have different reasons to change but are placed in the same service.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Split cart command handling, stock policy, totals calculator, and repository/query helpers.</w:t>
            </w:r>
          </w:p>
        </w:tc>
      </w:tr>
      <w:tr>
        <w:trPr>
          <w:cantSplit w:val="0"/>
          <w:trHeight w:val="243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CartSerializer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 Thanh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This serializer formats the response but calls CartService to calculate subtotal, canPlaceOrder, and stockErrors.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Serialization becomes dependent on business validation, so API output tests depend on service logic.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Return a precomputed read DTO from the service or introduce a cart summary read model.</w:t>
            </w:r>
          </w:p>
        </w:tc>
      </w:tr>
      <w:tr>
        <w:trPr>
          <w:cantSplit w:val="0"/>
          <w:trHeight w:val="243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CartScreen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 Thanh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This screen loads the cart, updates/removes items, creates a draft order, stores checkout tokens, and navigates to checkout.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Cart UI and order-start workflow are combined, making them harder to test independently.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Extract useCart and useStartCheckout hooks.</w:t>
            </w:r>
          </w:p>
        </w:tc>
      </w:tr>
      <w:tr>
        <w:trPr>
          <w:cantSplit w:val="0"/>
          <w:trHeight w:val="18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carts/api.ts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 Thanh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This API module manages cart token storage, HTTP calls, and cart-count event broadcasting.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Storage, networking, and UI synchronization are coupled.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Extract token storage and cart event publishing from the API client.</w:t>
            </w:r>
          </w:p>
        </w:tc>
      </w:tr>
      <w:tr>
        <w:trPr>
          <w:cantSplit w:val="0"/>
          <w:trHeight w:val="32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OrderPlacementService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 Thanh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This service coordinates draft orders, delivery information, invoices, stock validation, order confirmation, paid-state marking, stock mutation, notifications, and refund triggering.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This is a large orchestration service with many reasons to change: checkout, payment success, cancellation, stock, and email.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Keep it as an orchestration service but inject collaborators for delivery, invoice, stock, notification, and refund/payment boundaries.</w:t>
            </w:r>
          </w:p>
        </w:tc>
      </w:tr>
      <w:tr>
        <w:trPr>
          <w:cantSplit w:val="0"/>
          <w:trHeight w:val="21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validate_delivery_info / DeliveryInfoValidator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 Thanh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This validator combines many delivery field rules and switches behavior using require_full.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When new delivery modes or optional flows are added, the validator can accumulate more branching logic.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Split field validators or validation rule objects by scenario.</w:t>
            </w:r>
          </w:p>
        </w:tc>
      </w:tr>
      <w:tr>
        <w:trPr>
          <w:cantSplit w:val="0"/>
          <w:trHeight w:val="16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OrderDraftView and order checkout views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 Thanh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These order views repeat request parsing, exception mapping, and service delegation.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Changes to error handling may require editing multiple controllers.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Create a shared base helper or API adapter for exception mapping; keep each view focused on one HTTP action.</w:t>
            </w:r>
          </w:p>
        </w:tc>
      </w:tr>
      <w:tr>
        <w:trPr>
          <w:cantSplit w:val="0"/>
          <w:trHeight w:val="27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OrderCancelView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 Thanh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This view directly looks up orders by cancel token before delegating cancellation.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Public-token lookup and cancellation policy are hard to test separately and may be duplicated in other public endpoints.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Move token lookup into a selector or service.</w:t>
            </w:r>
          </w:p>
        </w:tc>
      </w:tr>
      <w:tr>
        <w:trPr>
          <w:cantSplit w:val="0"/>
          <w:trHeight w:val="21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DeliveryInfoForm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 Thanh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This component manages form state, error mapping, live delivery preview, submit behavior, and navigation.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Delivery UX and fee-preview behavior are difficult to change independently.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Extract useDeliveryForm and useDeliveryPreview hooks.</w:t>
            </w:r>
          </w:p>
        </w:tc>
      </w:tr>
      <w:tr>
        <w:trPr>
          <w:cantSplit w:val="0"/>
          <w:trHeight w:val="21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InvoiceScreen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 Thanh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This screen loads the invoice, renders item/delivery details, confirms the order, and navigates to payment.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Invoice presentation and checkout orchestration are coupled.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Move invoice loading and order confirmation into a hook.</w:t>
            </w:r>
          </w:p>
        </w:tc>
      </w:tr>
      <w:tr>
        <w:trPr>
          <w:cantSplit w:val="0"/>
          <w:trHeight w:val="21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InvoiceSummary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 Thanh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This component is currently display-only; the comment warns against adding payment/navigation logic here.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If payment logic is added to the summary, the component will lose reusability.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Continue passing precomputed invoice totals; keep payment actions in the parent component.</w:t>
            </w:r>
          </w:p>
        </w:tc>
      </w:tr>
      <w:tr>
        <w:trPr>
          <w:cantSplit w:val="0"/>
          <w:trHeight w:val="243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orders/api.ts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 Thanh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This API module combines draft order, delivery, invoice, mark-paid, tracking, cancellation, and preview endpoints.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Checkout APIs and public tracking/payment-transition APIs change for different reasons but are placed in the same file.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Split it into checkoutApi, orderTrackingApi, and orderPaymentApi.</w:t>
            </w:r>
          </w:p>
        </w:tc>
      </w:tr>
      <w:tr>
        <w:trPr>
          <w:cantSplit w:val="0"/>
          <w:trHeight w:val="243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VietQRService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Luan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This service creates transactions, calls the gateway, validates callbacks, updates payment state, and attempts to synchronize order status.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QR workflow is coupled to persistence, gateway construction, and order integration.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Inject gateway and order-fulfillment collaborators; separate callback validation from transaction persistence.</w:t>
            </w:r>
          </w:p>
        </w:tc>
      </w:tr>
      <w:tr>
        <w:trPr>
          <w:cantSplit w:val="0"/>
          <w:trHeight w:val="27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VietQRGateway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Luan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This gateway handles token retrieval, settings, HTTP calls, response parsing, QR data URL conversion, and ORM-based status lookup.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Gateway tests require both configuration and database state; status or token changes may affect QR generation.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Inject token, configuration, and status collaborators; keep the gateway focused on mapping the HTTP provider to DTOs.</w:t>
            </w:r>
          </w:p>
        </w:tc>
      </w:tr>
      <w:tr>
        <w:trPr>
          <w:cantSplit w:val="0"/>
          <w:trHeight w:val="243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VietQRTransactionSyncView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Luan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This view verifies bearer tokens, parses provider payloads, calls the service, and formats the response envelope for VietQR.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Callback authentication, provider mapping, and payment confirmation are coupled inside the controller.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Move callback authentication and payload mapping into a handler/service.</w:t>
            </w:r>
          </w:p>
        </w:tc>
      </w:tr>
      <w:tr>
        <w:trPr>
          <w:cantSplit w:val="0"/>
          <w:trHeight w:val="243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QRPaymentScreen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Luan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This component creates QR payments, checks status, performs mock confirmation, marks the order as paid, and handles routing.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UI depends directly on the backend payment workflow, making it harder to test or replace the provider.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Move QR orchestration into a hook/service; keep the component focused on rendering QR/status/action UI.</w:t>
            </w:r>
          </w:p>
        </w:tc>
      </w:tr>
      <w:tr>
        <w:trPr>
          <w:cantSplit w:val="0"/>
          <w:trHeight w:val="18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payments/api.ts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Luan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This API module mixes production VietQR endpoints, mock callbacks, and error translation.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Demo/mock changes may affect the production API module.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Move mock/demo helpers out of the production payment API.</w:t>
            </w:r>
          </w:p>
        </w:tc>
      </w:tr>
      <w:tr>
        <w:trPr>
          <w:cantSplit w:val="0"/>
          <w:trHeight w:val="243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PayPalGateway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Đạt Tuấn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This gateway combines order creation, capture, refund, OAuth token caching, mock mode, and HTTP error mapping.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Authentication, transport, mock/demo logic, and provider mapping change within the same class.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Extract token manager and mock adapter; keep the gateway focused on PayPal REST mapping.</w:t>
            </w:r>
          </w:p>
        </w:tc>
      </w:tr>
      <w:tr>
        <w:trPr>
          <w:cantSplit w:val="0"/>
          <w:trHeight w:val="18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PayPalPaymentView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Đạt Tuấn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This view validates input, calculates amount/currency, calls the payment service, and creates transactions.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controller mixes HTTP concerns, orchestration, and persistence.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Move transaction creation and amount selection into a PayPal application service.</w:t>
            </w:r>
          </w:p>
        </w:tc>
      </w:tr>
      <w:tr>
        <w:trPr>
          <w:cantSplit w:val="0"/>
          <w:trHeight w:val="243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PayPalPaymentButton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Đạt Tuấn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This component loads the PayPal SDK, calls initiate/capture APIs, handles redirects, and renders fallback UI.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UI is coupled to the PayPal global SDK and concrete backend APIs.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Move SDK loading and payment orchestration into a hook/service; inject a payment client.</w:t>
            </w:r>
          </w:p>
        </w:tc>
      </w:tr>
      <w:tr>
        <w:trPr>
          <w:cantSplit w:val="0"/>
          <w:trHeight w:val="243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PayPalPaymentInner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Đạt Tuấn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This page parses query parameters, builds return/cancel URLs, captures payment, maps results, and renders multiple page states.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Routing, payment orchestration, and result presentation are coupled.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Move query parsing and capture orchestration into a hook/view model.</w:t>
            </w:r>
          </w:p>
        </w:tc>
      </w:tr>
      <w:tr>
        <w:trPr>
          <w:cantSplit w:val="0"/>
          <w:trHeight w:val="243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PaymentService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Luan, Đạt Tuấn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This service exposes initiate, capture, and refund operations in the same service.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 caller that only needs capture still depends on refund behavior; the service can grow too large as operations expand.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Split payment orchestration from refund orchestration.</w:t>
            </w:r>
          </w:p>
        </w:tc>
      </w:tr>
      <w:tr>
        <w:trPr>
          <w:cantSplit w:val="0"/>
          <w:trHeight w:val="183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RefundService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Đạt Tuấn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This service focuses on refunds but depends on the overly broad PaymentGateway abstraction.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Refund-only logic is forced to depend on create/capture capabilities.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 a smaller interface such as RefundProcessor.</w:t>
            </w:r>
          </w:p>
        </w:tc>
      </w:tr>
    </w:tbl>
    <w:p w:rsidR="00000000" w:rsidDel="00000000" w:rsidP="00000000" w:rsidRDefault="00000000" w:rsidRPr="00000000" w14:paraId="000000AF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2"/>
        <w:numPr>
          <w:ilvl w:val="0"/>
          <w:numId w:val="1"/>
        </w:numPr>
        <w:ind w:left="720" w:hanging="360"/>
        <w:rPr>
          <w:b w:val="1"/>
          <w:bCs w:val="1"/>
        </w:rPr>
      </w:pPr>
      <w:bookmarkStart w:colFirst="0" w:colLast="0" w:name="_9nte8iezuiec" w:id="4"/>
      <w:bookmarkEnd w:id="4"/>
      <w:r w:rsidDel="00000000" w:rsidR="00000000" w:rsidRPr="00000000">
        <w:rPr>
          <w:b w:val="1"/>
          <w:bCs w:val="1"/>
          <w:rtl w:val="0"/>
        </w:rPr>
        <w:t xml:space="preserve">Open/Closed Principle (OCP)</w:t>
      </w:r>
    </w:p>
    <w:p w:rsidR="00000000" w:rsidDel="00000000" w:rsidP="00000000" w:rsidRDefault="00000000" w:rsidRPr="00000000" w14:paraId="000000B1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25.51181102362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09.4638330533608"/>
        <w:gridCol w:w="698.4256681467617"/>
        <w:gridCol w:w="2539.028119561156"/>
        <w:gridCol w:w="1045.709149545704"/>
        <w:gridCol w:w="1832.8850407166399"/>
        <w:tblGridChange w:id="0">
          <w:tblGrid>
            <w:gridCol w:w="2909.4638330533608"/>
            <w:gridCol w:w="698.4256681467617"/>
            <w:gridCol w:w="2539.028119561156"/>
            <w:gridCol w:w="1045.709149545704"/>
            <w:gridCol w:w="1832.8850407166399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Module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PIC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Impact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Improvement Direction</w:t>
            </w:r>
          </w:p>
        </w:tc>
      </w:tr>
      <w:tr>
        <w:trPr>
          <w:cantSplit w:val="0"/>
          <w:trHeight w:val="243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serialize_type_details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Lam, Linh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function hard-codes the ProductType -&gt; related_name mapping.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Adding a new product type requires modifying the existing serializer.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 a subtype serializer registry or a strategy per product type.</w:t>
            </w:r>
          </w:p>
        </w:tc>
      </w:tr>
      <w:tr>
        <w:trPr>
          <w:cantSplit w:val="0"/>
          <w:trHeight w:val="243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ProductSelector.list_for_customer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Lam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This method hard-codes filter/sort policies and random landing behavior.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Adding a new filter or sort option requires modifying the central method.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Extract filter/sort policies or use a query builder registry.</w:t>
            </w:r>
          </w:p>
        </w:tc>
      </w:tr>
      <w:tr>
        <w:trPr>
          <w:cantSplit w:val="0"/>
          <w:trHeight w:val="243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ProductTypeFields.FIELD_CONFIG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Linh, Lam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field config hard-codes all subtype fields in the frontend.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Adding or changing a subtype requires modifying the component module.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 a shared field registry or metadata from the backend.</w:t>
            </w:r>
          </w:p>
        </w:tc>
      </w:tr>
      <w:tr>
        <w:trPr>
          <w:cantSplit w:val="0"/>
          <w:trHeight w:val="243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TypeSpecificDetail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Lam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component renders subtypes using switch(product.product_type).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Adding a new product type requires modifying the component.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 a component registry keyed by product_type.</w:t>
            </w:r>
          </w:p>
        </w:tc>
      </w:tr>
      <w:tr>
        <w:trPr>
          <w:cantSplit w:val="0"/>
          <w:trHeight w:val="21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ProductForm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Linh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form contains subtype switching and field reset logic.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Adding a new subtype can require changes inside the form.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 a subtype behavior registry.</w:t>
            </w:r>
          </w:p>
        </w:tc>
      </w:tr>
      <w:tr>
        <w:trPr>
          <w:cantSplit w:val="0"/>
          <w:trHeight w:val="27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DeliveryFeeService / calculate_delivery_fee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 Thanh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fee formula hard-codes city groups, base fee, weight steps, and discounts.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Adding a new shipping region or method requires modifying the function.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 delivery fee policy objects or a configurable rate table.</w:t>
            </w:r>
          </w:p>
        </w:tc>
      </w:tr>
      <w:tr>
        <w:trPr>
          <w:cantSplit w:val="0"/>
          <w:trHeight w:val="243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determine_refund_action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 Thanh, Luan, Đạt Tuấn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function hard-codes refund decisions for PayPal/VietQR based on payment_method.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Adding a new payment provider requires modifying the function.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 a provider-specific refund policy registry.</w:t>
            </w:r>
          </w:p>
        </w:tc>
      </w:tr>
      <w:tr>
        <w:trPr>
          <w:cantSplit w:val="0"/>
          <w:trHeight w:val="38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PaymentTransaction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Luan, Đạt Tuấn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model is gateway-agnostic but contains provider-specific fields such as capture_id, refund_id, transaction_reference, and provider_payload.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 new provider may require additional nullable or overloaded fields, making the model harder to extend cleanly.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Keep common fields in the base transaction and move provider metadata to extension records or typed DTOs.</w:t>
            </w:r>
          </w:p>
        </w:tc>
      </w:tr>
      <w:tr>
        <w:trPr>
          <w:cantSplit w:val="0"/>
          <w:trHeight w:val="18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PaymentResult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Đạt Tuấn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local STATUS_CONFIG hard-codes result states.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Adding a new status requires modifying the component.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Pass display config from the caller or use a result-state registry.</w:t>
            </w:r>
          </w:p>
        </w:tc>
      </w:tr>
      <w:tr>
        <w:trPr>
          <w:cantSplit w:val="0"/>
          <w:trHeight w:val="29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products/api.ts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Linh, Lam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This file combines manager CUD endpoints and customer read/detail endpoints.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Extending manager or customer APIs makes the file harder to keep within a clear boundary.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Split it into productManagementApi and customerProductApi.</w:t>
            </w:r>
          </w:p>
        </w:tc>
      </w:tr>
    </w:tbl>
    <w:p w:rsidR="00000000" w:rsidDel="00000000" w:rsidP="00000000" w:rsidRDefault="00000000" w:rsidRPr="00000000" w14:paraId="000000E9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Style w:val="Heading2"/>
        <w:numPr>
          <w:ilvl w:val="0"/>
          <w:numId w:val="1"/>
        </w:numPr>
        <w:ind w:left="720" w:hanging="360"/>
        <w:rPr>
          <w:b w:val="1"/>
          <w:bCs w:val="1"/>
        </w:rPr>
      </w:pPr>
      <w:bookmarkStart w:colFirst="0" w:colLast="0" w:name="_a0eyneyclazq" w:id="5"/>
      <w:bookmarkEnd w:id="5"/>
      <w:r w:rsidDel="00000000" w:rsidR="00000000" w:rsidRPr="00000000">
        <w:rPr>
          <w:b w:val="1"/>
          <w:bCs w:val="1"/>
          <w:rtl w:val="0"/>
        </w:rPr>
        <w:t xml:space="preserve">Liskov Substitution Principle (LSP)</w:t>
      </w:r>
    </w:p>
    <w:p w:rsidR="00000000" w:rsidDel="00000000" w:rsidP="00000000" w:rsidRDefault="00000000" w:rsidRPr="00000000" w14:paraId="000000EB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02.0730605395638"/>
        <w:gridCol w:w="753.6672260229767"/>
        <w:gridCol w:w="2334.9812830773208"/>
        <w:gridCol w:w="1696.9071898799539"/>
        <w:gridCol w:w="2237.8830515038085"/>
        <w:tblGridChange w:id="0">
          <w:tblGrid>
            <w:gridCol w:w="2002.0730605395638"/>
            <w:gridCol w:w="753.6672260229767"/>
            <w:gridCol w:w="2334.9812830773208"/>
            <w:gridCol w:w="1696.9071898799539"/>
            <w:gridCol w:w="2237.8830515038085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Module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PIC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Impact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Improvement Direction</w:t>
            </w:r>
          </w:p>
        </w:tc>
      </w:tr>
      <w:tr>
        <w:trPr>
          <w:cantSplit w:val="0"/>
          <w:trHeight w:val="29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PaymentGateway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Luan, Đạt Tuấn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abstract gateway forces every provider to implement create_payment, capture_payment, and refund_payment, even though QR/manual refund providers may not have the same capabilities as PayPal.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 provider may need to implement unsupported methods, making provider substitution fragile.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Split the interface by capability: PaymentCreator, PaymentCapturer, RefundProcessor, and StatusProvider.</w:t>
            </w:r>
          </w:p>
        </w:tc>
      </w:tr>
      <w:tr>
        <w:trPr>
          <w:cantSplit w:val="0"/>
          <w:trHeight w:val="32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PaymentTransaction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Luan, Đạt Tuấn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 single transaction model is shared, but provider-specific fields do not apply equally to every gateway.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Shared code may assume fields exist for providers that do not support them, making substitution between QR/card transactions fragile.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Standardize the common transaction contract and move provider-specific details into typed extension/metadata records.</w:t>
            </w:r>
          </w:p>
        </w:tc>
      </w:tr>
    </w:tbl>
    <w:p w:rsidR="00000000" w:rsidDel="00000000" w:rsidP="00000000" w:rsidRDefault="00000000" w:rsidRPr="00000000" w14:paraId="000000FB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Style w:val="Heading2"/>
        <w:numPr>
          <w:ilvl w:val="0"/>
          <w:numId w:val="1"/>
        </w:numPr>
        <w:ind w:left="720" w:hanging="360"/>
        <w:rPr>
          <w:b w:val="1"/>
          <w:bCs w:val="1"/>
        </w:rPr>
      </w:pPr>
      <w:bookmarkStart w:colFirst="0" w:colLast="0" w:name="_ul5yifdbrkt6" w:id="6"/>
      <w:bookmarkEnd w:id="6"/>
      <w:r w:rsidDel="00000000" w:rsidR="00000000" w:rsidRPr="00000000">
        <w:rPr>
          <w:b w:val="1"/>
          <w:bCs w:val="1"/>
          <w:rtl w:val="0"/>
        </w:rPr>
        <w:t xml:space="preserve">Interface Segregation Principle (ISP)</w:t>
      </w:r>
    </w:p>
    <w:p w:rsidR="00000000" w:rsidDel="00000000" w:rsidP="00000000" w:rsidRDefault="00000000" w:rsidRPr="00000000" w14:paraId="000000FD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02.2714656819771"/>
        <w:gridCol w:w="754.8273089773476"/>
        <w:gridCol w:w="1824.5519002274536"/>
        <w:gridCol w:w="1880.1220088638229"/>
        <w:gridCol w:w="2963.739127273021"/>
        <w:tblGridChange w:id="0">
          <w:tblGrid>
            <w:gridCol w:w="1602.2714656819771"/>
            <w:gridCol w:w="754.8273089773476"/>
            <w:gridCol w:w="1824.5519002274536"/>
            <w:gridCol w:w="1880.1220088638229"/>
            <w:gridCol w:w="2963.739127273021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Module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PIC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Impact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Improvement Direction</w:t>
            </w:r>
          </w:p>
        </w:tc>
      </w:tr>
      <w:tr>
        <w:trPr>
          <w:cantSplit w:val="0"/>
          <w:trHeight w:val="18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PaymentGateway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Luan, Đạt Tuấn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interface is too broad because it combines create, capture, and refund operations.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Gateway implementations depend on methods they may not need or support.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Split it into smaller capability-specific interfaces.</w:t>
            </w:r>
          </w:p>
        </w:tc>
      </w:tr>
      <w:tr>
        <w:trPr>
          <w:cantSplit w:val="0"/>
          <w:trHeight w:val="18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PaymentService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Luan, Đạt Tuấn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service API combines initiation, capture, and refund orchestration.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 client that only needs one operation still depends on the whole service.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Split it into PaymentInitiationService, PaymentCaptureService, and RefundApplicationService if the flow continues to grow.</w:t>
            </w:r>
          </w:p>
        </w:tc>
      </w:tr>
      <w:tr>
        <w:trPr>
          <w:cantSplit w:val="0"/>
          <w:trHeight w:val="17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RefundService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Đạt Tuấn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RefundService depends on PaymentGateway instead of a refund-only interface.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refund module is coupled to unused create/capture methods.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Create a RefundProcessor abstraction with only refund_payment.</w:t>
            </w:r>
          </w:p>
        </w:tc>
      </w:tr>
    </w:tbl>
    <w:p w:rsidR="00000000" w:rsidDel="00000000" w:rsidP="00000000" w:rsidRDefault="00000000" w:rsidRPr="00000000" w14:paraId="00000112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Style w:val="Heading2"/>
        <w:numPr>
          <w:ilvl w:val="0"/>
          <w:numId w:val="1"/>
        </w:numPr>
        <w:ind w:left="720" w:hanging="360"/>
        <w:rPr>
          <w:b w:val="1"/>
          <w:bCs w:val="1"/>
        </w:rPr>
      </w:pPr>
      <w:bookmarkStart w:colFirst="0" w:colLast="0" w:name="_wowv1opuxtc6" w:id="7"/>
      <w:bookmarkEnd w:id="7"/>
      <w:r w:rsidDel="00000000" w:rsidR="00000000" w:rsidRPr="00000000">
        <w:rPr>
          <w:b w:val="1"/>
          <w:bCs w:val="1"/>
          <w:rtl w:val="0"/>
        </w:rPr>
        <w:t xml:space="preserve">Dependency Inversion Principle (DIP)</w:t>
      </w:r>
    </w:p>
    <w:p w:rsidR="00000000" w:rsidDel="00000000" w:rsidP="00000000" w:rsidRDefault="00000000" w:rsidRPr="00000000" w14:paraId="00000114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93.3677552601007"/>
        <w:gridCol w:w="781.4095779011232"/>
        <w:gridCol w:w="2376.59481089454"/>
        <w:gridCol w:w="1766.2630695753196"/>
        <w:gridCol w:w="1807.8765973925395"/>
        <w:tblGridChange w:id="0">
          <w:tblGrid>
            <w:gridCol w:w="2293.3677552601007"/>
            <w:gridCol w:w="781.4095779011232"/>
            <w:gridCol w:w="2376.59481089454"/>
            <w:gridCol w:w="1766.2630695753196"/>
            <w:gridCol w:w="1807.8765973925395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Module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PIC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Impact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Improvement Direction</w:t>
            </w:r>
          </w:p>
        </w:tc>
      </w:tr>
      <w:tr>
        <w:trPr>
          <w:cantSplit w:val="0"/>
          <w:trHeight w:val="21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ProductService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Linh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This service directly calls ORM models and ProductHistoryService.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Product CUD unit tests are harder because persistence and history logging are difficult to mock.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Inject repository/history abstractions or service collaborators.</w:t>
            </w:r>
          </w:p>
        </w:tc>
      </w:tr>
      <w:tr>
        <w:trPr>
          <w:cantSplit w:val="0"/>
          <w:trHeight w:val="18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CartService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 Thanh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This service directly depends on Product, Cart, and CartItem ORM models.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Cart behavior is hard to test without a database.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Extract a repository/query layer or use injected collaborators for stock lookup.</w:t>
            </w:r>
          </w:p>
        </w:tc>
      </w:tr>
      <w:tr>
        <w:trPr>
          <w:cantSplit w:val="0"/>
          <w:trHeight w:val="18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CartSerializer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 Thanh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This serializer directly depends on CartService to calculate business output.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API presentation depends on a concrete service implementation.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Pass a summary DTO from the service/controller into serializer context or use a read model.</w:t>
            </w:r>
          </w:p>
        </w:tc>
      </w:tr>
      <w:tr>
        <w:trPr>
          <w:cantSplit w:val="0"/>
          <w:trHeight w:val="21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OrderPlacementService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 Thanh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refund path directly imports and instantiates PayPalGateway, RefundService, and payment models inside the order service.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order module is coupled to concrete payment implementations.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Inject payment/refund abstractions or use domain events so the payment module handles refunds.</w:t>
            </w:r>
          </w:p>
        </w:tc>
      </w:tr>
      <w:tr>
        <w:trPr>
          <w:cantSplit w:val="0"/>
          <w:trHeight w:val="18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_get_payment_service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Đạt Tuấn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view factory directly constructs PayPalGateway and RefundService.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View tests and provider replacement depend on concrete PayPal configuration.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Move construction into a provider registry, factory, or DI boundary.</w:t>
            </w:r>
          </w:p>
        </w:tc>
      </w:tr>
      <w:tr>
        <w:trPr>
          <w:cantSplit w:val="0"/>
          <w:trHeight w:val="16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VietQRService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Luan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constructor directly creates VietQRGateway by default, and the service also handles order synchronization.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Tests must manually mock concrete gateway and order behavior.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Inject the gateway and an order-fulfillment collaborator.</w:t>
            </w:r>
          </w:p>
        </w:tc>
      </w:tr>
      <w:tr>
        <w:trPr>
          <w:cantSplit w:val="0"/>
          <w:trHeight w:val="18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VietQRGateway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Luan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This gateway directly depends on settings, token manager, and ORM status lookup.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Token, configuration, or status implementations are hard to replace.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Inject configuration, token, and status providers.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QRPaymentScreen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Luan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This component directly imports API functions and markOrderPaid.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UI depends on the concrete backend workflow.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Inject or use a payment-client hook.</w:t>
            </w:r>
          </w:p>
        </w:tc>
      </w:tr>
      <w:tr>
        <w:trPr>
          <w:cantSplit w:val="0"/>
          <w:trHeight w:val="18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PayPalPaymentButton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Đạt Tuấn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This component directly depends on the PayPal global SDK and concrete payment API functions.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SDK/API are difficult to mock in tests, and replacing the hosted provider is harder.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Extract a PayPal SDK client and payment client abstraction.</w:t>
            </w:r>
          </w:p>
        </w:tc>
      </w:tr>
    </w:tbl>
    <w:p w:rsidR="00000000" w:rsidDel="00000000" w:rsidP="00000000" w:rsidRDefault="00000000" w:rsidRPr="00000000" w14:paraId="00000147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