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The economic landscape of San Diego County, as reflected in its Gross Regional Product (GRP), offers a compelling narrative of growth and resilience over recent years. The GRP data, which serves as a vital indicator of economic health, reveals a trajectory of steady expansion from 2019 to 2023. In 2019, San Diego County's GRP stood at approximately $244.28 billion, with a per capita GRP of $73,347. This figure saw a modest increase in 2020, reaching $244.82 billion, despite the challenges posed by the global pandemic. The per capita GRP also rose slightly to $74,278, indicating a resilient economic performance amidst global uncertainties.</w:t>
        <w:br/>
        <w:br/>
        <w:t>The subsequent years marked a period of robust growth for the county. By 2021, the GRP had surged to $268.87 billion, with a significant rise in per capita GRP to $82,100. This upward trend continued into 2022, with the GRP climbing to $296.68 billion and the per capita figure reaching $90,557. The year 2023 further solidified this growth trajectory, as the GRP peaked at $308.71 billion, and the per capita GRP increased to $94,916. These figures underscore San Diego County's dynamic economic environment, characterized by a diverse range of industries contributing to its overall economic vitality.</w:t>
        <w:br/>
        <w:br/>
        <w:t>When compared to the state of California and the national economy, San Diego County's performance is noteworthy. California's GRP also experienced growth, rising from approximately $2.99 trillion in 2019 to $3.65 trillion in 2023. The state's per capita GRP followed a similar pattern, increasing from $75,789 in 2019 to $93,800 in 2023. On a national scale, the United States saw its GRP grow from $20.93 trillion in 2019 to $25.96 trillion in 2023, with per capita figures rising from $63,754 to $77,366 over the same period.</w:t>
        <w:br/>
        <w:br/>
        <w:t>San Diego County's economic growth is driven by a diverse array of industries, each contributing significantly to the region's GRP. Key sectors include government, manufacturing, and professional, scientific, and technical services, which have consistently been major contributors to the county's economic output. The government sector alone accounted for over $52.92 billion in 2023, while manufacturing contributed approximately $31.67 billion. The professional, scientific, and technical services sector also played a crucial role, with a contribution of $37.04 billion in the same year.</w:t>
        <w:br/>
        <w:br/>
        <w:t>In summary, San Diego County's economic performance from 2019 to 2023 reflects a resilient and growing economy, with significant contributions from various sectors. The county's GRP growth, both in absolute terms and on a per capita basis, highlights its economic strength and adaptability in the face of global challenges. As the county continues to build on this foundation, it remains a vital component of California's and the nation's economic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