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Over the past five years, San Diego County has experienced significant economic growth, as evidenced by the increase in its Gross Regional Product (GRP). In 2019, the GRP stood at approximately $244.28 billion, and by 2023, it had risen to about $308.71 billion. This growth of approximately 26.4% highlights the region's economic resilience and expansion. The per capita GRP also saw a notable increase, rising from $73,346.92 in 2019 to $94,915.87 in 2023, marking a growth of around 29.4%. This increase in per capita GRP suggests enhanced economic productivity and prosperity for the residents of San Diego County.</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352800"/>
                    </a:xfrm>
                    <a:prstGeom prst="rect"/>
                  </pic:spPr>
                </pic:pic>
              </a:graphicData>
            </a:graphic>
          </wp:inline>
        </w:drawing>
      </w:r>
    </w:p>
    <w:p>
      <w:pPr>
        <w:pStyle w:val="Caption"/>
      </w:pPr>
      <w:r>
        <w:t>San Diego County GRP (2019-2023)</w:t>
      </w:r>
    </w:p>
    <w:p>
      <w:r>
        <w:t>The sectoral contributions to San Diego County's GRP reveal the diverse economic landscape of the region. The government sector has consistently been the largest contributor, with its output growing from $45.19 billion in 2019 to $52.92 billion in 2023. Manufacturing also plays a crucial role, contributing $28.26 billion in 2019 and increasing to $31.67 billion by 2023. The Professional, Scientific, and Technical Services sector has shown remarkable growth, expanding from $28.13 billion in 2019 to $37.04 billion in 2023. Similarly, the Health Care and Social Assistance sector increased its contribution from $15.38 billion to $20.21 billion over the same period. The Finance and Insurance sector also saw significant growth, rising from $14.67 billion in 2019 to $19.50 billion in 2023.</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p>
        </w:tc>
        <w:tc>
          <w:tcPr>
            <w:tcW w:type="dxa" w:w="864"/>
          </w:tcPr>
          <w:p>
            <w:r>
              <w:t>Year</w:t>
            </w:r>
          </w:p>
        </w:tc>
        <w:tc>
          <w:tcPr>
            <w:tcW w:type="dxa" w:w="864"/>
          </w:tcPr>
          <w:p>
            <w:r>
              <w:t>Total GRP (Billion $)</w:t>
            </w:r>
          </w:p>
        </w:tc>
        <w:tc>
          <w:tcPr>
            <w:tcW w:type="dxa" w:w="864"/>
          </w:tcPr>
          <w:p>
            <w:r>
              <w:t>Per Capita GRP ($)</w:t>
            </w:r>
          </w:p>
        </w:tc>
        <w:tc>
          <w:tcPr>
            <w:tcW w:type="dxa" w:w="864"/>
          </w:tcPr>
          <w:p>
            <w:r>
              <w:t>Government (Billion $)</w:t>
            </w:r>
          </w:p>
        </w:tc>
        <w:tc>
          <w:tcPr>
            <w:tcW w:type="dxa" w:w="864"/>
          </w:tcPr>
          <w:p>
            <w:r>
              <w:t>Manufacturing (Billion $)</w:t>
            </w:r>
          </w:p>
        </w:tc>
        <w:tc>
          <w:tcPr>
            <w:tcW w:type="dxa" w:w="864"/>
          </w:tcPr>
          <w:p>
            <w:r>
              <w:t>Professional Services (Billion $)</w:t>
            </w:r>
          </w:p>
        </w:tc>
        <w:tc>
          <w:tcPr>
            <w:tcW w:type="dxa" w:w="864"/>
          </w:tcPr>
          <w:p>
            <w:r>
              <w:t>Health Care (Billion $)</w:t>
            </w:r>
          </w:p>
        </w:tc>
        <w:tc>
          <w:tcPr>
            <w:tcW w:type="dxa" w:w="864"/>
          </w:tcPr>
          <w:p>
            <w:r>
              <w:t>Finance (Billion $)</w:t>
            </w:r>
          </w:p>
        </w:tc>
        <w:tc>
          <w:tcPr>
            <w:tcW w:type="dxa" w:w="864"/>
          </w:tcPr>
          <w:p>
            <w:r/>
          </w:p>
        </w:tc>
      </w:tr>
      <w:tr>
        <w:tc>
          <w:tcPr>
            <w:tcW w:type="dxa" w:w="864"/>
          </w:tcPr>
          <w:p>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p>
        </w:tc>
      </w:tr>
      <w:tr>
        <w:tc>
          <w:tcPr>
            <w:tcW w:type="dxa" w:w="864"/>
          </w:tcPr>
          <w:p>
            <w:r/>
          </w:p>
        </w:tc>
        <w:tc>
          <w:tcPr>
            <w:tcW w:type="dxa" w:w="864"/>
          </w:tcPr>
          <w:p>
            <w:r>
              <w:t>2019</w:t>
            </w:r>
          </w:p>
        </w:tc>
        <w:tc>
          <w:tcPr>
            <w:tcW w:type="dxa" w:w="864"/>
          </w:tcPr>
          <w:p>
            <w:r>
              <w:t>244.28</w:t>
            </w:r>
          </w:p>
        </w:tc>
        <w:tc>
          <w:tcPr>
            <w:tcW w:type="dxa" w:w="864"/>
          </w:tcPr>
          <w:p>
            <w:r>
              <w:t>73,346.92</w:t>
            </w:r>
          </w:p>
        </w:tc>
        <w:tc>
          <w:tcPr>
            <w:tcW w:type="dxa" w:w="864"/>
          </w:tcPr>
          <w:p>
            <w:r>
              <w:t>45.19</w:t>
            </w:r>
          </w:p>
        </w:tc>
        <w:tc>
          <w:tcPr>
            <w:tcW w:type="dxa" w:w="864"/>
          </w:tcPr>
          <w:p>
            <w:r>
              <w:t>28.26</w:t>
            </w:r>
          </w:p>
        </w:tc>
        <w:tc>
          <w:tcPr>
            <w:tcW w:type="dxa" w:w="864"/>
          </w:tcPr>
          <w:p>
            <w:r>
              <w:t>28.13</w:t>
            </w:r>
          </w:p>
        </w:tc>
        <w:tc>
          <w:tcPr>
            <w:tcW w:type="dxa" w:w="864"/>
          </w:tcPr>
          <w:p>
            <w:r>
              <w:t>15.38</w:t>
            </w:r>
          </w:p>
        </w:tc>
        <w:tc>
          <w:tcPr>
            <w:tcW w:type="dxa" w:w="864"/>
          </w:tcPr>
          <w:p>
            <w:r>
              <w:t>14.67</w:t>
            </w:r>
          </w:p>
        </w:tc>
        <w:tc>
          <w:tcPr>
            <w:tcW w:type="dxa" w:w="864"/>
          </w:tcPr>
          <w:p>
            <w:r/>
          </w:p>
        </w:tc>
      </w:tr>
      <w:tr>
        <w:tc>
          <w:tcPr>
            <w:tcW w:type="dxa" w:w="864"/>
          </w:tcPr>
          <w:p>
            <w:r/>
          </w:p>
        </w:tc>
        <w:tc>
          <w:tcPr>
            <w:tcW w:type="dxa" w:w="864"/>
          </w:tcPr>
          <w:p>
            <w:r>
              <w:t>2020</w:t>
            </w:r>
          </w:p>
        </w:tc>
        <w:tc>
          <w:tcPr>
            <w:tcW w:type="dxa" w:w="864"/>
          </w:tcPr>
          <w:p>
            <w:r>
              <w:t>244.82</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p>
        </w:tc>
      </w:tr>
      <w:tr>
        <w:tc>
          <w:tcPr>
            <w:tcW w:type="dxa" w:w="864"/>
          </w:tcPr>
          <w:p>
            <w:r/>
          </w:p>
        </w:tc>
        <w:tc>
          <w:tcPr>
            <w:tcW w:type="dxa" w:w="864"/>
          </w:tcPr>
          <w:p>
            <w:r>
              <w:t>2021</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p>
        </w:tc>
      </w:tr>
      <w:tr>
        <w:tc>
          <w:tcPr>
            <w:tcW w:type="dxa" w:w="864"/>
          </w:tcPr>
          <w:p>
            <w:r/>
          </w:p>
        </w:tc>
        <w:tc>
          <w:tcPr>
            <w:tcW w:type="dxa" w:w="864"/>
          </w:tcPr>
          <w:p>
            <w:r>
              <w:t>2022</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t>-</w:t>
            </w:r>
          </w:p>
        </w:tc>
        <w:tc>
          <w:tcPr>
            <w:tcW w:type="dxa" w:w="864"/>
          </w:tcPr>
          <w:p>
            <w:r/>
          </w:p>
        </w:tc>
      </w:tr>
      <w:tr>
        <w:tc>
          <w:tcPr>
            <w:tcW w:type="dxa" w:w="864"/>
          </w:tcPr>
          <w:p>
            <w:r/>
          </w:p>
        </w:tc>
        <w:tc>
          <w:tcPr>
            <w:tcW w:type="dxa" w:w="864"/>
          </w:tcPr>
          <w:p>
            <w:r>
              <w:t>2023</w:t>
            </w:r>
          </w:p>
        </w:tc>
        <w:tc>
          <w:tcPr>
            <w:tcW w:type="dxa" w:w="864"/>
          </w:tcPr>
          <w:p>
            <w:r>
              <w:t>308.71</w:t>
            </w:r>
          </w:p>
        </w:tc>
        <w:tc>
          <w:tcPr>
            <w:tcW w:type="dxa" w:w="864"/>
          </w:tcPr>
          <w:p>
            <w:r>
              <w:t>94,915.87</w:t>
            </w:r>
          </w:p>
        </w:tc>
        <w:tc>
          <w:tcPr>
            <w:tcW w:type="dxa" w:w="864"/>
          </w:tcPr>
          <w:p>
            <w:r>
              <w:t>52.92</w:t>
            </w:r>
          </w:p>
        </w:tc>
        <w:tc>
          <w:tcPr>
            <w:tcW w:type="dxa" w:w="864"/>
          </w:tcPr>
          <w:p>
            <w:r>
              <w:t>31.67</w:t>
            </w:r>
          </w:p>
        </w:tc>
        <w:tc>
          <w:tcPr>
            <w:tcW w:type="dxa" w:w="864"/>
          </w:tcPr>
          <w:p>
            <w:r>
              <w:t>37.04</w:t>
            </w:r>
          </w:p>
        </w:tc>
        <w:tc>
          <w:tcPr>
            <w:tcW w:type="dxa" w:w="864"/>
          </w:tcPr>
          <w:p>
            <w:r>
              <w:t>20.21</w:t>
            </w:r>
          </w:p>
        </w:tc>
        <w:tc>
          <w:tcPr>
            <w:tcW w:type="dxa" w:w="864"/>
          </w:tcPr>
          <w:p>
            <w:r>
              <w:t>19.50</w:t>
            </w:r>
          </w:p>
        </w:tc>
        <w:tc>
          <w:tcPr>
            <w:tcW w:type="dxa" w:w="864"/>
          </w:tcPr>
          <w:p>
            <w:r/>
          </w:p>
        </w:tc>
      </w:tr>
    </w:tbl>
    <w:p>
      <w:pPr>
        <w:pStyle w:val="Caption"/>
      </w:pPr>
      <w:r>
        <w:t>Sectoral Contributions to San Diego County's GRP (2019-2023)</w:t>
      </w:r>
    </w:p>
    <w:p>
      <w:r>
        <w:t>The impact of the COVID-19 pandemic in 2020 was evident, yet San Diego County's economy demonstrated resilience. The GRP in 2020 was $244.82 billion, showing a slight increase from 2019 despite the global economic challenges. While sectors such as Accommodation and Food Services and Arts, Entertainment, and Recreation faced declines during the pandemic, they rebounded in the following years, contributing to the overall economic recovery. By 2023, San Diego County's GRP per capita had surpassed both the state average of California, which was $93,799.67, and the national average of $77,366.43, underscoring the region's economic strength.</w:t>
      </w:r>
    </w:p>
    <w:p>
      <w:r>
        <w:t>In conclusion, San Diego County's economy has shown remarkable growth and resilience over the past five years. The substantial contributions from key sectors such as government, manufacturing, and professional services have driven this growth. The increase in per capita GRP reflects improved economic productivity and prosperity for the region's residents. Despite the challenges posed by the COVID-19 pandemic, the county's economy has rebounded strongly, with key sectors driving growth and ensuring a robust economic future.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Economic Overview of San Diego County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