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Report</w:t>
      </w:r>
    </w:p>
    <w:p>
      <w:r>
        <w:t>The Gross Regional Product (GRP) of San Diego County has shown a consistent upward trend from 2019 to 2023, reflecting a period of economic growth. In 2019, the GRP was approximately $244.28 billion, and by 2023, it had increased to about $308.71 billion. This represents a total growth of $64.43 billion over the five-year period. The annual GRP figures reveal a steady increase, with a slight rise from 2019 to 2020, attributed to the economic impacts of the COVID-19 pandemic. However, the subsequent years saw significant growth as the economy began to recover. From 2020 to 2021, the GRP increased by $24.05 billion, marking a growth rate of 9.82%. The trend continued from 2021 to 2022 with a $27.81 billion increase, a growth rate of 10.34%. By 2023, the growth rate stabilized at 4.06% with a $12.03 billion increase, indicating a stabilization in growth.</w:t>
      </w:r>
    </w:p>
    <w:p>
      <w:r>
        <w:drawing>
          <wp:inline xmlns:a="http://schemas.openxmlformats.org/drawingml/2006/main" xmlns:pic="http://schemas.openxmlformats.org/drawingml/2006/picture">
            <wp:extent cx="5029200" cy="3352800"/>
            <wp:docPr id="1" name="Picture 1"/>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5029200" cy="3352800"/>
                    </a:xfrm>
                    <a:prstGeom prst="rect"/>
                  </pic:spPr>
                </pic:pic>
              </a:graphicData>
            </a:graphic>
          </wp:inline>
        </w:drawing>
      </w:r>
    </w:p>
    <w:p>
      <w:r>
        <w:t>The per capita GRP also demonstrated an upward trend, indicating not only overall economic growth but also an increase in economic output per individual. In 2019, the per capita GRP was $73,346.92, and by 2023, it had risen to $94,915.87. This growth in per capita GRP highlights the economic resilience and recovery of the region. Furthermore, San Diego County's per capita GRP consistently remained above the national average throughout this period. In 2023, the county's per capita GRP was $94,915.87, compared to California's $93,799.67 and the national average of $77,366.43.</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Year</w:t>
            </w:r>
          </w:p>
        </w:tc>
        <w:tc>
          <w:tcPr>
            <w:tcW w:type="dxa" w:w="2160"/>
          </w:tcPr>
          <w:p>
            <w:r>
              <w:t>Total GRP (billion)</w:t>
            </w:r>
          </w:p>
        </w:tc>
        <w:tc>
          <w:tcPr>
            <w:tcW w:type="dxa" w:w="2160"/>
          </w:tcPr>
          <w:p>
            <w:r>
              <w:t>Population</w:t>
            </w:r>
          </w:p>
        </w:tc>
        <w:tc>
          <w:tcPr>
            <w:tcW w:type="dxa" w:w="2160"/>
          </w:tcPr>
          <w:p>
            <w:r>
              <w:t>GRP per Capita</w:t>
            </w:r>
          </w:p>
        </w:tc>
      </w:tr>
      <w:tr>
        <w:tc>
          <w:tcPr>
            <w:tcW w:type="dxa" w:w="2160"/>
          </w:tcPr>
          <w:p>
            <w:r>
              <w:t>2019</w:t>
            </w:r>
          </w:p>
        </w:tc>
        <w:tc>
          <w:tcPr>
            <w:tcW w:type="dxa" w:w="2160"/>
          </w:tcPr>
          <w:p>
            <w:r>
              <w:t>244.28</w:t>
            </w:r>
          </w:p>
        </w:tc>
        <w:tc>
          <w:tcPr>
            <w:tcW w:type="dxa" w:w="2160"/>
          </w:tcPr>
          <w:p>
            <w:r>
              <w:t>3,330,458</w:t>
            </w:r>
          </w:p>
        </w:tc>
        <w:tc>
          <w:tcPr>
            <w:tcW w:type="dxa" w:w="2160"/>
          </w:tcPr>
          <w:p>
            <w:r>
              <w:t>73,346.92</w:t>
            </w:r>
          </w:p>
        </w:tc>
      </w:tr>
      <w:tr>
        <w:tc>
          <w:tcPr>
            <w:tcW w:type="dxa" w:w="2160"/>
          </w:tcPr>
          <w:p>
            <w:r>
              <w:t>2020</w:t>
            </w:r>
          </w:p>
        </w:tc>
        <w:tc>
          <w:tcPr>
            <w:tcW w:type="dxa" w:w="2160"/>
          </w:tcPr>
          <w:p>
            <w:r>
              <w:t>244.82</w:t>
            </w:r>
          </w:p>
        </w:tc>
        <w:tc>
          <w:tcPr>
            <w:tcW w:type="dxa" w:w="2160"/>
          </w:tcPr>
          <w:p>
            <w:r>
              <w:t>3,296,045</w:t>
            </w:r>
          </w:p>
        </w:tc>
        <w:tc>
          <w:tcPr>
            <w:tcW w:type="dxa" w:w="2160"/>
          </w:tcPr>
          <w:p>
            <w:r>
              <w:t>74,277.60</w:t>
            </w:r>
          </w:p>
        </w:tc>
      </w:tr>
      <w:tr>
        <w:tc>
          <w:tcPr>
            <w:tcW w:type="dxa" w:w="2160"/>
          </w:tcPr>
          <w:p>
            <w:r>
              <w:t>2021</w:t>
            </w:r>
          </w:p>
        </w:tc>
        <w:tc>
          <w:tcPr>
            <w:tcW w:type="dxa" w:w="2160"/>
          </w:tcPr>
          <w:p>
            <w:r>
              <w:t>268.87</w:t>
            </w:r>
          </w:p>
        </w:tc>
        <w:tc>
          <w:tcPr>
            <w:tcW w:type="dxa" w:w="2160"/>
          </w:tcPr>
          <w:p>
            <w:r>
              <w:t>3,274,954</w:t>
            </w:r>
          </w:p>
        </w:tc>
        <w:tc>
          <w:tcPr>
            <w:tcW w:type="dxa" w:w="2160"/>
          </w:tcPr>
          <w:p>
            <w:r>
              <w:t>82,099.95</w:t>
            </w:r>
          </w:p>
        </w:tc>
      </w:tr>
      <w:tr>
        <w:tc>
          <w:tcPr>
            <w:tcW w:type="dxa" w:w="2160"/>
          </w:tcPr>
          <w:p>
            <w:r>
              <w:t>2022</w:t>
            </w:r>
          </w:p>
        </w:tc>
        <w:tc>
          <w:tcPr>
            <w:tcW w:type="dxa" w:w="2160"/>
          </w:tcPr>
          <w:p>
            <w:r>
              <w:t>296.68</w:t>
            </w:r>
          </w:p>
        </w:tc>
        <w:tc>
          <w:tcPr>
            <w:tcW w:type="dxa" w:w="2160"/>
          </w:tcPr>
          <w:p>
            <w:r>
              <w:t>3,276,208</w:t>
            </w:r>
          </w:p>
        </w:tc>
        <w:tc>
          <w:tcPr>
            <w:tcW w:type="dxa" w:w="2160"/>
          </w:tcPr>
          <w:p>
            <w:r>
              <w:t>90,557.10</w:t>
            </w:r>
          </w:p>
        </w:tc>
      </w:tr>
      <w:tr>
        <w:tc>
          <w:tcPr>
            <w:tcW w:type="dxa" w:w="2160"/>
          </w:tcPr>
          <w:p>
            <w:r>
              <w:t>2023</w:t>
            </w:r>
          </w:p>
        </w:tc>
        <w:tc>
          <w:tcPr>
            <w:tcW w:type="dxa" w:w="2160"/>
          </w:tcPr>
          <w:p>
            <w:r>
              <w:t>308.71</w:t>
            </w:r>
          </w:p>
        </w:tc>
        <w:tc>
          <w:tcPr>
            <w:tcW w:type="dxa" w:w="2160"/>
          </w:tcPr>
          <w:p>
            <w:r>
              <w:t>3,252,468</w:t>
            </w:r>
          </w:p>
        </w:tc>
        <w:tc>
          <w:tcPr>
            <w:tcW w:type="dxa" w:w="2160"/>
          </w:tcPr>
          <w:p>
            <w:r>
              <w:t>94,915.87</w:t>
            </w:r>
          </w:p>
        </w:tc>
      </w:tr>
    </w:tbl>
    <w:p>
      <w:r>
        <w:t>In summary, San Diego County's economy demonstrated resilience and growth from 2019 to 2023, with significant recovery post-pandemic and a strong per capita GRP performance relative to state and national levels.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