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Gross Regional Product (GRP) of San Diego County offers a detailed insight into the region's economic performance over recent years. From 2019 to 2023, the GRP has shown a notable upward trajectory, reflecting the overall economic health and productivity of the area. In 2019, the GRP stood at approximately $244.28 billion, and by 2023, it had risen to about $308.71 billion. This increase represents a substantial growth of approximately 26.4% over the five-year period. The annual GRP figures highlight this progression, with a slight dip in 2020 likely due to the economic impacts of the COVID-19 pandemic. However, the economy rebounded strongly in the following years, showcasing resilience and adaptability.</w:t>
      </w:r>
    </w:p>
    <w:p>
      <w:r>
        <w:t>ERROR GENERATING CHART: 'rgba(75, 192, 192, 1)' is not a valid value for color: supported inputs are (r, g, b) and (r, g, b, a) 0-1 float tuples; '#rrggbb', '#rrggbbaa', '#rgb', '#rgba' strings; named color strings; string reprs of 0-1 floats for grayscale values; 'C0', 'C1', ... strings for colors of the color cycle; and pairs combining one of the above with an alpha value</w:t>
      </w:r>
    </w:p>
    <w:p>
      <w:r>
        <w:t>The per capita GRP also saw a significant rise, indicating improved economic output per individual. In 2019, the per capita GRP was approximately $73,347, and by 2023, it had increased to around $94,916. This growth in per capita GRP suggests enhanced productivity and better economic conditions for the residents of San Diego County. The table below provides a detailed view of the total and per capita GRP over the years.</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w:t>
            </w:r>
          </w:p>
        </w:tc>
      </w:tr>
      <w:tr>
        <w:tc>
          <w:tcPr>
            <w:tcW w:type="dxa" w:w="2880"/>
          </w:tcPr>
          <w:p>
            <w:r>
              <w:t>2021</w:t>
            </w:r>
          </w:p>
        </w:tc>
        <w:tc>
          <w:tcPr>
            <w:tcW w:type="dxa" w:w="2880"/>
          </w:tcPr>
          <w:p>
            <w:r>
              <w:t>268.87</w:t>
            </w:r>
          </w:p>
        </w:tc>
        <w:tc>
          <w:tcPr>
            <w:tcW w:type="dxa" w:w="2880"/>
          </w:tcPr>
          <w:p>
            <w:r>
              <w:t>-</w:t>
            </w:r>
          </w:p>
        </w:tc>
      </w:tr>
      <w:tr>
        <w:tc>
          <w:tcPr>
            <w:tcW w:type="dxa" w:w="2880"/>
          </w:tcPr>
          <w:p>
            <w:r>
              <w:t>2022</w:t>
            </w:r>
          </w:p>
        </w:tc>
        <w:tc>
          <w:tcPr>
            <w:tcW w:type="dxa" w:w="2880"/>
          </w:tcPr>
          <w:p>
            <w:r>
              <w:t>296.68</w:t>
            </w:r>
          </w:p>
        </w:tc>
        <w:tc>
          <w:tcPr>
            <w:tcW w:type="dxa" w:w="2880"/>
          </w:tcPr>
          <w:p>
            <w:r>
              <w:t>-</w:t>
            </w:r>
          </w:p>
        </w:tc>
      </w:tr>
      <w:tr>
        <w:tc>
          <w:tcPr>
            <w:tcW w:type="dxa" w:w="2880"/>
          </w:tcPr>
          <w:p>
            <w:r>
              <w:t>2023</w:t>
            </w:r>
          </w:p>
        </w:tc>
        <w:tc>
          <w:tcPr>
            <w:tcW w:type="dxa" w:w="2880"/>
          </w:tcPr>
          <w:p>
            <w:r>
              <w:t>308.71</w:t>
            </w:r>
          </w:p>
        </w:tc>
        <w:tc>
          <w:tcPr>
            <w:tcW w:type="dxa" w:w="2880"/>
          </w:tcPr>
          <w:p>
            <w:r>
              <w:t>94,916</w:t>
            </w:r>
          </w:p>
        </w:tc>
      </w:tr>
    </w:tbl>
    <w:p>
      <w:pPr>
        <w:pStyle w:val="Caption"/>
      </w:pPr>
      <w:r>
        <w:t>San Diego County GRP and Per Capita GRP (2019-2023)</w:t>
      </w:r>
    </w:p>
    <w:p>
      <w:r>
        <w:t>The economic landscape of San Diego County is shaped by various industries, with the government sector being the largest contributor to the GRP in 2023, accounting for $52.92 billion. Other significant sectors include Professional, Scientific, and Technical Services, which contributed $37.04 billion, and Manufacturing, with $31.67 billion. Health Care and Social Assistance, along with Finance and Insurance, also played crucial roles, contributing $20.21 billion and $19.50 billion, respectively. These figures underscore the diverse and robust economic base of the region. Despite the challenges posed by the pandemic, San Diego County's economy has demonstrated resilience, with strong growth in high-tech and research industries, particularly within the Professional, Scientific, and Technical Services sector. This growth highlights the county's position as a key economic hub in California, with its per capita GRP in 2023 surpassing both the state average of California and the national average, indicating a prosperous and thriving region.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Economic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