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 xml:space="preserve">The Gross Regional Product (GRP) of San Diego County from 2019 to 2023 demonstrates a pattern of growth, albeit with some fluctuations influenced by external factors such as the COVID-19 pandemic. In 2019, the total GRP was $244.28 billion, with a per capita GRP of $73,346.92. The Government sector was the largest contributor, accounting for $45.19 billion, followed closely by Manufacturing and Professional, Scientific, and Technical Services, which contributed $28.26 billion and $28.13 billion, respectively. </w:t>
        <w:br/>
        <w:br/>
        <w:t>In 2020, despite the challenges posed by the pandemic, the GRP slightly increased to $244.82 billion, with a per capita GRP of $74,277.60. The Government sector continued to lead with $46.58 billion, and Manufacturing saw a modest rise to $28.83 billion. However, sectors such as Accommodation and Food Services and Arts, Entertainment, and Recreation faced declines due to pandemic-related restrictions.</w:t>
        <w:br/>
        <w:br/>
        <w:t>The year 2021 marked a significant recovery, with the GRP rising to $268.87 billion and a per capita GRP of $82,099.95. The Government sector increased its contribution to $49.23 billion, while Manufacturing and Professional Services also experienced growth, reaching $31.28 billion and $32.51 billion, respectively.</w:t>
        <w:br/>
        <w:br/>
        <w:t>By 2022, the GRP had grown to $296.68 billion, with a per capita GRP of $90,557.10. The Government sector's contribution rose to $50.56 billion, and Manufacturing increased to $33.50 billion. Professional Services continued its upward trajectory, reaching $35.74 billion. Notably, the Accommodation and Food Services sector rebounded significantly to $11.77 billion.</w:t>
        <w:br/>
        <w:br/>
        <w:t>In 2023, the GRP reached its highest point in this period at $308.71 billion, with a per capita GRP of $94,915.87. The Government sector remained the largest contributor at $52.92 billion. Although Manufacturing saw a slight decrease to $31.67 billion, Professional Services increased to $37.04 billion. The Information sector also experienced significant growth, reaching $14.90 billion.</w:t>
        <w:br/>
        <w:br/>
        <w:t>Overall, the GRP of San Diego County exhibited a consistent upward trend from 2019 to 2023, with a notable recovery and growth post-pandemic. The Government sector consistently remained the largest contributor, while Manufacturing and Professional Services showed resilience and growth over the years. The Accommodation and Food Services sector, despite a decline in 2020, rebounded strongly in subsequent years. This analysis underscores the economic resilience and growth of San Diego County, driven by key sectors such as Government, Manufacturing, and Professional Services.</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Year</w:t>
            </w:r>
          </w:p>
        </w:tc>
        <w:tc>
          <w:tcPr>
            <w:tcW w:type="dxa" w:w="1440"/>
          </w:tcPr>
          <w:p>
            <w:r>
              <w:t>Total GRP (billion)</w:t>
            </w:r>
          </w:p>
        </w:tc>
        <w:tc>
          <w:tcPr>
            <w:tcW w:type="dxa" w:w="1440"/>
          </w:tcPr>
          <w:p>
            <w:r>
              <w:t>Per Capita GRP</w:t>
            </w:r>
          </w:p>
        </w:tc>
        <w:tc>
          <w:tcPr>
            <w:tcW w:type="dxa" w:w="1440"/>
          </w:tcPr>
          <w:p>
            <w:r>
              <w:t>Government (billion)</w:t>
            </w:r>
          </w:p>
        </w:tc>
        <w:tc>
          <w:tcPr>
            <w:tcW w:type="dxa" w:w="1440"/>
          </w:tcPr>
          <w:p>
            <w:r>
              <w:t>Manufacturing (billion)</w:t>
            </w:r>
          </w:p>
        </w:tc>
        <w:tc>
          <w:tcPr>
            <w:tcW w:type="dxa" w:w="1440"/>
          </w:tcPr>
          <w:p>
            <w:r>
              <w:t>Professional Services (billion)</w:t>
            </w:r>
          </w:p>
        </w:tc>
      </w:tr>
      <w:tr>
        <w:tc>
          <w:tcPr>
            <w:tcW w:type="dxa" w:w="1440"/>
          </w:tcPr>
          <w:p>
            <w:r>
              <w:t>2019</w:t>
            </w:r>
          </w:p>
        </w:tc>
        <w:tc>
          <w:tcPr>
            <w:tcW w:type="dxa" w:w="1440"/>
          </w:tcPr>
          <w:p>
            <w:r>
              <w:t>244.28</w:t>
            </w:r>
          </w:p>
        </w:tc>
        <w:tc>
          <w:tcPr>
            <w:tcW w:type="dxa" w:w="1440"/>
          </w:tcPr>
          <w:p>
            <w:r>
              <w:t>73,346.92</w:t>
            </w:r>
          </w:p>
        </w:tc>
        <w:tc>
          <w:tcPr>
            <w:tcW w:type="dxa" w:w="1440"/>
          </w:tcPr>
          <w:p>
            <w:r>
              <w:t>45.19</w:t>
            </w:r>
          </w:p>
        </w:tc>
        <w:tc>
          <w:tcPr>
            <w:tcW w:type="dxa" w:w="1440"/>
          </w:tcPr>
          <w:p>
            <w:r>
              <w:t>28.26</w:t>
            </w:r>
          </w:p>
        </w:tc>
        <w:tc>
          <w:tcPr>
            <w:tcW w:type="dxa" w:w="1440"/>
          </w:tcPr>
          <w:p>
            <w:r>
              <w:t>28.13</w:t>
            </w:r>
          </w:p>
        </w:tc>
      </w:tr>
      <w:tr>
        <w:tc>
          <w:tcPr>
            <w:tcW w:type="dxa" w:w="1440"/>
          </w:tcPr>
          <w:p>
            <w:r>
              <w:t>2020</w:t>
            </w:r>
          </w:p>
        </w:tc>
        <w:tc>
          <w:tcPr>
            <w:tcW w:type="dxa" w:w="1440"/>
          </w:tcPr>
          <w:p>
            <w:r>
              <w:t>244.82</w:t>
            </w:r>
          </w:p>
        </w:tc>
        <w:tc>
          <w:tcPr>
            <w:tcW w:type="dxa" w:w="1440"/>
          </w:tcPr>
          <w:p>
            <w:r>
              <w:t>74,277.60</w:t>
            </w:r>
          </w:p>
        </w:tc>
        <w:tc>
          <w:tcPr>
            <w:tcW w:type="dxa" w:w="1440"/>
          </w:tcPr>
          <w:p>
            <w:r>
              <w:t>46.58</w:t>
            </w:r>
          </w:p>
        </w:tc>
        <w:tc>
          <w:tcPr>
            <w:tcW w:type="dxa" w:w="1440"/>
          </w:tcPr>
          <w:p>
            <w:r>
              <w:t>28.83</w:t>
            </w:r>
          </w:p>
        </w:tc>
        <w:tc>
          <w:tcPr>
            <w:tcW w:type="dxa" w:w="1440"/>
          </w:tcPr>
          <w:p>
            <w:r>
              <w:t>28.13</w:t>
            </w:r>
          </w:p>
        </w:tc>
      </w:tr>
      <w:tr>
        <w:tc>
          <w:tcPr>
            <w:tcW w:type="dxa" w:w="1440"/>
          </w:tcPr>
          <w:p>
            <w:r>
              <w:t>2021</w:t>
            </w:r>
          </w:p>
        </w:tc>
        <w:tc>
          <w:tcPr>
            <w:tcW w:type="dxa" w:w="1440"/>
          </w:tcPr>
          <w:p>
            <w:r>
              <w:t>268.87</w:t>
            </w:r>
          </w:p>
        </w:tc>
        <w:tc>
          <w:tcPr>
            <w:tcW w:type="dxa" w:w="1440"/>
          </w:tcPr>
          <w:p>
            <w:r>
              <w:t>82,099.95</w:t>
            </w:r>
          </w:p>
        </w:tc>
        <w:tc>
          <w:tcPr>
            <w:tcW w:type="dxa" w:w="1440"/>
          </w:tcPr>
          <w:p>
            <w:r>
              <w:t>49.23</w:t>
            </w:r>
          </w:p>
        </w:tc>
        <w:tc>
          <w:tcPr>
            <w:tcW w:type="dxa" w:w="1440"/>
          </w:tcPr>
          <w:p>
            <w:r>
              <w:t>31.28</w:t>
            </w:r>
          </w:p>
        </w:tc>
        <w:tc>
          <w:tcPr>
            <w:tcW w:type="dxa" w:w="1440"/>
          </w:tcPr>
          <w:p>
            <w:r>
              <w:t>32.51</w:t>
            </w:r>
          </w:p>
        </w:tc>
      </w:tr>
      <w:tr>
        <w:tc>
          <w:tcPr>
            <w:tcW w:type="dxa" w:w="1440"/>
          </w:tcPr>
          <w:p>
            <w:r>
              <w:t>2022</w:t>
            </w:r>
          </w:p>
        </w:tc>
        <w:tc>
          <w:tcPr>
            <w:tcW w:type="dxa" w:w="1440"/>
          </w:tcPr>
          <w:p>
            <w:r>
              <w:t>296.68</w:t>
            </w:r>
          </w:p>
        </w:tc>
        <w:tc>
          <w:tcPr>
            <w:tcW w:type="dxa" w:w="1440"/>
          </w:tcPr>
          <w:p>
            <w:r>
              <w:t>90,557.10</w:t>
            </w:r>
          </w:p>
        </w:tc>
        <w:tc>
          <w:tcPr>
            <w:tcW w:type="dxa" w:w="1440"/>
          </w:tcPr>
          <w:p>
            <w:r>
              <w:t>50.56</w:t>
            </w:r>
          </w:p>
        </w:tc>
        <w:tc>
          <w:tcPr>
            <w:tcW w:type="dxa" w:w="1440"/>
          </w:tcPr>
          <w:p>
            <w:r>
              <w:t>33.50</w:t>
            </w:r>
          </w:p>
        </w:tc>
        <w:tc>
          <w:tcPr>
            <w:tcW w:type="dxa" w:w="1440"/>
          </w:tcPr>
          <w:p>
            <w:r>
              <w:t>35.74</w:t>
            </w:r>
          </w:p>
        </w:tc>
      </w:tr>
      <w:tr>
        <w:tc>
          <w:tcPr>
            <w:tcW w:type="dxa" w:w="1440"/>
          </w:tcPr>
          <w:p>
            <w:r>
              <w:t>2023</w:t>
            </w:r>
          </w:p>
        </w:tc>
        <w:tc>
          <w:tcPr>
            <w:tcW w:type="dxa" w:w="1440"/>
          </w:tcPr>
          <w:p>
            <w:r>
              <w:t>308.71</w:t>
            </w:r>
          </w:p>
        </w:tc>
        <w:tc>
          <w:tcPr>
            <w:tcW w:type="dxa" w:w="1440"/>
          </w:tcPr>
          <w:p>
            <w:r>
              <w:t>94,915.87</w:t>
            </w:r>
          </w:p>
        </w:tc>
        <w:tc>
          <w:tcPr>
            <w:tcW w:type="dxa" w:w="1440"/>
          </w:tcPr>
          <w:p>
            <w:r>
              <w:t>52.92</w:t>
            </w:r>
          </w:p>
        </w:tc>
        <w:tc>
          <w:tcPr>
            <w:tcW w:type="dxa" w:w="1440"/>
          </w:tcPr>
          <w:p>
            <w:r>
              <w:t>31.67</w:t>
            </w:r>
          </w:p>
        </w:tc>
        <w:tc>
          <w:tcPr>
            <w:tcW w:type="dxa" w:w="1440"/>
          </w:tcPr>
          <w:p>
            <w:r>
              <w:t>37.04</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