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The economic landscape of San Diego County from 2019 to 2023 reveals a robust and consistent growth trajectory. The Gross Regional Product (GRP) has steadily increased over these years, reflecting the region's resilience and economic vitality. In 2019, the GRP stood at $244.28 billion, and by 2023, it had risen to $308.71 billion, marking a significant growth of approximately 26.4%. This upward trend is indicative of the county's strong economic foundations and its ability to adapt and thrive even amidst global challenges. The per capita GRP also saw a substantial rise, from $73,347 in 2019 to $94,916 in 2023, underscoring not just population growth but also enhanced productivity and economic activity per individual.</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352800"/>
                    </a:xfrm>
                    <a:prstGeom prst="rect"/>
                  </pic:spPr>
                </pic:pic>
              </a:graphicData>
            </a:graphic>
          </wp:inline>
        </w:drawing>
      </w:r>
    </w:p>
    <w:p>
      <w:pPr>
        <w:pStyle w:val="Caption"/>
      </w:pPr>
      <w:r>
        <w:t>San Diego County GRP and Per Capita GRP (2019-2023)</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t>Year</w:t>
            </w:r>
          </w:p>
        </w:tc>
        <w:tc>
          <w:tcPr>
            <w:tcW w:type="dxa" w:w="1728"/>
          </w:tcPr>
          <w:p>
            <w:r>
              <w:t>Total GRP (billion $)</w:t>
            </w:r>
          </w:p>
        </w:tc>
        <w:tc>
          <w:tcPr>
            <w:tcW w:type="dxa" w:w="1728"/>
          </w:tcPr>
          <w:p>
            <w:r>
              <w:t>Per Capita GRP ($)</w:t>
            </w:r>
          </w:p>
        </w:tc>
        <w:tc>
          <w:tcPr>
            <w:tcW w:type="dxa" w:w="1728"/>
          </w:tcPr>
          <w:p>
            <w:r/>
          </w:p>
        </w:tc>
      </w:tr>
      <w:tr>
        <w:tc>
          <w:tcPr>
            <w:tcW w:type="dxa" w:w="1728"/>
          </w:tcPr>
          <w:p>
            <w:r/>
          </w:p>
        </w:tc>
        <w:tc>
          <w:tcPr>
            <w:tcW w:type="dxa" w:w="1728"/>
          </w:tcPr>
          <w:p>
            <w:r>
              <w:t>------</w:t>
            </w:r>
          </w:p>
        </w:tc>
        <w:tc>
          <w:tcPr>
            <w:tcW w:type="dxa" w:w="1728"/>
          </w:tcPr>
          <w:p>
            <w:r>
              <w:t>-----------------------</w:t>
            </w:r>
          </w:p>
        </w:tc>
        <w:tc>
          <w:tcPr>
            <w:tcW w:type="dxa" w:w="1728"/>
          </w:tcPr>
          <w:p>
            <w:r>
              <w:t>--------------------</w:t>
            </w:r>
          </w:p>
        </w:tc>
        <w:tc>
          <w:tcPr>
            <w:tcW w:type="dxa" w:w="1728"/>
          </w:tcPr>
          <w:p>
            <w:r/>
          </w:p>
        </w:tc>
      </w:tr>
      <w:tr>
        <w:tc>
          <w:tcPr>
            <w:tcW w:type="dxa" w:w="1728"/>
          </w:tcPr>
          <w:p>
            <w:r/>
          </w:p>
        </w:tc>
        <w:tc>
          <w:tcPr>
            <w:tcW w:type="dxa" w:w="1728"/>
          </w:tcPr>
          <w:p>
            <w:r>
              <w:t>2019</w:t>
            </w:r>
          </w:p>
        </w:tc>
        <w:tc>
          <w:tcPr>
            <w:tcW w:type="dxa" w:w="1728"/>
          </w:tcPr>
          <w:p>
            <w:r>
              <w:t>244.28</w:t>
            </w:r>
          </w:p>
        </w:tc>
        <w:tc>
          <w:tcPr>
            <w:tcW w:type="dxa" w:w="1728"/>
          </w:tcPr>
          <w:p>
            <w:r>
              <w:t>73,347</w:t>
            </w:r>
          </w:p>
        </w:tc>
        <w:tc>
          <w:tcPr>
            <w:tcW w:type="dxa" w:w="1728"/>
          </w:tcPr>
          <w:p>
            <w:r/>
          </w:p>
        </w:tc>
      </w:tr>
      <w:tr>
        <w:tc>
          <w:tcPr>
            <w:tcW w:type="dxa" w:w="1728"/>
          </w:tcPr>
          <w:p>
            <w:r/>
          </w:p>
        </w:tc>
        <w:tc>
          <w:tcPr>
            <w:tcW w:type="dxa" w:w="1728"/>
          </w:tcPr>
          <w:p>
            <w:r>
              <w:t>2020</w:t>
            </w:r>
          </w:p>
        </w:tc>
        <w:tc>
          <w:tcPr>
            <w:tcW w:type="dxa" w:w="1728"/>
          </w:tcPr>
          <w:p>
            <w:r>
              <w:t>244.82</w:t>
            </w:r>
          </w:p>
        </w:tc>
        <w:tc>
          <w:tcPr>
            <w:tcW w:type="dxa" w:w="1728"/>
          </w:tcPr>
          <w:p>
            <w:r>
              <w:t>74,278</w:t>
            </w:r>
          </w:p>
        </w:tc>
        <w:tc>
          <w:tcPr>
            <w:tcW w:type="dxa" w:w="1728"/>
          </w:tcPr>
          <w:p>
            <w:r/>
          </w:p>
        </w:tc>
      </w:tr>
      <w:tr>
        <w:tc>
          <w:tcPr>
            <w:tcW w:type="dxa" w:w="1728"/>
          </w:tcPr>
          <w:p>
            <w:r/>
          </w:p>
        </w:tc>
        <w:tc>
          <w:tcPr>
            <w:tcW w:type="dxa" w:w="1728"/>
          </w:tcPr>
          <w:p>
            <w:r>
              <w:t>2021</w:t>
            </w:r>
          </w:p>
        </w:tc>
        <w:tc>
          <w:tcPr>
            <w:tcW w:type="dxa" w:w="1728"/>
          </w:tcPr>
          <w:p>
            <w:r>
              <w:t>268.87</w:t>
            </w:r>
          </w:p>
        </w:tc>
        <w:tc>
          <w:tcPr>
            <w:tcW w:type="dxa" w:w="1728"/>
          </w:tcPr>
          <w:p>
            <w:r>
              <w:t>82,100</w:t>
            </w:r>
          </w:p>
        </w:tc>
        <w:tc>
          <w:tcPr>
            <w:tcW w:type="dxa" w:w="1728"/>
          </w:tcPr>
          <w:p>
            <w:r/>
          </w:p>
        </w:tc>
      </w:tr>
      <w:tr>
        <w:tc>
          <w:tcPr>
            <w:tcW w:type="dxa" w:w="1728"/>
          </w:tcPr>
          <w:p>
            <w:r/>
          </w:p>
        </w:tc>
        <w:tc>
          <w:tcPr>
            <w:tcW w:type="dxa" w:w="1728"/>
          </w:tcPr>
          <w:p>
            <w:r>
              <w:t>2022</w:t>
            </w:r>
          </w:p>
        </w:tc>
        <w:tc>
          <w:tcPr>
            <w:tcW w:type="dxa" w:w="1728"/>
          </w:tcPr>
          <w:p>
            <w:r>
              <w:t>296.68</w:t>
            </w:r>
          </w:p>
        </w:tc>
        <w:tc>
          <w:tcPr>
            <w:tcW w:type="dxa" w:w="1728"/>
          </w:tcPr>
          <w:p>
            <w:r>
              <w:t>90,557</w:t>
            </w:r>
          </w:p>
        </w:tc>
        <w:tc>
          <w:tcPr>
            <w:tcW w:type="dxa" w:w="1728"/>
          </w:tcPr>
          <w:p>
            <w:r/>
          </w:p>
        </w:tc>
      </w:tr>
      <w:tr>
        <w:tc>
          <w:tcPr>
            <w:tcW w:type="dxa" w:w="1728"/>
          </w:tcPr>
          <w:p>
            <w:r/>
          </w:p>
        </w:tc>
        <w:tc>
          <w:tcPr>
            <w:tcW w:type="dxa" w:w="1728"/>
          </w:tcPr>
          <w:p>
            <w:r>
              <w:t>2023</w:t>
            </w:r>
          </w:p>
        </w:tc>
        <w:tc>
          <w:tcPr>
            <w:tcW w:type="dxa" w:w="1728"/>
          </w:tcPr>
          <w:p>
            <w:r>
              <w:t>308.71</w:t>
            </w:r>
          </w:p>
        </w:tc>
        <w:tc>
          <w:tcPr>
            <w:tcW w:type="dxa" w:w="1728"/>
          </w:tcPr>
          <w:p>
            <w:r>
              <w:t>94,916</w:t>
            </w:r>
          </w:p>
        </w:tc>
        <w:tc>
          <w:tcPr>
            <w:tcW w:type="dxa" w:w="1728"/>
          </w:tcPr>
          <w:p>
            <w:r/>
          </w:p>
        </w:tc>
      </w:tr>
    </w:tbl>
    <w:p>
      <w:pPr>
        <w:pStyle w:val="Caption"/>
      </w:pPr>
      <w:r>
        <w:t>Annual GRP and Per Capita GRP for San Diego County (2019-2023)</w:t>
      </w:r>
    </w:p>
    <w:p>
      <w:r>
        <w:t>The growth in San Diego County's GRP can be attributed to several key industries. The government sector remains the largest contributor, with its economic input increasing from $45.19 billion in 2019 to $52.92 billion in 2023. The professional, scientific, and technical services sector also played a significant role, expanding from $28.13 billion to $37.04 billion over the same period. Manufacturing, a cornerstone of the county's economy, saw its contributions rise from $28.26 billion to $31.67 billion. Additionally, the healthcare and social assistance sector grew from $15.38 billion to $20.21 billion, while the finance and insurance sector increased from $14.67 billion to $19.50 billion. These sectors collectively underpin the county's economic resilience and growth.</w:t>
      </w:r>
    </w:p>
    <w:p>
      <w:r>
        <w:t>The impact of the COVID-19 pandemic was evident in 2020, with a slight dip in the growth rate. However, San Diego County's economy demonstrated remarkable resilience, rebounding strongly in 2021 and continuing its growth trajectory in the following years. By 2023, the county's per capita GRP of $94,916 surpassed both the state average of California, which was $93,800, and the national average of $77,366. This performance highlights San Diego County's robust economic standing relative to broader state and national levels.</w:t>
      </w:r>
    </w:p>
    <w:p>
      <w:r>
        <w:t>In conclusion, San Diego County has shown impressive economic growth and resilience from 2019 to 2023. The consistent increase in both total and per capita GRP reflects the county's strong economic foundations and its ability to adapt to challenges such as the COVID-19 pandemic. Key industries, including government, professional services, manufacturing, healthcare, and finance, have significantly contributed to this growth. As the county continues to outperform state and national averages, it positions itself as a leading economic region with promising prospects for future development.</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Economic Performance of San Diego County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