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of San Diego County has shown a remarkable upward trend from 2019 to 2023. In 2019, the total GRP was approximately $244.28 billion. Despite the economic challenges posed by the COVID-19 pandemic, the GRP slightly increased to $244.82 billion in 2020. This resilience was followed by a significant recovery in 2021, with the GRP rising to $268.87 billion. The growth continued in 2022, reaching $296.68 billion, and further increased to $308.71 billion in 2023. This consistent growth reflects the region's robust economic recovery and expansion over the five-year period. Alongside the total GRP, the per capita GRP also demonstrated a positive trajectory. Starting at approximately $73,347 in 2019, it increased slightly to $74,278 in 2020. The following years saw more substantial growth, with per capita GRP reaching $82,100 in 2021, $90,557 in 2022, and $94,916 in 2023. This increase in per capita GRP underscores the economic prosperity experienced by the residents of San Diego County.</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r>
        <w:t>The performance of various industries in San Diego County over these years further illustrates the region's economic dynamics. The Accommodation and Food Services industry experienced fluctuations, with a downturn in 2020 due to the pandemic, followed by recovery and growth in the subsequent years. The Administrative and Support and Waste Management and Remediation Services sector showed consistent growth, as did the Agriculture, Forestry, Fishing, and Hunting industry, which steadily increased its GRP contribution. Arts, Entertainment, and Recreation, much like Accommodation and Food Services, was impacted by the pandemic in 2020 but rebounded in the following years. The Construction industry demonstrated consistent growth throughout the period, while the Finance and Insurance sector experienced significant growth, particularly in 2020 and 2021. The Government sector remained the largest contributor to the GRP, with steady growth each year. Health Care and Social Assistance reflected the increasing demand for healthcare services with consistent growth. The Information sector saw notable growth, especially in 2021 and 2022. Manufacturing remained a strong contributor to the GRP, with growth observed in most years. Professional, Scientific, and Technical Services showed significant growth, particularly in 2022 and 2023. Real Estate and Rental and Leasing experienced growth, especially in 2023, while Retail Trade showed consistent growth over the years. Transportation and Warehousing saw growth, particularly in 2022 and 2023, and the Utilities sector showed moderate growth over the period. Wholesale Trade also experienced growth, especially in 2022 and 2023. Overall, San Diego County's GRP showed a positive trend from 2019 to 2023, with both total and per capita GRP increasing each year. The recovery from the pandemic was evident in the growth observed in 2021 and beyond, with various industries contributing to this growth, particularly Government, Professional, Scientific, and Technical Services, and Manufacturing.</w:t>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Total GRP (Billion $)</w:t>
            </w:r>
          </w:p>
        </w:tc>
        <w:tc>
          <w:tcPr>
            <w:tcW w:type="dxa" w:w="2880"/>
          </w:tcPr>
          <w:p>
            <w:r>
              <w:t>Per Capita GRP ($)</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74,278</w:t>
            </w:r>
          </w:p>
        </w:tc>
      </w:tr>
      <w:tr>
        <w:tc>
          <w:tcPr>
            <w:tcW w:type="dxa" w:w="2880"/>
          </w:tcPr>
          <w:p>
            <w:r>
              <w:t>2021</w:t>
            </w:r>
          </w:p>
        </w:tc>
        <w:tc>
          <w:tcPr>
            <w:tcW w:type="dxa" w:w="2880"/>
          </w:tcPr>
          <w:p>
            <w:r>
              <w:t>268.87</w:t>
            </w:r>
          </w:p>
        </w:tc>
        <w:tc>
          <w:tcPr>
            <w:tcW w:type="dxa" w:w="2880"/>
          </w:tcPr>
          <w:p>
            <w:r>
              <w:t>82,100</w:t>
            </w:r>
          </w:p>
        </w:tc>
      </w:tr>
      <w:tr>
        <w:tc>
          <w:tcPr>
            <w:tcW w:type="dxa" w:w="2880"/>
          </w:tcPr>
          <w:p>
            <w:r>
              <w:t>2022</w:t>
            </w:r>
          </w:p>
        </w:tc>
        <w:tc>
          <w:tcPr>
            <w:tcW w:type="dxa" w:w="2880"/>
          </w:tcPr>
          <w:p>
            <w:r>
              <w:t>296.68</w:t>
            </w:r>
          </w:p>
        </w:tc>
        <w:tc>
          <w:tcPr>
            <w:tcW w:type="dxa" w:w="2880"/>
          </w:tcPr>
          <w:p>
            <w:r>
              <w:t>90,557</w:t>
            </w:r>
          </w:p>
        </w:tc>
      </w:tr>
      <w:tr>
        <w:tc>
          <w:tcPr>
            <w:tcW w:type="dxa" w:w="2880"/>
          </w:tcPr>
          <w:p>
            <w:r>
              <w:t>2023</w:t>
            </w:r>
          </w:p>
        </w:tc>
        <w:tc>
          <w:tcPr>
            <w:tcW w:type="dxa" w:w="2880"/>
          </w:tcPr>
          <w:p>
            <w:r>
              <w:t>308.71</w:t>
            </w:r>
          </w:p>
        </w:tc>
        <w:tc>
          <w:tcPr>
            <w:tcW w:type="dxa" w:w="2880"/>
          </w:tcPr>
          <w:p>
            <w:r>
              <w:t>94,916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