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Gross Regional Product (GRP) of San Diego County has demonstrated a consistent upward trajectory from 2019 to 2023, reflecting robust economic growth. In 2019, the total GRP was $244.28 billion, with a per capita GRP of $73,346.92. The key industries contributing to this figure included Government, Manufacturing, and Professional, Scientific, and Technical Services, with the Government sector leading at $45.19 billion. Despite the challenges posed by the pandemic in 2020, the GRP slightly increased to $244.82 billion, showcasing the resilience of San Diego's economy. The per capita GRP also saw a modest rise to $74,277.60, with the Government sector again being the largest contributor at $46.58 billion. By 2021, the GRP had surged to $268.87 billion, marking a significant recovery and growth post-pandemic. The per capita GRP rose to $82,099.95, with notable contributions from the Government, Manufacturing, and Professional Services sectors. The upward trend continued in 2022, with the GRP reaching $296.68 billion and a per capita GRP of $90,557.10. This growth was supported by increases in the Information and Health Care sectors, alongside the traditional key industries. In 2023, the GRP further climbed to $308.71 billion, with a per capita GRP of $94,915.87. The Government sector remained the largest contributor, followed by Professional Services and Manufacturing. Overall, the GRP of San Diego County increased by approximately $64.43 billion over the five-year period, indicating improved economic productivity and prosperity for its residents. The resilience and growth in key sectors highlight the county's robust economic foundation and adaptability to challenges such as the COVID-19 pandemic.</w:t>
      </w:r>
    </w:p>
    <w:p>
      <w:pPr>
        <w:pStyle w:val="Heading2"/>
      </w:pPr>
      <w:r>
        <w:t>Chart Data</w:t>
      </w:r>
    </w:p>
    <w:p>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029200" cy="3352800"/>
                    </a:xfrm>
                    <a:prstGeom prst="rect"/>
                  </pic:spPr>
                </pic:pic>
              </a:graphicData>
            </a:graphic>
          </wp:inline>
        </w:drawing>
      </w:r>
    </w:p>
    <w:p>
      <w:pPr>
        <w:pStyle w:val="Heading2"/>
      </w:pPr>
      <w:r>
        <w:t>Table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Total GRP (billion)</w:t>
            </w:r>
          </w:p>
        </w:tc>
        <w:tc>
          <w:tcPr>
            <w:tcW w:type="dxa" w:w="2160"/>
          </w:tcPr>
          <w:p>
            <w:r>
              <w:t>Per Capita GRP</w:t>
            </w:r>
          </w:p>
        </w:tc>
        <w:tc>
          <w:tcPr>
            <w:tcW w:type="dxa" w:w="2160"/>
          </w:tcPr>
          <w:p>
            <w:r>
              <w:t>Government (billion)</w:t>
            </w:r>
          </w:p>
        </w:tc>
        <w:tc>
          <w:tcPr>
            <w:tcW w:type="dxa" w:w="2160"/>
          </w:tcPr>
          <w:p>
            <w:r>
              <w:t>Manufacturing (billion)</w:t>
            </w:r>
          </w:p>
        </w:tc>
      </w:tr>
      <w:tr>
        <w:tc>
          <w:tcPr>
            <w:tcW w:type="dxa" w:w="2160"/>
          </w:tcPr>
          <w:p>
            <w:r>
              <w:t>244.82</w:t>
            </w:r>
          </w:p>
        </w:tc>
        <w:tc>
          <w:tcPr>
            <w:tcW w:type="dxa" w:w="2160"/>
          </w:tcPr>
          <w:p>
            <w:r>
              <w:t>74,277.60</w:t>
            </w:r>
          </w:p>
        </w:tc>
        <w:tc>
          <w:tcPr>
            <w:tcW w:type="dxa" w:w="2160"/>
          </w:tcPr>
          <w:p>
            <w:r>
              <w:t>46.58</w:t>
            </w:r>
          </w:p>
        </w:tc>
        <w:tc>
          <w:tcPr>
            <w:tcW w:type="dxa" w:w="2160"/>
          </w:tcPr>
          <w:p>
            <w:r>
              <w:t>28.83</w:t>
            </w:r>
          </w:p>
        </w:tc>
      </w:tr>
      <w:tr>
        <w:tc>
          <w:tcPr>
            <w:tcW w:type="dxa" w:w="2160"/>
          </w:tcPr>
          <w:p>
            <w:r>
              <w:t>268.87</w:t>
            </w:r>
          </w:p>
        </w:tc>
        <w:tc>
          <w:tcPr>
            <w:tcW w:type="dxa" w:w="2160"/>
          </w:tcPr>
          <w:p>
            <w:r>
              <w:t>82,099.95</w:t>
            </w:r>
          </w:p>
        </w:tc>
        <w:tc>
          <w:tcPr>
            <w:tcW w:type="dxa" w:w="2160"/>
          </w:tcPr>
          <w:p>
            <w:r>
              <w:t>49.23</w:t>
            </w:r>
          </w:p>
        </w:tc>
        <w:tc>
          <w:tcPr>
            <w:tcW w:type="dxa" w:w="2160"/>
          </w:tcPr>
          <w:p>
            <w:r>
              <w:t>31.28</w:t>
            </w:r>
          </w:p>
        </w:tc>
      </w:tr>
      <w:tr>
        <w:tc>
          <w:tcPr>
            <w:tcW w:type="dxa" w:w="2160"/>
          </w:tcPr>
          <w:p>
            <w:r>
              <w:t>296.68</w:t>
            </w:r>
          </w:p>
        </w:tc>
        <w:tc>
          <w:tcPr>
            <w:tcW w:type="dxa" w:w="2160"/>
          </w:tcPr>
          <w:p>
            <w:r>
              <w:t>90,557.10</w:t>
            </w:r>
          </w:p>
        </w:tc>
        <w:tc>
          <w:tcPr>
            <w:tcW w:type="dxa" w:w="2160"/>
          </w:tcPr>
          <w:p>
            <w:r>
              <w:t>50.56</w:t>
            </w:r>
          </w:p>
        </w:tc>
        <w:tc>
          <w:tcPr>
            <w:tcW w:type="dxa" w:w="2160"/>
          </w:tcPr>
          <w:p>
            <w:r>
              <w:t>33.50</w:t>
            </w:r>
          </w:p>
        </w:tc>
      </w:tr>
      <w:tr>
        <w:tc>
          <w:tcPr>
            <w:tcW w:type="dxa" w:w="2160"/>
          </w:tcPr>
          <w:p>
            <w:r>
              <w:t>308.71</w:t>
            </w:r>
          </w:p>
        </w:tc>
        <w:tc>
          <w:tcPr>
            <w:tcW w:type="dxa" w:w="2160"/>
          </w:tcPr>
          <w:p>
            <w:r>
              <w:t>94,915.87</w:t>
            </w:r>
          </w:p>
        </w:tc>
        <w:tc>
          <w:tcPr>
            <w:tcW w:type="dxa" w:w="2160"/>
          </w:tcPr>
          <w:p>
            <w:r>
              <w:t>52.92</w:t>
            </w:r>
          </w:p>
        </w:tc>
        <w:tc>
          <w:tcPr>
            <w:tcW w:type="dxa" w:w="2160"/>
          </w:tcPr>
          <w:p>
            <w:r>
              <w:t>31.67</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