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 Diego County's Gross Regional Product (GRP) Report</w:t>
      </w:r>
    </w:p>
    <w:p>
      <w:r>
        <w:t>To generate the San Diego County's Gross Regional Product (GRP) report, we will analyze data from the CSV files `sec1-1_San Diego County_grp_data.csv` and `sec1-2_San Diego County_per_capita_grp_data.csv`, focusing on the total GRP and GRP per capita from 2019 to 2023. The total GRP for San Diego County during this period shows a steady increase, starting at $244,278,846,457.50 in 2019 and reaching $308,710,843,090.86 by 2023. The growth from 2019 to 2020 was modest, with a $543,456,806.54 increase, or about 0.22%. However, the subsequent years saw more substantial gains: a 9.82% rise in 2021, a 10.34% increase in 2022, and a 4.05% boost in 2023.</w:t>
      </w:r>
    </w:p>
    <w:p>
      <w:r>
        <w:t>ERROR: Chart data could not be parsed.</w:t>
      </w:r>
    </w:p>
    <w:p>
      <w:r>
        <w:t>Similarly, the GRP per capita reflects these trends, starting at $73,346.92 in 2019 and ending at $94,915.87 in 2023. The per capita growth was particularly notable between 2020 and 2022, with increases of 10.53% and 10.30%, respectively. These figures indicate a strong economic recovery and expansion during this period, with a significant improvement in the economic well-being of San Diego County's residents. The most substantial growth occurred between 2020 and 2022, suggesting a robust economic rebound and continued expansion.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Total GRP (USD)</w:t>
            </w:r>
          </w:p>
        </w:tc>
        <w:tc>
          <w:tcPr>
            <w:tcW w:type="dxa" w:w="1728"/>
          </w:tcPr>
          <w:p>
            <w:r>
              <w:t>GRP Per Capita (USD)</w:t>
            </w:r>
          </w:p>
        </w:tc>
        <w:tc>
          <w:tcPr>
            <w:tcW w:type="dxa" w:w="1728"/>
          </w:tcPr>
          <w:p>
            <w:r>
              <w:t>GRP Growth (%)</w:t>
            </w:r>
          </w:p>
        </w:tc>
        <w:tc>
          <w:tcPr>
            <w:tcW w:type="dxa" w:w="1728"/>
          </w:tcPr>
          <w:p>
            <w:r>
              <w:t>GRP Per Capita Growth (%)</w:t>
            </w:r>
          </w:p>
        </w:tc>
      </w:tr>
      <w:tr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244,278,846,457.50</w:t>
            </w:r>
          </w:p>
        </w:tc>
        <w:tc>
          <w:tcPr>
            <w:tcW w:type="dxa" w:w="1728"/>
          </w:tcPr>
          <w:p>
            <w:r>
              <w:t>73,346.92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244,822,303,264.04</w:t>
            </w:r>
          </w:p>
        </w:tc>
        <w:tc>
          <w:tcPr>
            <w:tcW w:type="dxa" w:w="1728"/>
          </w:tcPr>
          <w:p>
            <w:r>
              <w:t>74,277.60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</w:tr>
      <w:tr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268,873,550,391.04</w:t>
            </w:r>
          </w:p>
        </w:tc>
        <w:tc>
          <w:tcPr>
            <w:tcW w:type="dxa" w:w="1728"/>
          </w:tcPr>
          <w:p>
            <w:r>
              <w:t>82,099.95</w:t>
            </w:r>
          </w:p>
        </w:tc>
        <w:tc>
          <w:tcPr>
            <w:tcW w:type="dxa" w:w="1728"/>
          </w:tcPr>
          <w:p>
            <w:r>
              <w:t>9.82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</w:tr>
      <w:tr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296,683,894,891.99</w:t>
            </w:r>
          </w:p>
        </w:tc>
        <w:tc>
          <w:tcPr>
            <w:tcW w:type="dxa" w:w="1728"/>
          </w:tcPr>
          <w:p>
            <w:r>
              <w:t>90,557.10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10.30</w:t>
            </w:r>
          </w:p>
        </w:tc>
      </w:tr>
      <w:tr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308,710,843,090.86</w:t>
            </w:r>
          </w:p>
        </w:tc>
        <w:tc>
          <w:tcPr>
            <w:tcW w:type="dxa" w:w="1728"/>
          </w:tcPr>
          <w:p>
            <w:r>
              <w:t>94,915.87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</w:tr>
    </w:tbl>
    <w:p>
      <w:pPr>
        <w:pStyle w:val="Caption"/>
      </w:pPr>
      <w:r>
        <w:t>San Diego County GRP and GRP Per Capita Data 2019-2023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Prepared by Economic Research Team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San Diego County's Economic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