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8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ДИНАМІЧНИХ ЕЛЕМЕНТІВ НА ВЕБСТОРІНКАХ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ознайомлення з поняттям «каскадні таблиці стилів» та оволодіння навичками роботи зі стилями відображення гіпертексту 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3 — «Заголовок | Меню» в першому рядку, «Вміст | Додаткова секція» у другому, «Нижній колонтитул» унизу.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«Оберт».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крамниця вінілових платівок.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«Оберт» — вінілова крамниця та кав’ярня. Сайт складається з 4 сторінок, які мають однаковий макет на блоках &lt;div&gt; і один спільний файл стилів.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https://tnedyts.github.io/web/vozniuk/lab8/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Назва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catalog.html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care.html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Догляд за платівками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покрокова інструкція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turntables.html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Програвачі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Методичка рекомендує починати зі структури й макета. Спочатку визначено перелік сторінок і навігацію, потім макет з п’яти блоків за варіантом, далі кольорову схему і шрифти, і лише після цього — код.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Макет на блоках &lt;div&gt;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Каркас кожної сторінки — контейнер &lt;div id="container"&gt; з п’ятьма блоками: #header (заголовок), #nav (меню), #content (вміст), #extra (додаткова секція) і #footer (нижній колонтитул). Таблиці для розмітки не використано. Розташування блоків за варіантом 3 задано сіткою CSS Grid: властивість grid-template-areas описує схему макета майже «малюнком».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Каркас сторінки index.html (скорочено)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id="container"&gt;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id="header"&gt;&lt;svg …&gt;…&lt;/svg&gt;&lt;div&gt;&lt;h1&gt;&lt;a href="index.html"&gt;Оберт&lt;/a&gt;&lt;/h1&gt;&lt;p&gt;вінілова крамниця та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кав’ярня&lt;/p&gt;&lt;/div&gt;&lt;/div&gt;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id="nav"&gt;&lt;ul&gt;&lt;li&gt;&lt;a href="index.html" class="active"&gt;Головна&lt;/a&gt;&lt;/li&gt;&lt;li&gt;&lt;a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href="catalog.html"&gt;Каталог&lt;/a&gt;&lt;/li&gt;&lt;li&gt;&lt;a href="care.html"&gt;Догляд за платівками&lt;/a&gt;&lt;/li&gt;&lt;li&gt;&lt;a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href="turntables.html"&gt;Програвачі&lt;/a&gt;&lt;/li&gt;&lt;/ul&gt;&lt;/div&gt;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id="content"&gt;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 вміст сторінки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id="extra"&gt;&lt;span class="badge"&gt;Реклама&lt;/span&gt;&lt;svg …&gt;…&lt;/svg&gt;&lt;h3&gt;Розпродаж «П’ятниця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вінілу»&lt;/h3&gt;&lt;p&gt;Кожна третя платівка — у подарунок. Лише у п’ятницю, 18:00–22:00.&lt;/p&gt;&lt;a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class="btn" href="index.html"&gt;Слухати разом&lt;/a&gt;&lt;/div&gt;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id="footer"&gt;&lt;span&gt;© 2026 Максим Вознюк · «Оберт»&lt;/span&gt;&lt;span&gt;Дата створення сайту: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28.10.2026&lt;/span&gt;&lt;a href="index.html"&gt;↑ На головну&lt;/a&gt;&lt;/div&gt;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&lt;/html&gt;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Розміщення блоків за варіантом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#container{max-width:1180px;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margin:28px auto;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display:grid;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grid-template-columns:var(--cols);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grid-template-areas:var(--areas);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gap:18px;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padding:0 20px}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/* значення змінних: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--cols: minmax(0,1fr) 320px;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--areas: "header nav" "content extra" "footer footer";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Блоки макета (для наочності обведено червоним, у кутку — id блоку)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Розмітку написано за правилами XML-синтаксису: усі теги в нижньому регістрі й закриті, порожні елементи записано як &lt;meta … /&gt;, &lt;link … /&gt;, &lt;br /&gt;, значення атрибутів взято в лапки. Сторінки перевірено валідатором Nu Html Checker (W3C, той самий, що на validator.w3.org) — помилок не виявлено.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Кольори й шрифти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вимогою на весь сайт використано не більше чотирьох кольорів і чотирьох шрифтів. Кольори оголошено один раз як CSS-змінні --c1…--c4 (#141414, #e63946, #f4f1ea, #2a9d8f), і далі в стилях використовуються лише вони (подекуди з прозорістю через color-mix). SVG-ілюстрації теж розфарбовано тільки цими змінними. Шрифтів два: Oswald для заголовків і Ibm Plex Mono для тексту, обидва підключено локально.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Кольорова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Змінна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Колір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 використано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#141414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 / темні блоки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#e63946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акценти, кнопки, активне меню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#f4f1ea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тло / світлий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#2a9d8f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додатковий колір: заголовки, банер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Оголошення кольорів, шрифтів і макета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:root{--c1:#141414;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--c2:#e63946;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--c3:#f4f1ea;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--c4:#2a9d8f;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--fd:'Oswald';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--fb:'Ibm Plex Mono';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--cols:minmax(0,1fr) 320px;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--areas:"header nav" "content extra" "footer footer";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--radius:0;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--cardbg:color-mix(in srgb,var(--c3) 6%,var(--c1));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--accent:var(--c2);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--h2:var(--c4);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--extrabg:var(--c3);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Меню, вміст і селектори CSS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Меню побудовано списком &lt;ul&gt;&lt;li&gt;&lt;a&gt;, як рекомендує методичка. Селектор #nav ul прибирає маркери, #nav a перетворює посилання на блоки, псевдоклас :hover та клас .active виділяють пункт під курсором і поточну сторінку.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Стилі меню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#nav{grid-area:nav;background:var(--navbg);color:var(--navink);border-radius:var(--radius);padding:1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#nav ul{display:grid;grid-template-columns:1fr 1fr;height:100%}#nav li{border:1px solid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color-mix(in srgb,var(--c1) 30%,transparent)}#nav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a{height:100%;display:flex;align-items:center;justify-content:center;text-transform:uppercase;le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tter-spacing:.1em;padding:12px}#nav a:hover,#nav a.active{background:var(--c1);color:var(--c3)}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стилях використано селектори з методички: за типом елемента (table, th), за ідентифікатором (#header, #footer), за класом (.card, .steps), нащадків (#nav a), дочірніх елементів (#container&gt;div), групові (html, body), псевдокласи (:hover, :nth-child, :first-child) і псевдоелементи (::before, ::after).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«Каталог»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Сторінка «Каталог»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«Догляд за платівками»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«Догляд за платівками»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urntabl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Сторінка «Програвачі»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urntabl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«Програвачі»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Додаткова секція та колонтитул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Додаткова секція виконує роль рекламного блоку: банер «Розпродаж «П’ятниця вінілу»» з SVG-ілюстрацією в кольорах сайту, текстом і кнопкою. По банеру періодично пробігає відблиск — анімація псевдоелемента ::before.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Нижній колонтитул на кожній сторінці містить ПІБ студента (Максим Вознюк), дату створення сайту і посилання на головну сторінку, як вимагає завдання.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Ефекти наведення на меню та картки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Анімація й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Динамічні елементи створено засобами CSS: логотип у заголовку анімовано (@keyframes), блок вмісту й картки плавно з’являються під час завантаження, картки піднімаються при наведенні, підкреслення меню виростає. Користувачам, які в системі увімкнули «зменшити рух», анімації вимикаються (@media (prefers-reduced-motion)).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екранах до 820 пікселів медіазапит перебудовує сітку в одну колонку: заголовок, меню, вміст, банер і колонтитул ідуть один під одним.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Сайт на екрані смартфона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vozniuk/lab8.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відповідає варіанту: макет на &lt;div&gt;, меню-список, рекламний блок, колонтитул з даними студента, чотири кольори і два шрифти, валідна розмітка. Анімації на чистому CSS додали сайту динаміки без JavaScript.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Недоліки використання таблиць HTML для створення розмітки сторінки.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призначена для даних, тому верстка нею порушує семантику: екранні диктори й пошукові системи сприймають макет як табличні дані. Код стає громіздким через вкладені таблиці, зміна макета потребує правки кожної сторінки, таблиця відображається лише після завантаження повністю, а на мобільних пристроях її важко перебудувати в одну колонку.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Універсальні атрибути 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Універсальні (глобальні) атрибути можна вказувати майже для будь-якого елемента: id — унікальний ідентифікатор, class — один чи кілька класів, style — вбудований стиль, title — підказка, lang — мова, dir — напрям тексту, hidden — приховання, tabindex — порядок фокусу, а також data-* для власних даних і атрибути доступності aria-*.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Поняття блокової моделі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Кожен елемент сторінки браузер подає як прямокутник з чотирьох шарів: вміст (width, height), внутрішні поля padding, рамка border і зовнішні відступи margin. За замовчуванням width задає лише ширину вмісту, а з box-sizing: border-box — ширину разом із полями й рамкою, що зручніше для макетів. Елементи бувають блоковими (займають усю ширину), рядковими та рядково-блоковими.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Основні селектори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Універсальний (*), за тегом (p), за id (#nav), за класом (.card), нащадків (ul a), дочірній (ul&gt;li), сусідній (h1+p), груповий (h1, h2), за атрибутом ([title], [href$=".jpg"]), а також псевдокласи (:hover, :visited, :nth-child) і псевдоелементи (::before, ::after).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8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