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USS Hornet (CVS-12) – 1959 WESTPAC Reconstruction</w:t>
      </w:r>
    </w:p>
    <w:p>
      <w:pPr>
        <w:pStyle w:val="Heading2"/>
      </w:pPr>
      <w:r>
        <w:t>Research Journal</w:t>
      </w:r>
    </w:p>
    <w:p>
      <w:r>
        <w:t>Production Increment PI-1 (RC2.2 Review Draft)</w:t>
      </w:r>
    </w:p>
    <w:p>
      <w:pPr>
        <w:pStyle w:val="Heading2"/>
      </w:pPr>
      <w:r>
        <w:t>Purpose</w:t>
      </w:r>
    </w:p>
    <w:p>
      <w:r>
        <w:t>This is the first reviewable production increment of the Research Journal. It establishes the manuscript structure and captures the approved direction of the project.</w:t>
      </w:r>
    </w:p>
    <w:p>
      <w:pPr>
        <w:pStyle w:val="Heading2"/>
      </w:pPr>
      <w:r>
        <w:t>Approved Themes</w:t>
      </w:r>
    </w:p>
    <w:p>
      <w:pPr>
        <w:pStyle w:val="ListBullet"/>
      </w:pPr>
      <w:r>
        <w:t>Configuration is defined by date, not ship name.</w:t>
      </w:r>
    </w:p>
    <w:p>
      <w:pPr>
        <w:pStyle w:val="ListBullet"/>
      </w:pPr>
      <w:r>
        <w:t>The project follows the evidence wherever it leads.</w:t>
      </w:r>
    </w:p>
    <w:p>
      <w:pPr>
        <w:pStyle w:val="ListBullet"/>
      </w:pPr>
      <w:r>
        <w:t>Cruise books are primary evidence.</w:t>
      </w:r>
    </w:p>
    <w:p>
      <w:pPr>
        <w:pStyle w:val="ListBullet"/>
      </w:pPr>
      <w:r>
        <w:t>The Configuration Register is the project memory.</w:t>
      </w:r>
    </w:p>
    <w:p>
      <w:pPr>
        <w:pStyle w:val="ListBullet"/>
      </w:pPr>
      <w:r>
        <w:t>Engineering decisions are documented alongside historical conclusions.</w:t>
      </w:r>
    </w:p>
    <w:p>
      <w:pPr>
        <w:pStyle w:val="Heading2"/>
      </w:pPr>
      <w:r>
        <w:t>Representative Episode</w:t>
      </w:r>
    </w:p>
    <w:p>
      <w:pPr>
        <w:pStyle w:val="Heading3"/>
      </w:pPr>
      <w:r>
        <w:t>The First Print</w:t>
      </w:r>
    </w:p>
    <w:p>
      <w:r>
        <w:t>The first successful resin print changed more than the mast. It demonstrated that any part of the ship could be redesigned, printed, evaluated, and improved. From that point onward, historical accuracy—not kit limitations—became the primary design constraint.</w:t>
      </w:r>
    </w:p>
    <w:p>
      <w:pPr>
        <w:pStyle w:val="Heading2"/>
      </w:pPr>
      <w:r>
        <w:t>Next Episodes</w:t>
      </w:r>
    </w:p>
    <w:p>
      <w:pPr>
        <w:pStyle w:val="ListBullet"/>
      </w:pPr>
      <w:r>
        <w:t>Relocating Elevator No. 3</w:t>
      </w:r>
    </w:p>
    <w:p>
      <w:pPr>
        <w:pStyle w:val="ListBullet"/>
      </w:pPr>
      <w:r>
        <w:t>Mast development</w:t>
      </w:r>
    </w:p>
    <w:p>
      <w:pPr>
        <w:pStyle w:val="ListBullet"/>
      </w:pPr>
      <w:r>
        <w:t>Island audit</w:t>
      </w:r>
    </w:p>
    <w:p>
      <w:pPr>
        <w:pStyle w:val="ListBullet"/>
      </w:pPr>
      <w:r>
        <w:t>UNREP investigation</w:t>
      </w:r>
    </w:p>
    <w:p>
      <w:pPr>
        <w:pStyle w:val="ListBullet"/>
      </w:pPr>
      <w:r>
        <w:t>Flight deck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