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800"/>
        <w:jc w:val="center"/>
      </w:pPr>
      <w:r>
        <w:rPr>
          <w:b/>
          <w:bCs/>
          <w:color w:val="2E74B5"/>
          <w:sz w:val="22"/>
          <w:szCs w:val="22"/>
        </w:rPr>
        <w:t xml:space="preserve">UNIVERSITY AI RESEARCH PROPOSAL</w:t>
      </w:r>
    </w:p>
    <w:p>
      <w:pPr>
        <w:spacing w:after="220"/>
        <w:jc w:val="center"/>
      </w:pPr>
      <w:r>
        <w:rPr>
          <w:b/>
          <w:bCs/>
          <w:color w:val="17365D"/>
          <w:sz w:val="42"/>
          <w:szCs w:val="42"/>
        </w:rPr>
        <w:t xml:space="preserve">A Hybrid TimeMixer–XGBoost Framework for Multi-Horizon PM2.5 Forecasting Using Historical PM2.5 Time-Series Data</w:t>
      </w:r>
    </w:p>
    <w:p>
      <w:pPr>
        <w:spacing w:after="650"/>
        <w:jc w:val="center"/>
      </w:pPr>
      <w:r>
        <w:rPr>
          <w:i/>
          <w:iCs/>
          <w:color w:val="666666"/>
          <w:sz w:val="24"/>
          <w:szCs w:val="24"/>
        </w:rPr>
        <w:t xml:space="preserve">Single-station univariate forecasting with multiscale representation learning and residual boosting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F4F6F9" w:val="clear"/>
          </w:tcPr>
          <w:p>
            <w:r>
              <w:rPr>
                <w:b/>
                <w:bCs/>
                <w:color w:val="17365D"/>
                <w:sz w:val="19"/>
                <w:szCs w:val="19"/>
              </w:rPr>
              <w:t xml:space="preserve">Proposal detail</w:t>
            </w:r>
          </w:p>
        </w:tc>
        <w:tc>
          <w:tcPr>
            <w:tcW w:type="dxa" w:w="6560"/>
            <w:shd w:fill="F4F6F9" w:val="clear"/>
          </w:tcPr>
          <w:p>
            <w:r>
              <w:rPr>
                <w:b/>
                <w:bCs/>
                <w:color w:val="17365D"/>
                <w:sz w:val="19"/>
                <w:szCs w:val="19"/>
              </w:rPr>
              <w:t xml:space="preserve">Information</w:t>
            </w:r>
          </w:p>
        </w:tc>
      </w:tr>
      <w:tr>
        <w:tc>
          <w:tcPr>
            <w:tcW w:type="dxa" w:w="2800"/>
          </w:tcPr>
          <w:p>
            <w:pPr>
              <w:spacing w:after="50" w:line="260"/>
            </w:pPr>
            <w:r>
              <w:rPr>
                <w:sz w:val="19"/>
                <w:szCs w:val="19"/>
              </w:rPr>
              <w:t xml:space="preserve">Programme</w:t>
            </w:r>
          </w:p>
        </w:tc>
        <w:tc>
          <w:tcPr>
            <w:tcW w:type="dxa" w:w="6560"/>
          </w:tcPr>
          <w:p>
            <w:pPr>
              <w:spacing w:after="50" w:line="260"/>
            </w:pPr>
            <w:r>
              <w:rPr>
                <w:sz w:val="19"/>
                <w:szCs w:val="19"/>
              </w:rPr>
              <w:t xml:space="preserve">Artificial Intelligence / Data Science</w:t>
            </w:r>
          </w:p>
        </w:tc>
      </w:tr>
      <w:tr>
        <w:tc>
          <w:tcPr>
            <w:tcW w:type="dxa" w:w="2800"/>
          </w:tcPr>
          <w:p>
            <w:pPr>
              <w:spacing w:after="50" w:line="260"/>
            </w:pPr>
            <w:r>
              <w:rPr>
                <w:sz w:val="19"/>
                <w:szCs w:val="19"/>
              </w:rPr>
              <w:t xml:space="preserve">Candidate</w:t>
            </w:r>
          </w:p>
        </w:tc>
        <w:tc>
          <w:tcPr>
            <w:tcW w:type="dxa" w:w="6560"/>
          </w:tcPr>
          <w:p>
            <w:pPr>
              <w:spacing w:after="50" w:line="260"/>
            </w:pPr>
            <w:r>
              <w:rPr>
                <w:sz w:val="19"/>
                <w:szCs w:val="19"/>
              </w:rPr>
              <w:t xml:space="preserve">[Student Name] | [Student ID]</w:t>
            </w:r>
          </w:p>
        </w:tc>
      </w:tr>
      <w:tr>
        <w:tc>
          <w:tcPr>
            <w:tcW w:type="dxa" w:w="2800"/>
          </w:tcPr>
          <w:p>
            <w:pPr>
              <w:spacing w:after="50" w:line="260"/>
            </w:pPr>
            <w:r>
              <w:rPr>
                <w:sz w:val="19"/>
                <w:szCs w:val="19"/>
              </w:rPr>
              <w:t xml:space="preserve">Supervisor</w:t>
            </w:r>
          </w:p>
        </w:tc>
        <w:tc>
          <w:tcPr>
            <w:tcW w:type="dxa" w:w="6560"/>
          </w:tcPr>
          <w:p>
            <w:pPr>
              <w:spacing w:after="50" w:line="260"/>
            </w:pPr>
            <w:r>
              <w:rPr>
                <w:sz w:val="19"/>
                <w:szCs w:val="19"/>
              </w:rPr>
              <w:t xml:space="preserve">[Supervisor Name]</w:t>
            </w:r>
          </w:p>
        </w:tc>
      </w:tr>
      <w:tr>
        <w:tc>
          <w:tcPr>
            <w:tcW w:type="dxa" w:w="2800"/>
          </w:tcPr>
          <w:p>
            <w:pPr>
              <w:spacing w:after="50" w:line="260"/>
            </w:pPr>
            <w:r>
              <w:rPr>
                <w:sz w:val="19"/>
                <w:szCs w:val="19"/>
              </w:rPr>
              <w:t xml:space="preserve">Study site</w:t>
            </w:r>
          </w:p>
        </w:tc>
        <w:tc>
          <w:tcPr>
            <w:tcW w:type="dxa" w:w="6560"/>
          </w:tcPr>
          <w:p>
            <w:pPr>
              <w:spacing w:after="50" w:line="260"/>
            </w:pPr>
            <w:r>
              <w:rPr>
                <w:sz w:val="19"/>
                <w:szCs w:val="19"/>
              </w:rPr>
              <w:t xml:space="preserve">London Marylebone Road, United Kingdom</w:t>
            </w:r>
          </w:p>
        </w:tc>
      </w:tr>
      <w:tr>
        <w:tc>
          <w:tcPr>
            <w:tcW w:type="dxa" w:w="2800"/>
          </w:tcPr>
          <w:p>
            <w:pPr>
              <w:spacing w:after="50" w:line="260"/>
            </w:pPr>
            <w:r>
              <w:rPr>
                <w:sz w:val="19"/>
                <w:szCs w:val="19"/>
              </w:rPr>
              <w:t xml:space="preserve">Target</w:t>
            </w:r>
          </w:p>
        </w:tc>
        <w:tc>
          <w:tcPr>
            <w:tcW w:type="dxa" w:w="6560"/>
          </w:tcPr>
          <w:p>
            <w:pPr>
              <w:spacing w:after="50" w:line="260"/>
            </w:pPr>
            <w:r>
              <w:rPr>
                <w:sz w:val="19"/>
                <w:szCs w:val="19"/>
              </w:rPr>
              <w:t xml:space="preserve">Hourly PM2.5 concentration</w:t>
            </w:r>
          </w:p>
        </w:tc>
      </w:tr>
      <w:tr>
        <w:tc>
          <w:tcPr>
            <w:tcW w:type="dxa" w:w="2800"/>
          </w:tcPr>
          <w:p>
            <w:pPr>
              <w:spacing w:after="50" w:line="260"/>
            </w:pPr>
            <w:r>
              <w:rPr>
                <w:sz w:val="19"/>
                <w:szCs w:val="19"/>
              </w:rPr>
              <w:t xml:space="preserve">Forecast horizons</w:t>
            </w:r>
          </w:p>
        </w:tc>
        <w:tc>
          <w:tcPr>
            <w:tcW w:type="dxa" w:w="6560"/>
          </w:tcPr>
          <w:p>
            <w:pPr>
              <w:spacing w:after="50" w:line="260"/>
            </w:pPr>
            <w:r>
              <w:rPr>
                <w:sz w:val="19"/>
                <w:szCs w:val="19"/>
              </w:rPr>
              <w:t xml:space="preserve">1, 6, 12, 24 and 48 hours</w:t>
            </w:r>
          </w:p>
        </w:tc>
      </w:tr>
      <w:tr>
        <w:tc>
          <w:tcPr>
            <w:tcW w:type="dxa" w:w="2800"/>
          </w:tcPr>
          <w:p>
            <w:pPr>
              <w:spacing w:after="50" w:line="260"/>
            </w:pPr>
            <w:r>
              <w:rPr>
                <w:sz w:val="19"/>
                <w:szCs w:val="19"/>
              </w:rPr>
              <w:t xml:space="preserve">Duration</w:t>
            </w:r>
          </w:p>
        </w:tc>
        <w:tc>
          <w:tcPr>
            <w:tcW w:type="dxa" w:w="6560"/>
          </w:tcPr>
          <w:p>
            <w:pPr>
              <w:spacing w:after="50" w:line="260"/>
            </w:pPr>
            <w:r>
              <w:rPr>
                <w:sz w:val="19"/>
                <w:szCs w:val="19"/>
              </w:rPr>
              <w:t xml:space="preserve">24 weeks</w:t>
            </w:r>
          </w:p>
        </w:tc>
      </w:tr>
    </w:tbl>
    <w:p>
      <w:pPr>
        <w:pageBreakBefore/>
      </w:pPr>
    </w:p>
    <w:p>
      <w:pPr>
        <w:pStyle w:val="Heading1"/>
        <w:spacing w:after="120" w:before="320"/>
      </w:pPr>
      <w:r>
        <w:t xml:space="preserve">Abstract</w:t>
      </w:r>
    </w:p>
    <w:p>
      <w:pPr>
        <w:spacing w:after="150" w:line="320"/>
        <w:jc w:val="both"/>
      </w:pPr>
      <w:r>
        <w:rPr>
          <w:rFonts w:ascii="Calibri" w:cs="Calibri" w:eastAsia="Calibri" w:hAnsi="Calibri"/>
          <w:sz w:val="22"/>
          <w:szCs w:val="22"/>
        </w:rPr>
        <w:t xml:space="preserve">This proposal presents a hybrid TimeMixer–XGBoost framework for forecasting hourly PM2.5 concentrations at 1-, 6-, 12-, 24-, and 48-hour horizons using only historical PM2.5 observations and features derived from the same time series. TimeMixer will learn trend, seasonal, and short-lived pollution patterns across multiple temporal resolutions. Horizon-specific XGBoost models will then learn residual corrections from the TimeMixer base forecasts, latent temporal embeddings, PM2.5 lags, rolling statistics, calendar indicators, missingness flags, and measurement-instrument metadata. The study will use the London Marylebone Road UK-Air record from 2016 to 2025. The audited dataset contains 87,672 hourly rows, 8,087 missing or non-numeric measurements, 238 negative values, a maximum 69-day gap, reduced coverage in 2020, and a transition from TEOM FDMS to BAM in December 2021. A chronological, leakage-controlled design will compare the hybrid with persistence, 24-hour seasonal naive, XGBoost, LSTM, and TimeMixer. The primary metric is MAE, supported by RMSE, sMAPE, R-squared, block-bootstrap confidence intervals, horizon-wise error analysis, ablation studies, and SHAP explanations. The expected contribution is a reproducible method showing whether multiscale temporal representations provide useful information beyond conventional lag features for single-station PM2.5 forecasting.</w:t>
      </w:r>
    </w:p>
    <w:p>
      <w:pPr>
        <w:spacing w:after="150" w:line="320"/>
        <w:jc w:val="both"/>
      </w:pPr>
      <w:r>
        <w:rPr>
          <w:rFonts w:ascii="Calibri" w:cs="Calibri" w:eastAsia="Calibri" w:hAnsi="Calibri"/>
          <w:sz w:val="22"/>
          <w:szCs w:val="22"/>
        </w:rPr>
        <w:t xml:space="preserve">Keywords: PM2.5; multi-horizon forecasting; TimeMixer; XGBoost; univariate time series; residual learning; explainable AI.</w:t>
      </w:r>
    </w:p>
    <w:p>
      <w:pPr>
        <w:pStyle w:val="Heading1"/>
        <w:spacing w:after="120" w:before="320"/>
      </w:pPr>
      <w:r>
        <w:t xml:space="preserve">1. Introduction</w:t>
      </w:r>
    </w:p>
    <w:p>
      <w:pPr>
        <w:pStyle w:val="Heading2"/>
        <w:spacing w:after="120" w:before="220"/>
      </w:pPr>
      <w:r>
        <w:t xml:space="preserve">1.1 Background</w:t>
      </w:r>
    </w:p>
    <w:p>
      <w:pPr>
        <w:spacing w:after="150" w:line="320"/>
        <w:jc w:val="both"/>
      </w:pPr>
      <w:r>
        <w:rPr>
          <w:rFonts w:ascii="Calibri" w:cs="Calibri" w:eastAsia="Calibri" w:hAnsi="Calibri"/>
          <w:sz w:val="22"/>
          <w:szCs w:val="22"/>
        </w:rPr>
        <w:t xml:space="preserve">Fine particulate matter with an aerodynamic diameter of 2.5 micrometres or less is a major air-pollution indicator. Short-term concentration forecasts can support public awareness, exposure reduction, and operational planning. PM2.5 forecasting is challenging because the series combines persistence, sharp local peaks, diurnal and weekly cycles, long-term changes, missing observations, and measurement-regime shifts. A model must therefore represent both short-term fluctuations and broader temporal structure.</w:t>
      </w:r>
    </w:p>
    <w:p>
      <w:pPr>
        <w:pStyle w:val="Heading2"/>
        <w:spacing w:after="120" w:before="220"/>
      </w:pPr>
      <w:r>
        <w:t xml:space="preserve">1.2 Problem statement</w:t>
      </w:r>
    </w:p>
    <w:p>
      <w:pPr>
        <w:spacing w:after="150" w:line="320"/>
        <w:jc w:val="both"/>
      </w:pPr>
      <w:r>
        <w:rPr>
          <w:rFonts w:ascii="Calibri" w:cs="Calibri" w:eastAsia="Calibri" w:hAnsi="Calibri"/>
          <w:sz w:val="22"/>
          <w:szCs w:val="22"/>
        </w:rPr>
        <w:t xml:space="preserve">Traditional tree models depend on manually selected lags and rolling statistics, while deep forecasting models can learn richer temporal structure but may leave systematic, context-dependent errors. The available dataset contains only PM2.5 and station metadata, so the research must not claim meteorological causation or rely on unavailable external variables. The central problem is whether a hybrid model can improve multi-horizon forecasts by combining TimeMixer representations with XGBoost residual correction using information derived solely from the historical PM2.5 series.</w:t>
      </w:r>
    </w:p>
    <w:p>
      <w:pPr>
        <w:pStyle w:val="Heading2"/>
        <w:spacing w:after="120" w:before="220"/>
      </w:pPr>
      <w:r>
        <w:t xml:space="preserve">1.3 Aim</w:t>
      </w:r>
    </w:p>
    <w:p>
      <w:pPr>
        <w:spacing w:after="150" w:line="320"/>
        <w:jc w:val="both"/>
      </w:pPr>
      <w:r>
        <w:rPr>
          <w:rFonts w:ascii="Calibri" w:cs="Calibri" w:eastAsia="Calibri" w:hAnsi="Calibri"/>
          <w:sz w:val="22"/>
          <w:szCs w:val="22"/>
        </w:rPr>
        <w:t xml:space="preserve">To develop and evaluate a hybrid TimeMixer–XGBoost framework for accurate, robust, and interpretable multi-horizon forecasting of hourly PM2.5 using historical PM2.5 time-series data.</w:t>
      </w:r>
    </w:p>
    <w:p>
      <w:pPr>
        <w:pStyle w:val="Heading2"/>
        <w:spacing w:after="120" w:before="220"/>
      </w:pPr>
      <w:r>
        <w:t xml:space="preserve">1.4 Objectives</w:t>
      </w:r>
    </w:p>
    <w:p>
      <w:pPr>
        <w:pStyle w:val="ListParagraph"/>
        <w:numPr>
          <w:ilvl w:val="0"/>
          <w:numId w:val="1"/>
        </w:numPr>
        <w:spacing w:after="80" w:line="290"/>
      </w:pPr>
      <w:r>
        <w:t xml:space="preserve">Develop a reproducible cleaning pipeline that preserves long gaps and records all data-quality interventions.</w:t>
      </w:r>
    </w:p>
    <w:p>
      <w:pPr>
        <w:pStyle w:val="ListParagraph"/>
        <w:numPr>
          <w:ilvl w:val="0"/>
          <w:numId w:val="1"/>
        </w:numPr>
        <w:spacing w:after="80" w:line="290"/>
      </w:pPr>
      <w:r>
        <w:t xml:space="preserve">Model multiscale temporal patterns in hourly PM2.5 with TimeMixer.</w:t>
      </w:r>
    </w:p>
    <w:p>
      <w:pPr>
        <w:pStyle w:val="ListParagraph"/>
        <w:numPr>
          <w:ilvl w:val="0"/>
          <w:numId w:val="1"/>
        </w:numPr>
        <w:spacing w:after="80" w:line="290"/>
      </w:pPr>
      <w:r>
        <w:t xml:space="preserve">Engineer lag, rolling, calendar, instrument, and missingness features without using future information.</w:t>
      </w:r>
    </w:p>
    <w:p>
      <w:pPr>
        <w:pStyle w:val="ListParagraph"/>
        <w:numPr>
          <w:ilvl w:val="0"/>
          <w:numId w:val="1"/>
        </w:numPr>
        <w:spacing w:after="80" w:line="290"/>
      </w:pPr>
      <w:r>
        <w:t xml:space="preserve">Train horizon-specific XGBoost models to predict TimeMixer residuals.</w:t>
      </w:r>
    </w:p>
    <w:p>
      <w:pPr>
        <w:pStyle w:val="ListParagraph"/>
        <w:numPr>
          <w:ilvl w:val="0"/>
          <w:numId w:val="1"/>
        </w:numPr>
        <w:spacing w:after="80" w:line="290"/>
      </w:pPr>
      <w:r>
        <w:t xml:space="preserve">Compare the hybrid with persistence, seasonal naive, XGBoost, LSTM, and TimeMixer baselines.</w:t>
      </w:r>
    </w:p>
    <w:p>
      <w:pPr>
        <w:pStyle w:val="ListParagraph"/>
        <w:numPr>
          <w:ilvl w:val="0"/>
          <w:numId w:val="1"/>
        </w:numPr>
        <w:spacing w:after="80" w:line="290"/>
      </w:pPr>
      <w:r>
        <w:t xml:space="preserve">Evaluate accuracy, statistical significance, robustness, efficiency, and interpretability across five horizons.</w:t>
      </w:r>
    </w:p>
    <w:p>
      <w:pPr>
        <w:pStyle w:val="Heading2"/>
        <w:spacing w:after="120" w:before="220"/>
      </w:pPr>
      <w:r>
        <w:t xml:space="preserve">1.5 Research questions and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60"/>
      </w:tblGrid>
      <w:tr>
        <w:trPr>
          <w:tblHeader/>
        </w:trPr>
        <w:tc>
          <w:tcPr>
            <w:tcW w:type="dxa" w:w="700"/>
            <w:shd w:fill="F4F6F9" w:val="clear"/>
          </w:tcPr>
          <w:p>
            <w:r>
              <w:rPr>
                <w:b/>
                <w:bCs/>
                <w:color w:val="17365D"/>
                <w:sz w:val="19"/>
                <w:szCs w:val="19"/>
              </w:rPr>
              <w:t xml:space="preserve">ID</w:t>
            </w:r>
          </w:p>
        </w:tc>
        <w:tc>
          <w:tcPr>
            <w:tcW w:type="dxa" w:w="4300"/>
            <w:shd w:fill="F4F6F9" w:val="clear"/>
          </w:tcPr>
          <w:p>
            <w:r>
              <w:rPr>
                <w:b/>
                <w:bCs/>
                <w:color w:val="17365D"/>
                <w:sz w:val="19"/>
                <w:szCs w:val="19"/>
              </w:rPr>
              <w:t xml:space="preserve">Research question</w:t>
            </w:r>
          </w:p>
        </w:tc>
        <w:tc>
          <w:tcPr>
            <w:tcW w:type="dxa" w:w="4360"/>
            <w:shd w:fill="F4F6F9" w:val="clear"/>
          </w:tcPr>
          <w:p>
            <w:r>
              <w:rPr>
                <w:b/>
                <w:bCs/>
                <w:color w:val="17365D"/>
                <w:sz w:val="19"/>
                <w:szCs w:val="19"/>
              </w:rPr>
              <w:t xml:space="preserve">Hypothesis</w:t>
            </w:r>
          </w:p>
        </w:tc>
      </w:tr>
      <w:tr>
        <w:tc>
          <w:tcPr>
            <w:tcW w:type="dxa" w:w="700"/>
          </w:tcPr>
          <w:p>
            <w:pPr>
              <w:spacing w:after="50" w:line="260"/>
            </w:pPr>
            <w:r>
              <w:rPr>
                <w:sz w:val="19"/>
                <w:szCs w:val="19"/>
              </w:rPr>
              <w:t xml:space="preserve">RQ1</w:t>
            </w:r>
          </w:p>
        </w:tc>
        <w:tc>
          <w:tcPr>
            <w:tcW w:type="dxa" w:w="4300"/>
          </w:tcPr>
          <w:p>
            <w:pPr>
              <w:spacing w:after="50" w:line="260"/>
            </w:pPr>
            <w:r>
              <w:rPr>
                <w:sz w:val="19"/>
                <w:szCs w:val="19"/>
              </w:rPr>
              <w:t xml:space="preserve">Does the hybrid outperform individual forecasting models?</w:t>
            </w:r>
          </w:p>
        </w:tc>
        <w:tc>
          <w:tcPr>
            <w:tcW w:type="dxa" w:w="4360"/>
          </w:tcPr>
          <w:p>
            <w:pPr>
              <w:spacing w:after="50" w:line="260"/>
            </w:pPr>
            <w:r>
              <w:rPr>
                <w:sz w:val="19"/>
                <w:szCs w:val="19"/>
              </w:rPr>
              <w:t xml:space="preserve">H1: Hybrid MAE is lower than TimeMixer-only and XGBoost-only MAE.</w:t>
            </w:r>
          </w:p>
        </w:tc>
      </w:tr>
      <w:tr>
        <w:tc>
          <w:tcPr>
            <w:tcW w:type="dxa" w:w="700"/>
          </w:tcPr>
          <w:p>
            <w:pPr>
              <w:spacing w:after="50" w:line="260"/>
            </w:pPr>
            <w:r>
              <w:rPr>
                <w:sz w:val="19"/>
                <w:szCs w:val="19"/>
              </w:rPr>
              <w:t xml:space="preserve">RQ2</w:t>
            </w:r>
          </w:p>
        </w:tc>
        <w:tc>
          <w:tcPr>
            <w:tcW w:type="dxa" w:w="4300"/>
          </w:tcPr>
          <w:p>
            <w:pPr>
              <w:spacing w:after="50" w:line="260"/>
            </w:pPr>
            <w:r>
              <w:rPr>
                <w:sz w:val="19"/>
                <w:szCs w:val="19"/>
              </w:rPr>
              <w:t xml:space="preserve">How does performance change from 1 to 48 hours?</w:t>
            </w:r>
          </w:p>
        </w:tc>
        <w:tc>
          <w:tcPr>
            <w:tcW w:type="dxa" w:w="4360"/>
          </w:tcPr>
          <w:p>
            <w:pPr>
              <w:spacing w:after="50" w:line="260"/>
            </w:pPr>
            <w:r>
              <w:rPr>
                <w:sz w:val="19"/>
                <w:szCs w:val="19"/>
              </w:rPr>
              <w:t xml:space="preserve">H2: Persistence is strongest at 1 hour, while hybrid gains increase at 12–48 hours.</w:t>
            </w:r>
          </w:p>
        </w:tc>
      </w:tr>
      <w:tr>
        <w:tc>
          <w:tcPr>
            <w:tcW w:type="dxa" w:w="700"/>
          </w:tcPr>
          <w:p>
            <w:pPr>
              <w:spacing w:after="50" w:line="260"/>
            </w:pPr>
            <w:r>
              <w:rPr>
                <w:sz w:val="19"/>
                <w:szCs w:val="19"/>
              </w:rPr>
              <w:t xml:space="preserve">RQ3</w:t>
            </w:r>
          </w:p>
        </w:tc>
        <w:tc>
          <w:tcPr>
            <w:tcW w:type="dxa" w:w="4300"/>
          </w:tcPr>
          <w:p>
            <w:pPr>
              <w:spacing w:after="50" w:line="260"/>
            </w:pPr>
            <w:r>
              <w:rPr>
                <w:sz w:val="19"/>
                <w:szCs w:val="19"/>
              </w:rPr>
              <w:t xml:space="preserve">Do TimeMixer embeddings add value beyond engineered PM2.5 features?</w:t>
            </w:r>
          </w:p>
        </w:tc>
        <w:tc>
          <w:tcPr>
            <w:tcW w:type="dxa" w:w="4360"/>
          </w:tcPr>
          <w:p>
            <w:pPr>
              <w:spacing w:after="50" w:line="260"/>
            </w:pPr>
            <w:r>
              <w:rPr>
                <w:sz w:val="19"/>
                <w:szCs w:val="19"/>
              </w:rPr>
              <w:t xml:space="preserve">H3: Removing embeddings significantly increases hybrid error.</w:t>
            </w:r>
          </w:p>
        </w:tc>
      </w:tr>
      <w:tr>
        <w:tc>
          <w:tcPr>
            <w:tcW w:type="dxa" w:w="700"/>
          </w:tcPr>
          <w:p>
            <w:pPr>
              <w:spacing w:after="50" w:line="260"/>
            </w:pPr>
            <w:r>
              <w:rPr>
                <w:sz w:val="19"/>
                <w:szCs w:val="19"/>
              </w:rPr>
              <w:t xml:space="preserve">RQ4</w:t>
            </w:r>
          </w:p>
        </w:tc>
        <w:tc>
          <w:tcPr>
            <w:tcW w:type="dxa" w:w="4300"/>
          </w:tcPr>
          <w:p>
            <w:pPr>
              <w:spacing w:after="50" w:line="260"/>
            </w:pPr>
            <w:r>
              <w:rPr>
                <w:sz w:val="19"/>
                <w:szCs w:val="19"/>
              </w:rPr>
              <w:t xml:space="preserve">What is the effect of instrument and missingness metadata?</w:t>
            </w:r>
          </w:p>
        </w:tc>
        <w:tc>
          <w:tcPr>
            <w:tcW w:type="dxa" w:w="4360"/>
          </w:tcPr>
          <w:p>
            <w:pPr>
              <w:spacing w:after="50" w:line="260"/>
            </w:pPr>
            <w:r>
              <w:rPr>
                <w:sz w:val="19"/>
                <w:szCs w:val="19"/>
              </w:rPr>
              <w:t xml:space="preserve">H4: Removing these covariates reduces robustness around data-quality regimes.</w:t>
            </w:r>
          </w:p>
        </w:tc>
      </w:tr>
      <w:tr>
        <w:tc>
          <w:tcPr>
            <w:tcW w:type="dxa" w:w="700"/>
          </w:tcPr>
          <w:p>
            <w:pPr>
              <w:spacing w:after="50" w:line="260"/>
            </w:pPr>
            <w:r>
              <w:rPr>
                <w:sz w:val="19"/>
                <w:szCs w:val="19"/>
              </w:rPr>
              <w:t xml:space="preserve">RQ5</w:t>
            </w:r>
          </w:p>
        </w:tc>
        <w:tc>
          <w:tcPr>
            <w:tcW w:type="dxa" w:w="4300"/>
          </w:tcPr>
          <w:p>
            <w:pPr>
              <w:spacing w:after="50" w:line="260"/>
            </w:pPr>
            <w:r>
              <w:rPr>
                <w:sz w:val="19"/>
                <w:szCs w:val="19"/>
              </w:rPr>
              <w:t xml:space="preserve">How well does the model forecast elevated PM2.5 episodes?</w:t>
            </w:r>
          </w:p>
        </w:tc>
        <w:tc>
          <w:tcPr>
            <w:tcW w:type="dxa" w:w="4360"/>
          </w:tcPr>
          <w:p>
            <w:pPr>
              <w:spacing w:after="50" w:line="260"/>
            </w:pPr>
            <w:r>
              <w:rPr>
                <w:sz w:val="19"/>
                <w:szCs w:val="19"/>
              </w:rPr>
              <w:t xml:space="preserve">H5: The hybrid reduces high-concentration MAE without degrading overall MAE.</w:t>
            </w:r>
          </w:p>
        </w:tc>
      </w:tr>
    </w:tbl>
    <w:p>
      <w:pPr>
        <w:pStyle w:val="Heading2"/>
        <w:spacing w:after="120" w:before="220"/>
      </w:pPr>
      <w:r>
        <w:t xml:space="preserve">1.6 Scope</w:t>
      </w:r>
    </w:p>
    <w:p>
      <w:pPr>
        <w:spacing w:after="150" w:line="320"/>
        <w:jc w:val="both"/>
      </w:pPr>
      <w:r>
        <w:rPr>
          <w:rFonts w:ascii="Calibri" w:cs="Calibri" w:eastAsia="Calibri" w:hAnsi="Calibri"/>
          <w:sz w:val="22"/>
          <w:szCs w:val="22"/>
        </w:rPr>
        <w:t xml:space="preserve">The study forecasts PM2.5 at one urban-traffic monitoring station. Inputs are limited to historical PM2.5, timestamps, missingness metadata, and instrument type already present in the dataset. No meteorological, traffic, emissions, or spatial-station variables are assumed. Conclusions concern predictive performance at this station and do not imply causal effects or geographical generalization.</w:t>
      </w:r>
    </w:p>
    <w:p>
      <w:pPr>
        <w:pStyle w:val="Heading1"/>
        <w:spacing w:after="120" w:before="320"/>
      </w:pPr>
      <w:r>
        <w:t xml:space="preserve">2. Literature Review</w:t>
      </w:r>
    </w:p>
    <w:p>
      <w:pPr>
        <w:pStyle w:val="Heading2"/>
        <w:spacing w:after="120" w:before="220"/>
      </w:pPr>
      <w:r>
        <w:t xml:space="preserve">2.1 PM2.5 time-series forecasting</w:t>
      </w:r>
    </w:p>
    <w:p>
      <w:pPr>
        <w:spacing w:after="150" w:line="320"/>
        <w:jc w:val="both"/>
      </w:pPr>
      <w:r>
        <w:rPr>
          <w:rFonts w:ascii="Calibri" w:cs="Calibri" w:eastAsia="Calibri" w:hAnsi="Calibri"/>
          <w:sz w:val="22"/>
          <w:szCs w:val="22"/>
        </w:rPr>
        <w:t xml:space="preserve">Persistence and seasonal-naive models are essential benchmarks because hourly pollutant series are strongly autocorrelated and periodic. Autoregressive and machine-learning models extend these baselines through lagged observations and rolling summaries. LSTM networks learn nonlinear sequential dependence, while recent long-sequence models use patching, variable transformations, decomposition, and multiscale processing. Comparisons must use identical forecast origins and chronological splits because random splitting produces temporal leakage.</w:t>
      </w:r>
    </w:p>
    <w:p>
      <w:pPr>
        <w:pStyle w:val="Heading2"/>
        <w:spacing w:after="120" w:before="220"/>
      </w:pPr>
      <w:r>
        <w:t xml:space="preserve">2.2 TimeMixer</w:t>
      </w:r>
    </w:p>
    <w:p>
      <w:pPr>
        <w:spacing w:after="150" w:line="320"/>
        <w:jc w:val="both"/>
      </w:pPr>
      <w:r>
        <w:rPr>
          <w:rFonts w:ascii="Calibri" w:cs="Calibri" w:eastAsia="Calibri" w:hAnsi="Calibri"/>
          <w:sz w:val="22"/>
          <w:szCs w:val="22"/>
        </w:rPr>
        <w:t xml:space="preserve">TimeMixer is a multilayer-perceptron forecasting architecture based on multiscale decomposition and mixing. Past-Decomposable-Mixing processes seasonal information from fine to coarse scales and trend information from coarse to fine scales. Future-Multipredictor-Mixing combines scale-specific predictions (Wang et al., 2024). This design is appropriate for PM2.5 because the series contains abrupt hourly changes alongside daily, weekly, and slower trends.</w:t>
      </w:r>
    </w:p>
    <w:p>
      <w:pPr>
        <w:pStyle w:val="Heading2"/>
        <w:spacing w:after="120" w:before="220"/>
      </w:pPr>
      <w:r>
        <w:t xml:space="preserve">2.3 XGBoost and hybrid residual learning</w:t>
      </w:r>
    </w:p>
    <w:p>
      <w:pPr>
        <w:spacing w:after="150" w:line="320"/>
        <w:jc w:val="both"/>
      </w:pPr>
      <w:r>
        <w:rPr>
          <w:rFonts w:ascii="Calibri" w:cs="Calibri" w:eastAsia="Calibri" w:hAnsi="Calibri"/>
          <w:sz w:val="22"/>
          <w:szCs w:val="22"/>
        </w:rPr>
        <w:t xml:space="preserve">XGBoost is a regularized gradient-boosted tree method that captures nonlinear interactions among heterogeneous tabular predictors (Chen &amp; Guestrin, 2016). For time-series forecasting, direct horizon-specific models can use lags, rolling statistics, calendar encodings, and quality indicators. In the proposed hybrid, XGBoost does not replace TimeMixer; it estimates the remaining residual error using the temporal embedding and origin-available engineered features.</w:t>
      </w:r>
    </w:p>
    <w:p>
      <w:pPr>
        <w:pStyle w:val="Heading2"/>
        <w:spacing w:after="120" w:before="220"/>
      </w:pPr>
      <w:r>
        <w:t xml:space="preserve">2.4 Research gap</w:t>
      </w:r>
    </w:p>
    <w:p>
      <w:pPr>
        <w:spacing w:after="150" w:line="320"/>
        <w:jc w:val="both"/>
      </w:pPr>
      <w:r>
        <w:rPr>
          <w:rFonts w:ascii="Calibri" w:cs="Calibri" w:eastAsia="Calibri" w:hAnsi="Calibri"/>
          <w:sz w:val="22"/>
          <w:szCs w:val="22"/>
        </w:rPr>
        <w:t xml:space="preserve">The gap addressed is a leakage-controlled evaluation of whether TimeMixer latent representations improve boosted-tree forecasts beyond standard PM2.5 lag features at multiple operational horizons. The study also explicitly handles long missing intervals and a measurement-instrument transition, issues often hidden by indiscriminate interpolation.</w:t>
      </w:r>
    </w:p>
    <w:p>
      <w:pPr>
        <w:pStyle w:val="Heading1"/>
        <w:spacing w:after="120" w:before="320"/>
      </w:pPr>
      <w:r>
        <w:t xml:space="preserve">3. Methodology</w:t>
      </w:r>
    </w:p>
    <w:p>
      <w:pPr>
        <w:pStyle w:val="Heading2"/>
        <w:spacing w:after="120" w:before="220"/>
      </w:pPr>
      <w:r>
        <w:t xml:space="preserve">3.1 Research design</w:t>
      </w:r>
    </w:p>
    <w:p>
      <w:pPr>
        <w:spacing w:after="150" w:line="320"/>
        <w:jc w:val="both"/>
      </w:pPr>
      <w:r>
        <w:rPr>
          <w:rFonts w:ascii="Calibri" w:cs="Calibri" w:eastAsia="Calibri" w:hAnsi="Calibri"/>
          <w:sz w:val="22"/>
          <w:szCs w:val="22"/>
        </w:rPr>
        <w:t xml:space="preserve">The research follows a quantitative comparative experiment. Models are trained on earlier observations, tuned on a later validation period, and evaluated once on a locked final period. The unit of analysis is an hourly forecast origin. All models use the same eligible forecast origins and target values for fair comparison.</w:t>
      </w:r>
    </w:p>
    <w:p>
      <w:pPr>
        <w:pStyle w:val="Heading2"/>
        <w:spacing w:after="120" w:before="220"/>
      </w:pPr>
      <w:r>
        <w:t xml:space="preserve">3.2 Dataset</w:t>
      </w:r>
    </w:p>
    <w:p>
      <w:pPr>
        <w:spacing w:after="150" w:line="320"/>
        <w:jc w:val="both"/>
      </w:pPr>
      <w:r>
        <w:rPr>
          <w:rFonts w:ascii="Calibri" w:cs="Calibri" w:eastAsia="Calibri" w:hAnsi="Calibri"/>
          <w:sz w:val="22"/>
          <w:szCs w:val="22"/>
        </w:rPr>
        <w:t xml:space="preserve">The dataset contains hourly PM2.5 observations for London Marylebone Road from January 2016 through December 2025. The station is classified as urban traffic. The merged file contains 87,672 hourly records. Audit results identify 8,087 missing or non-numeric PM2.5 measurements and 238 negative measurements. The largest contiguous invalid interval is 1,656 hours, approximately 69 days, during 2020. Valid coverage for 2020 is approximately 77.81% after negative values are invalidated. The measurement instrument changes from TEOM FDMS to BAM on 22 December 2021.</w:t>
      </w:r>
    </w:p>
    <w:p>
      <w:pPr>
        <w:pStyle w:val="Heading2"/>
        <w:spacing w:after="120" w:before="220"/>
      </w:pPr>
      <w:r>
        <w:t xml:space="preserve">3.3 Data cleaning</w:t>
      </w:r>
    </w:p>
    <w:p>
      <w:pPr>
        <w:pStyle w:val="ListParagraph"/>
        <w:numPr>
          <w:ilvl w:val="0"/>
          <w:numId w:val="1"/>
        </w:numPr>
        <w:spacing w:after="80" w:line="290"/>
      </w:pPr>
      <w:r>
        <w:t xml:space="preserve">Convert non-numeric values and “No data” markers to missing values.</w:t>
      </w:r>
    </w:p>
    <w:p>
      <w:pPr>
        <w:pStyle w:val="ListParagraph"/>
        <w:numPr>
          <w:ilvl w:val="0"/>
          <w:numId w:val="1"/>
        </w:numPr>
        <w:spacing w:after="80" w:line="290"/>
      </w:pPr>
      <w:r>
        <w:t xml:space="preserve">Flag negative PM2.5 values as invalid and retain the original value for auditability.</w:t>
      </w:r>
    </w:p>
    <w:p>
      <w:pPr>
        <w:pStyle w:val="ListParagraph"/>
        <w:numPr>
          <w:ilvl w:val="0"/>
          <w:numId w:val="1"/>
        </w:numPr>
        <w:spacing w:after="80" w:line="290"/>
      </w:pPr>
      <w:r>
        <w:t xml:space="preserve">Reindex to a complete hourly UTC timeline.</w:t>
      </w:r>
    </w:p>
    <w:p>
      <w:pPr>
        <w:pStyle w:val="ListParagraph"/>
        <w:numPr>
          <w:ilvl w:val="0"/>
          <w:numId w:val="1"/>
        </w:numPr>
        <w:spacing w:after="80" w:line="290"/>
      </w:pPr>
      <w:r>
        <w:t xml:space="preserve">Interpolate only internal gaps of at most three consecutive hours.</w:t>
      </w:r>
    </w:p>
    <w:p>
      <w:pPr>
        <w:pStyle w:val="ListParagraph"/>
        <w:numPr>
          <w:ilvl w:val="0"/>
          <w:numId w:val="1"/>
        </w:numPr>
        <w:spacing w:after="80" w:line="290"/>
      </w:pPr>
      <w:r>
        <w:t xml:space="preserve">Preserve all longer gaps, including the 69-day interval; do not interpolate across them.</w:t>
      </w:r>
    </w:p>
    <w:p>
      <w:pPr>
        <w:pStyle w:val="ListParagraph"/>
        <w:numPr>
          <w:ilvl w:val="0"/>
          <w:numId w:val="1"/>
        </w:numPr>
        <w:spacing w:after="80" w:line="290"/>
      </w:pPr>
      <w:r>
        <w:t xml:space="preserve">Encode instrument_type as 0 for TEOM FDMS and 1 for BAM and retain an instrument-change indicator.</w:t>
      </w:r>
    </w:p>
    <w:p>
      <w:pPr>
        <w:pStyle w:val="ListParagraph"/>
        <w:numPr>
          <w:ilvl w:val="0"/>
          <w:numId w:val="1"/>
        </w:numPr>
        <w:spacing w:after="80" w:line="290"/>
      </w:pPr>
      <w:r>
        <w:t xml:space="preserve">Create a PM2.5 missingness mask and gap-length metadata.</w:t>
      </w:r>
    </w:p>
    <w:p>
      <w:pPr>
        <w:pStyle w:val="ListParagraph"/>
        <w:numPr>
          <w:ilvl w:val="0"/>
          <w:numId w:val="1"/>
        </w:numPr>
        <w:spacing w:after="80" w:line="290"/>
      </w:pPr>
      <w:r>
        <w:t xml:space="preserve">Exclude TimeMixer windows containing unresolved missing inputs or targets.</w:t>
      </w:r>
    </w:p>
    <w:p>
      <w:pPr>
        <w:pStyle w:val="Heading2"/>
        <w:spacing w:after="120" w:before="220"/>
      </w:pPr>
      <w:r>
        <w:t xml:space="preserve">3.4 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F4F6F9" w:val="clear"/>
          </w:tcPr>
          <w:p>
            <w:r>
              <w:rPr>
                <w:b/>
                <w:bCs/>
                <w:color w:val="17365D"/>
                <w:sz w:val="19"/>
                <w:szCs w:val="19"/>
              </w:rPr>
              <w:t xml:space="preserve">Feature group</w:t>
            </w:r>
          </w:p>
        </w:tc>
        <w:tc>
          <w:tcPr>
            <w:tcW w:type="dxa" w:w="3300"/>
            <w:shd w:fill="F4F6F9" w:val="clear"/>
          </w:tcPr>
          <w:p>
            <w:r>
              <w:rPr>
                <w:b/>
                <w:bCs/>
                <w:color w:val="17365D"/>
                <w:sz w:val="19"/>
                <w:szCs w:val="19"/>
              </w:rPr>
              <w:t xml:space="preserve">Variables</w:t>
            </w:r>
          </w:p>
        </w:tc>
        <w:tc>
          <w:tcPr>
            <w:tcW w:type="dxa" w:w="4260"/>
            <w:shd w:fill="F4F6F9" w:val="clear"/>
          </w:tcPr>
          <w:p>
            <w:r>
              <w:rPr>
                <w:b/>
                <w:bCs/>
                <w:color w:val="17365D"/>
                <w:sz w:val="19"/>
                <w:szCs w:val="19"/>
              </w:rPr>
              <w:t xml:space="preserve">Rationale</w:t>
            </w:r>
          </w:p>
        </w:tc>
      </w:tr>
      <w:tr>
        <w:tc>
          <w:tcPr>
            <w:tcW w:type="dxa" w:w="1800"/>
          </w:tcPr>
          <w:p>
            <w:pPr>
              <w:spacing w:after="50" w:line="260"/>
            </w:pPr>
            <w:r>
              <w:rPr>
                <w:sz w:val="19"/>
                <w:szCs w:val="19"/>
              </w:rPr>
              <w:t xml:space="preserve">Historical window</w:t>
            </w:r>
          </w:p>
        </w:tc>
        <w:tc>
          <w:tcPr>
            <w:tcW w:type="dxa" w:w="3300"/>
          </w:tcPr>
          <w:p>
            <w:pPr>
              <w:spacing w:after="50" w:line="260"/>
            </w:pPr>
            <w:r>
              <w:rPr>
                <w:sz w:val="19"/>
                <w:szCs w:val="19"/>
              </w:rPr>
              <w:t xml:space="preserve">Previous 168 hourly PM2.5 values</w:t>
            </w:r>
          </w:p>
        </w:tc>
        <w:tc>
          <w:tcPr>
            <w:tcW w:type="dxa" w:w="4260"/>
          </w:tcPr>
          <w:p>
            <w:pPr>
              <w:spacing w:after="50" w:line="260"/>
            </w:pPr>
            <w:r>
              <w:rPr>
                <w:sz w:val="19"/>
                <w:szCs w:val="19"/>
              </w:rPr>
              <w:t xml:space="preserve">Captures one full weekly cycle.</w:t>
            </w:r>
          </w:p>
        </w:tc>
      </w:tr>
      <w:tr>
        <w:tc>
          <w:tcPr>
            <w:tcW w:type="dxa" w:w="1800"/>
          </w:tcPr>
          <w:p>
            <w:pPr>
              <w:spacing w:after="50" w:line="260"/>
            </w:pPr>
            <w:r>
              <w:rPr>
                <w:sz w:val="19"/>
                <w:szCs w:val="19"/>
              </w:rPr>
              <w:t xml:space="preserve">Lag features</w:t>
            </w:r>
          </w:p>
        </w:tc>
        <w:tc>
          <w:tcPr>
            <w:tcW w:type="dxa" w:w="3300"/>
          </w:tcPr>
          <w:p>
            <w:pPr>
              <w:spacing w:after="50" w:line="260"/>
            </w:pPr>
            <w:r>
              <w:rPr>
                <w:sz w:val="19"/>
                <w:szCs w:val="19"/>
              </w:rPr>
              <w:t xml:space="preserve">1, 2, 3, 6, 12, 24, 48, 72 and 168 hours</w:t>
            </w:r>
          </w:p>
        </w:tc>
        <w:tc>
          <w:tcPr>
            <w:tcW w:type="dxa" w:w="4260"/>
          </w:tcPr>
          <w:p>
            <w:pPr>
              <w:spacing w:after="50" w:line="260"/>
            </w:pPr>
            <w:r>
              <w:rPr>
                <w:sz w:val="19"/>
                <w:szCs w:val="19"/>
              </w:rPr>
              <w:t xml:space="preserve">Represent persistence and periodic dependence.</w:t>
            </w:r>
          </w:p>
        </w:tc>
      </w:tr>
      <w:tr>
        <w:tc>
          <w:tcPr>
            <w:tcW w:type="dxa" w:w="1800"/>
          </w:tcPr>
          <w:p>
            <w:pPr>
              <w:spacing w:after="50" w:line="260"/>
            </w:pPr>
            <w:r>
              <w:rPr>
                <w:sz w:val="19"/>
                <w:szCs w:val="19"/>
              </w:rPr>
              <w:t xml:space="preserve">Rolling statistics</w:t>
            </w:r>
          </w:p>
        </w:tc>
        <w:tc>
          <w:tcPr>
            <w:tcW w:type="dxa" w:w="3300"/>
          </w:tcPr>
          <w:p>
            <w:pPr>
              <w:spacing w:after="50" w:line="260"/>
            </w:pPr>
            <w:r>
              <w:rPr>
                <w:sz w:val="19"/>
                <w:szCs w:val="19"/>
              </w:rPr>
              <w:t xml:space="preserve">Mean and standard deviation over 3–168 hours</w:t>
            </w:r>
          </w:p>
        </w:tc>
        <w:tc>
          <w:tcPr>
            <w:tcW w:type="dxa" w:w="4260"/>
          </w:tcPr>
          <w:p>
            <w:pPr>
              <w:spacing w:after="50" w:line="260"/>
            </w:pPr>
            <w:r>
              <w:rPr>
                <w:sz w:val="19"/>
                <w:szCs w:val="19"/>
              </w:rPr>
              <w:t xml:space="preserve">Describe local level and variability.</w:t>
            </w:r>
          </w:p>
        </w:tc>
      </w:tr>
      <w:tr>
        <w:tc>
          <w:tcPr>
            <w:tcW w:type="dxa" w:w="1800"/>
          </w:tcPr>
          <w:p>
            <w:pPr>
              <w:spacing w:after="50" w:line="260"/>
            </w:pPr>
            <w:r>
              <w:rPr>
                <w:sz w:val="19"/>
                <w:szCs w:val="19"/>
              </w:rPr>
              <w:t xml:space="preserve">Calendar</w:t>
            </w:r>
          </w:p>
        </w:tc>
        <w:tc>
          <w:tcPr>
            <w:tcW w:type="dxa" w:w="3300"/>
          </w:tcPr>
          <w:p>
            <w:pPr>
              <w:spacing w:after="50" w:line="260"/>
            </w:pPr>
            <w:r>
              <w:rPr>
                <w:sz w:val="19"/>
                <w:szCs w:val="19"/>
              </w:rPr>
              <w:t xml:space="preserve">Hour, weekday, month and cyclical encodings</w:t>
            </w:r>
          </w:p>
        </w:tc>
        <w:tc>
          <w:tcPr>
            <w:tcW w:type="dxa" w:w="4260"/>
          </w:tcPr>
          <w:p>
            <w:pPr>
              <w:spacing w:after="50" w:line="260"/>
            </w:pPr>
            <w:r>
              <w:rPr>
                <w:sz w:val="19"/>
                <w:szCs w:val="19"/>
              </w:rPr>
              <w:t xml:space="preserve">Represent recurring temporal patterns.</w:t>
            </w:r>
          </w:p>
        </w:tc>
      </w:tr>
      <w:tr>
        <w:tc>
          <w:tcPr>
            <w:tcW w:type="dxa" w:w="1800"/>
          </w:tcPr>
          <w:p>
            <w:pPr>
              <w:spacing w:after="50" w:line="260"/>
            </w:pPr>
            <w:r>
              <w:rPr>
                <w:sz w:val="19"/>
                <w:szCs w:val="19"/>
              </w:rPr>
              <w:t xml:space="preserve">Data quality</w:t>
            </w:r>
          </w:p>
        </w:tc>
        <w:tc>
          <w:tcPr>
            <w:tcW w:type="dxa" w:w="3300"/>
          </w:tcPr>
          <w:p>
            <w:pPr>
              <w:spacing w:after="50" w:line="260"/>
            </w:pPr>
            <w:r>
              <w:rPr>
                <w:sz w:val="19"/>
                <w:szCs w:val="19"/>
              </w:rPr>
              <w:t xml:space="preserve">Missing mask, gap length, interpolation flag</w:t>
            </w:r>
          </w:p>
        </w:tc>
        <w:tc>
          <w:tcPr>
            <w:tcW w:type="dxa" w:w="4260"/>
          </w:tcPr>
          <w:p>
            <w:pPr>
              <w:spacing w:after="50" w:line="260"/>
            </w:pPr>
            <w:r>
              <w:rPr>
                <w:sz w:val="19"/>
                <w:szCs w:val="19"/>
              </w:rPr>
              <w:t xml:space="preserve">Expose reliability and missingness regimes.</w:t>
            </w:r>
          </w:p>
        </w:tc>
      </w:tr>
      <w:tr>
        <w:tc>
          <w:tcPr>
            <w:tcW w:type="dxa" w:w="1800"/>
          </w:tcPr>
          <w:p>
            <w:pPr>
              <w:spacing w:after="50" w:line="260"/>
            </w:pPr>
            <w:r>
              <w:rPr>
                <w:sz w:val="19"/>
                <w:szCs w:val="19"/>
              </w:rPr>
              <w:t xml:space="preserve">Instrument</w:t>
            </w:r>
          </w:p>
        </w:tc>
        <w:tc>
          <w:tcPr>
            <w:tcW w:type="dxa" w:w="3300"/>
          </w:tcPr>
          <w:p>
            <w:pPr>
              <w:spacing w:after="50" w:line="260"/>
            </w:pPr>
            <w:r>
              <w:rPr>
                <w:sz w:val="19"/>
                <w:szCs w:val="19"/>
              </w:rPr>
              <w:t xml:space="preserve">TEOM FDMS/BAM type and transition flag</w:t>
            </w:r>
          </w:p>
        </w:tc>
        <w:tc>
          <w:tcPr>
            <w:tcW w:type="dxa" w:w="4260"/>
          </w:tcPr>
          <w:p>
            <w:pPr>
              <w:spacing w:after="50" w:line="260"/>
            </w:pPr>
            <w:r>
              <w:rPr>
                <w:sz w:val="19"/>
                <w:szCs w:val="19"/>
              </w:rPr>
              <w:t xml:space="preserve">Control for measurement-regime change.</w:t>
            </w:r>
          </w:p>
        </w:tc>
      </w:tr>
    </w:tbl>
    <w:p>
      <w:pPr>
        <w:pStyle w:val="Heading2"/>
        <w:spacing w:after="120" w:before="220"/>
      </w:pPr>
      <w:r>
        <w:t xml:space="preserve">3.5 Proposed architecture</w:t>
      </w:r>
    </w:p>
    <w:p>
      <w:pPr>
        <w:spacing w:after="150" w:line="320"/>
        <w:jc w:val="both"/>
      </w:pPr>
      <w:r>
        <w:rPr>
          <w:rFonts w:ascii="Calibri" w:cs="Calibri" w:eastAsia="Calibri" w:hAnsi="Calibri"/>
          <w:sz w:val="22"/>
          <w:szCs w:val="22"/>
        </w:rPr>
        <w:t xml:space="preserve">Each forecast origin provides a 168-hour PM2.5 sequence. TimeMixer processes the sequence at 1-, 2-, 4-, and 8-hour resolutions and outputs five direct forecasts plus a latent multiscale embedding. For each horizon h, XGBoost receives the complete TimeMixer forecast vector, the latent embedding, engineered PM2.5 features, calendar variables, and quality metadata. It predicts the residual r(t,h) = y(t+h) minus the TimeMixer estimate. The final forecast is the TimeMixer forecast plus the XGBoost residual correction.</w:t>
      </w:r>
    </w:p>
    <w:p>
      <w:pPr>
        <w:pStyle w:val="Heading2"/>
        <w:spacing w:after="120" w:before="220"/>
      </w:pPr>
      <w:r>
        <w:t xml:space="preserve">3.6 Data splitting and leakage prevention</w:t>
      </w:r>
    </w:p>
    <w:p>
      <w:pPr>
        <w:spacing w:after="150" w:line="320"/>
        <w:jc w:val="both"/>
      </w:pPr>
      <w:r>
        <w:rPr>
          <w:rFonts w:ascii="Calibri" w:cs="Calibri" w:eastAsia="Calibri" w:hAnsi="Calibri"/>
          <w:sz w:val="22"/>
          <w:szCs w:val="22"/>
        </w:rPr>
        <w:t xml:space="preserve">The proposed split uses 2016–2022 for training, January 2023–June 2024 for validation, and July 2024–December 2025 for testing. Scaling parameters, feature statistics, and hyperparameters are learned without test data. Confirmatory XGBoost stacking will use rolling out-of-fold TimeMixer embeddings within the development period. Lag and rolling features are shifted so that every value is available at the forecast origin.</w:t>
      </w:r>
    </w:p>
    <w:p>
      <w:pPr>
        <w:pStyle w:val="Heading2"/>
        <w:spacing w:after="120" w:before="220"/>
      </w:pPr>
      <w:r>
        <w:t xml:space="preserve">3.7 Baselines</w:t>
      </w:r>
    </w:p>
    <w:p>
      <w:pPr>
        <w:pStyle w:val="ListParagraph"/>
        <w:numPr>
          <w:ilvl w:val="0"/>
          <w:numId w:val="1"/>
        </w:numPr>
        <w:spacing w:after="80" w:line="290"/>
      </w:pPr>
      <w:r>
        <w:t xml:space="preserve">Persistence forecast.</w:t>
      </w:r>
    </w:p>
    <w:p>
      <w:pPr>
        <w:pStyle w:val="ListParagraph"/>
        <w:numPr>
          <w:ilvl w:val="0"/>
          <w:numId w:val="1"/>
        </w:numPr>
        <w:spacing w:after="80" w:line="290"/>
      </w:pPr>
      <w:r>
        <w:t xml:space="preserve">Seasonal naive forecast using the value 24 hours earlier.</w:t>
      </w:r>
    </w:p>
    <w:p>
      <w:pPr>
        <w:pStyle w:val="ListParagraph"/>
        <w:numPr>
          <w:ilvl w:val="0"/>
          <w:numId w:val="1"/>
        </w:numPr>
        <w:spacing w:after="80" w:line="290"/>
      </w:pPr>
      <w:r>
        <w:t xml:space="preserve">Direct XGBoost using engineered PM2.5 features.</w:t>
      </w:r>
    </w:p>
    <w:p>
      <w:pPr>
        <w:pStyle w:val="ListParagraph"/>
        <w:numPr>
          <w:ilvl w:val="0"/>
          <w:numId w:val="1"/>
        </w:numPr>
        <w:spacing w:after="80" w:line="290"/>
      </w:pPr>
      <w:r>
        <w:t xml:space="preserve">LSTM direct multi-output model.</w:t>
      </w:r>
    </w:p>
    <w:p>
      <w:pPr>
        <w:pStyle w:val="ListParagraph"/>
        <w:numPr>
          <w:ilvl w:val="0"/>
          <w:numId w:val="1"/>
        </w:numPr>
        <w:spacing w:after="80" w:line="290"/>
      </w:pPr>
      <w:r>
        <w:t xml:space="preserve">TimeMixer-only model.</w:t>
      </w:r>
    </w:p>
    <w:p>
      <w:pPr>
        <w:pStyle w:val="ListParagraph"/>
        <w:numPr>
          <w:ilvl w:val="0"/>
          <w:numId w:val="1"/>
        </w:numPr>
        <w:spacing w:after="80" w:line="290"/>
      </w:pPr>
      <w:r>
        <w:t xml:space="preserve">Hybrid TimeMixer–XGBoost residual model.</w:t>
      </w:r>
    </w:p>
    <w:p>
      <w:pPr>
        <w:pStyle w:val="Heading2"/>
        <w:spacing w:after="120" w:before="220"/>
      </w:pPr>
      <w:r>
        <w:t xml:space="preserve">3.8 Training and tuning</w:t>
      </w:r>
    </w:p>
    <w:p>
      <w:pPr>
        <w:spacing w:after="150" w:line="320"/>
        <w:jc w:val="both"/>
      </w:pPr>
      <w:r>
        <w:rPr>
          <w:rFonts w:ascii="Calibri" w:cs="Calibri" w:eastAsia="Calibri" w:hAnsi="Calibri"/>
          <w:sz w:val="22"/>
          <w:szCs w:val="22"/>
        </w:rPr>
        <w:t xml:space="preserve">TimeMixer and LSTM models will use Huber loss, AdamW, early stopping, gradient clipping, and five random seeds. Hyperparameters include input length, hidden dimension, number of blocks, dropout, learning rate, and batch size. XGBoost tuning covers tree depth, learning rate, estimators, subsampling, column sampling, minimum child weight, and regularization. Validation MAE averaged equally across horizons is the selection objective.</w:t>
      </w:r>
    </w:p>
    <w:p>
      <w:pPr>
        <w:pStyle w:val="Heading2"/>
        <w:spacing w:after="120" w:before="220"/>
      </w:pPr>
      <w:r>
        <w:t xml:space="preserve">3.9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shd w:fill="F4F6F9" w:val="clear"/>
          </w:tcPr>
          <w:p>
            <w:r>
              <w:rPr>
                <w:b/>
                <w:bCs/>
                <w:color w:val="17365D"/>
                <w:sz w:val="19"/>
                <w:szCs w:val="19"/>
              </w:rPr>
              <w:t xml:space="preserve">Dimension</w:t>
            </w:r>
          </w:p>
        </w:tc>
        <w:tc>
          <w:tcPr>
            <w:tcW w:type="dxa" w:w="3400"/>
            <w:shd w:fill="F4F6F9" w:val="clear"/>
          </w:tcPr>
          <w:p>
            <w:r>
              <w:rPr>
                <w:b/>
                <w:bCs/>
                <w:color w:val="17365D"/>
                <w:sz w:val="19"/>
                <w:szCs w:val="19"/>
              </w:rPr>
              <w:t xml:space="preserve">Measures</w:t>
            </w:r>
          </w:p>
        </w:tc>
        <w:tc>
          <w:tcPr>
            <w:tcW w:type="dxa" w:w="4360"/>
            <w:shd w:fill="F4F6F9" w:val="clear"/>
          </w:tcPr>
          <w:p>
            <w:r>
              <w:rPr>
                <w:b/>
                <w:bCs/>
                <w:color w:val="17365D"/>
                <w:sz w:val="19"/>
                <w:szCs w:val="19"/>
              </w:rPr>
              <w:t xml:space="preserve">Reporting</w:t>
            </w:r>
          </w:p>
        </w:tc>
      </w:tr>
      <w:tr>
        <w:tc>
          <w:tcPr>
            <w:tcW w:type="dxa" w:w="1600"/>
          </w:tcPr>
          <w:p>
            <w:pPr>
              <w:spacing w:after="50" w:line="260"/>
            </w:pPr>
            <w:r>
              <w:rPr>
                <w:sz w:val="19"/>
                <w:szCs w:val="19"/>
              </w:rPr>
              <w:t xml:space="preserve">Point accuracy</w:t>
            </w:r>
          </w:p>
        </w:tc>
        <w:tc>
          <w:tcPr>
            <w:tcW w:type="dxa" w:w="3400"/>
          </w:tcPr>
          <w:p>
            <w:pPr>
              <w:spacing w:after="50" w:line="260"/>
            </w:pPr>
            <w:r>
              <w:rPr>
                <w:sz w:val="19"/>
                <w:szCs w:val="19"/>
              </w:rPr>
              <w:t xml:space="preserve">MAE (primary), RMSE, sMAPE, R²</w:t>
            </w:r>
          </w:p>
        </w:tc>
        <w:tc>
          <w:tcPr>
            <w:tcW w:type="dxa" w:w="4360"/>
          </w:tcPr>
          <w:p>
            <w:pPr>
              <w:spacing w:after="50" w:line="260"/>
            </w:pPr>
            <w:r>
              <w:rPr>
                <w:sz w:val="19"/>
                <w:szCs w:val="19"/>
              </w:rPr>
              <w:t xml:space="preserve">Overall and separately for each horizon.</w:t>
            </w:r>
          </w:p>
        </w:tc>
      </w:tr>
      <w:tr>
        <w:tc>
          <w:tcPr>
            <w:tcW w:type="dxa" w:w="1600"/>
          </w:tcPr>
          <w:p>
            <w:pPr>
              <w:spacing w:after="50" w:line="260"/>
            </w:pPr>
            <w:r>
              <w:rPr>
                <w:sz w:val="19"/>
                <w:szCs w:val="19"/>
              </w:rPr>
              <w:t xml:space="preserve">High PM2.5</w:t>
            </w:r>
          </w:p>
        </w:tc>
        <w:tc>
          <w:tcPr>
            <w:tcW w:type="dxa" w:w="3400"/>
          </w:tcPr>
          <w:p>
            <w:pPr>
              <w:spacing w:after="50" w:line="260"/>
            </w:pPr>
            <w:r>
              <w:rPr>
                <w:sz w:val="19"/>
                <w:szCs w:val="19"/>
              </w:rPr>
              <w:t xml:space="preserve">MAE and event recall above a training-derived threshold</w:t>
            </w:r>
          </w:p>
        </w:tc>
        <w:tc>
          <w:tcPr>
            <w:tcW w:type="dxa" w:w="4360"/>
          </w:tcPr>
          <w:p>
            <w:pPr>
              <w:spacing w:after="50" w:line="260"/>
            </w:pPr>
            <w:r>
              <w:rPr>
                <w:sz w:val="19"/>
                <w:szCs w:val="19"/>
              </w:rPr>
              <w:t xml:space="preserve">Tests performance during elevated episodes.</w:t>
            </w:r>
          </w:p>
        </w:tc>
      </w:tr>
      <w:tr>
        <w:tc>
          <w:tcPr>
            <w:tcW w:type="dxa" w:w="1600"/>
          </w:tcPr>
          <w:p>
            <w:pPr>
              <w:spacing w:after="50" w:line="260"/>
            </w:pPr>
            <w:r>
              <w:rPr>
                <w:sz w:val="19"/>
                <w:szCs w:val="19"/>
              </w:rPr>
              <w:t xml:space="preserve">Significance</w:t>
            </w:r>
          </w:p>
        </w:tc>
        <w:tc>
          <w:tcPr>
            <w:tcW w:type="dxa" w:w="3400"/>
          </w:tcPr>
          <w:p>
            <w:pPr>
              <w:spacing w:after="50" w:line="260"/>
            </w:pPr>
            <w:r>
              <w:rPr>
                <w:sz w:val="19"/>
                <w:szCs w:val="19"/>
              </w:rPr>
              <w:t xml:space="preserve">Paired block-bootstrap confidence intervals; Diebold–Mariano tests</w:t>
            </w:r>
          </w:p>
        </w:tc>
        <w:tc>
          <w:tcPr>
            <w:tcW w:type="dxa" w:w="4360"/>
          </w:tcPr>
          <w:p>
            <w:pPr>
              <w:spacing w:after="50" w:line="260"/>
            </w:pPr>
            <w:r>
              <w:rPr>
                <w:sz w:val="19"/>
                <w:szCs w:val="19"/>
              </w:rPr>
              <w:t xml:space="preserve">Hybrid versus strongest component baseline.</w:t>
            </w:r>
          </w:p>
        </w:tc>
      </w:tr>
      <w:tr>
        <w:tc>
          <w:tcPr>
            <w:tcW w:type="dxa" w:w="1600"/>
          </w:tcPr>
          <w:p>
            <w:pPr>
              <w:spacing w:after="50" w:line="260"/>
            </w:pPr>
            <w:r>
              <w:rPr>
                <w:sz w:val="19"/>
                <w:szCs w:val="19"/>
              </w:rPr>
              <w:t xml:space="preserve">Robustness</w:t>
            </w:r>
          </w:p>
        </w:tc>
        <w:tc>
          <w:tcPr>
            <w:tcW w:type="dxa" w:w="3400"/>
          </w:tcPr>
          <w:p>
            <w:pPr>
              <w:spacing w:after="50" w:line="260"/>
            </w:pPr>
            <w:r>
              <w:rPr>
                <w:sz w:val="19"/>
                <w:szCs w:val="19"/>
              </w:rPr>
              <w:t xml:space="preserve">Season, instrument regime, missingness proximity, random seed</w:t>
            </w:r>
          </w:p>
        </w:tc>
        <w:tc>
          <w:tcPr>
            <w:tcW w:type="dxa" w:w="4360"/>
          </w:tcPr>
          <w:p>
            <w:pPr>
              <w:spacing w:after="50" w:line="260"/>
            </w:pPr>
            <w:r>
              <w:rPr>
                <w:sz w:val="19"/>
                <w:szCs w:val="19"/>
              </w:rPr>
              <w:t xml:space="preserve">Identifies unstable operating conditions.</w:t>
            </w:r>
          </w:p>
        </w:tc>
      </w:tr>
      <w:tr>
        <w:tc>
          <w:tcPr>
            <w:tcW w:type="dxa" w:w="1600"/>
          </w:tcPr>
          <w:p>
            <w:pPr>
              <w:spacing w:after="50" w:line="260"/>
            </w:pPr>
            <w:r>
              <w:rPr>
                <w:sz w:val="19"/>
                <w:szCs w:val="19"/>
              </w:rPr>
              <w:t xml:space="preserve">Efficiency</w:t>
            </w:r>
          </w:p>
        </w:tc>
        <w:tc>
          <w:tcPr>
            <w:tcW w:type="dxa" w:w="3400"/>
          </w:tcPr>
          <w:p>
            <w:pPr>
              <w:spacing w:after="50" w:line="260"/>
            </w:pPr>
            <w:r>
              <w:rPr>
                <w:sz w:val="19"/>
                <w:szCs w:val="19"/>
              </w:rPr>
              <w:t xml:space="preserve">Training time, inference latency, memory, parameters</w:t>
            </w:r>
          </w:p>
        </w:tc>
        <w:tc>
          <w:tcPr>
            <w:tcW w:type="dxa" w:w="4360"/>
          </w:tcPr>
          <w:p>
            <w:pPr>
              <w:spacing w:after="50" w:line="260"/>
            </w:pPr>
            <w:r>
              <w:rPr>
                <w:sz w:val="19"/>
                <w:szCs w:val="19"/>
              </w:rPr>
              <w:t xml:space="preserve">Assesses practical feasibility.</w:t>
            </w:r>
          </w:p>
        </w:tc>
      </w:tr>
    </w:tbl>
    <w:p>
      <w:pPr>
        <w:pStyle w:val="Heading2"/>
        <w:spacing w:after="120" w:before="220"/>
      </w:pPr>
      <w:r>
        <w:t xml:space="preserve">3.10 Ablation and explainability</w:t>
      </w:r>
    </w:p>
    <w:p>
      <w:pPr>
        <w:pStyle w:val="ListParagraph"/>
        <w:numPr>
          <w:ilvl w:val="0"/>
          <w:numId w:val="1"/>
        </w:numPr>
        <w:spacing w:after="80" w:line="290"/>
      </w:pPr>
      <w:r>
        <w:t xml:space="preserve">Remove TimeMixer embeddings while retaining its base forecast.</w:t>
      </w:r>
    </w:p>
    <w:p>
      <w:pPr>
        <w:pStyle w:val="ListParagraph"/>
        <w:numPr>
          <w:ilvl w:val="0"/>
          <w:numId w:val="1"/>
        </w:numPr>
        <w:spacing w:after="80" w:line="290"/>
      </w:pPr>
      <w:r>
        <w:t xml:space="preserve">Remove lag and rolling features.</w:t>
      </w:r>
    </w:p>
    <w:p>
      <w:pPr>
        <w:pStyle w:val="ListParagraph"/>
        <w:numPr>
          <w:ilvl w:val="0"/>
          <w:numId w:val="1"/>
        </w:numPr>
        <w:spacing w:after="80" w:line="290"/>
      </w:pPr>
      <w:r>
        <w:t xml:space="preserve">Remove instrument type and transition indicator.</w:t>
      </w:r>
    </w:p>
    <w:p>
      <w:pPr>
        <w:pStyle w:val="ListParagraph"/>
        <w:numPr>
          <w:ilvl w:val="0"/>
          <w:numId w:val="1"/>
        </w:numPr>
        <w:spacing w:after="80" w:line="290"/>
      </w:pPr>
      <w:r>
        <w:t xml:space="preserve">Remove missingness and interpolation metadata.</w:t>
      </w:r>
    </w:p>
    <w:p>
      <w:pPr>
        <w:pStyle w:val="ListParagraph"/>
        <w:numPr>
          <w:ilvl w:val="0"/>
          <w:numId w:val="1"/>
        </w:numPr>
        <w:spacing w:after="80" w:line="290"/>
      </w:pPr>
      <w:r>
        <w:t xml:space="preserve">Compare residual correction with simple averaging.</w:t>
      </w:r>
    </w:p>
    <w:p>
      <w:pPr>
        <w:pStyle w:val="ListParagraph"/>
        <w:numPr>
          <w:ilvl w:val="0"/>
          <w:numId w:val="1"/>
        </w:numPr>
        <w:spacing w:after="80" w:line="290"/>
      </w:pPr>
      <w:r>
        <w:t xml:space="preserve">Use TreeSHAP to explain horizon-specific residual corrections.</w:t>
      </w:r>
    </w:p>
    <w:p>
      <w:pPr>
        <w:pStyle w:val="ListParagraph"/>
        <w:numPr>
          <w:ilvl w:val="0"/>
          <w:numId w:val="1"/>
        </w:numPr>
        <w:spacing w:after="80" w:line="290"/>
      </w:pPr>
      <w:r>
        <w:t xml:space="preserve">Use scale ablation to measure each TimeMixer resolution’s contribution.</w:t>
      </w:r>
    </w:p>
    <w:p>
      <w:pPr>
        <w:pStyle w:val="Heading1"/>
        <w:spacing w:after="120" w:before="320"/>
      </w:pPr>
      <w:r>
        <w:t xml:space="preserve">4. Ethical and Responsible Research</w:t>
      </w:r>
    </w:p>
    <w:p>
      <w:pPr>
        <w:spacing w:after="150" w:line="320"/>
        <w:jc w:val="both"/>
      </w:pPr>
      <w:r>
        <w:rPr>
          <w:rFonts w:ascii="Calibri" w:cs="Calibri" w:eastAsia="Calibri" w:hAnsi="Calibri"/>
          <w:sz w:val="22"/>
          <w:szCs w:val="22"/>
        </w:rPr>
        <w:t xml:space="preserve">The dataset contains environmental measurements and no personal identifiers. It is therefore expected to present minimal privacy risk, subject to institutional review. The prototype will not be presented as an official health-warning system. Results will include uncertainty, data coverage, station scope, measurement changes, and limitations. Explanations will be described as predictive associations rather than causal evidence.</w:t>
      </w:r>
    </w:p>
    <w:p>
      <w:pPr>
        <w:pStyle w:val="Heading1"/>
        <w:spacing w:after="120" w:before="320"/>
      </w:pPr>
      <w:r>
        <w:t xml:space="preserve">5.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shd w:fill="F4F6F9" w:val="clear"/>
          </w:tcPr>
          <w:p>
            <w:r>
              <w:rPr>
                <w:b/>
                <w:bCs/>
                <w:color w:val="17365D"/>
                <w:sz w:val="19"/>
                <w:szCs w:val="19"/>
              </w:rPr>
              <w:t xml:space="preserve">Weeks</w:t>
            </w:r>
          </w:p>
        </w:tc>
        <w:tc>
          <w:tcPr>
            <w:tcW w:type="dxa" w:w="4900"/>
            <w:shd w:fill="F4F6F9" w:val="clear"/>
          </w:tcPr>
          <w:p>
            <w:r>
              <w:rPr>
                <w:b/>
                <w:bCs/>
                <w:color w:val="17365D"/>
                <w:sz w:val="19"/>
                <w:szCs w:val="19"/>
              </w:rPr>
              <w:t xml:space="preserve">Activity</w:t>
            </w:r>
          </w:p>
        </w:tc>
        <w:tc>
          <w:tcPr>
            <w:tcW w:type="dxa" w:w="3360"/>
            <w:shd w:fill="F4F6F9" w:val="clear"/>
          </w:tcPr>
          <w:p>
            <w:r>
              <w:rPr>
                <w:b/>
                <w:bCs/>
                <w:color w:val="17365D"/>
                <w:sz w:val="19"/>
                <w:szCs w:val="19"/>
              </w:rPr>
              <w:t xml:space="preserve">Deliverable</w:t>
            </w:r>
          </w:p>
        </w:tc>
      </w:tr>
      <w:tr>
        <w:tc>
          <w:tcPr>
            <w:tcW w:type="dxa" w:w="1100"/>
          </w:tcPr>
          <w:p>
            <w:pPr>
              <w:spacing w:after="50" w:line="260"/>
            </w:pPr>
            <w:r>
              <w:rPr>
                <w:sz w:val="19"/>
                <w:szCs w:val="19"/>
              </w:rPr>
              <w:t xml:space="preserve">1–2</w:t>
            </w:r>
          </w:p>
        </w:tc>
        <w:tc>
          <w:tcPr>
            <w:tcW w:type="dxa" w:w="4900"/>
          </w:tcPr>
          <w:p>
            <w:pPr>
              <w:spacing w:after="50" w:line="260"/>
            </w:pPr>
            <w:r>
              <w:rPr>
                <w:sz w:val="19"/>
                <w:szCs w:val="19"/>
              </w:rPr>
              <w:t xml:space="preserve">Literature review and protocol</w:t>
            </w:r>
          </w:p>
        </w:tc>
        <w:tc>
          <w:tcPr>
            <w:tcW w:type="dxa" w:w="3360"/>
          </w:tcPr>
          <w:p>
            <w:pPr>
              <w:spacing w:after="50" w:line="260"/>
            </w:pPr>
            <w:r>
              <w:rPr>
                <w:sz w:val="19"/>
                <w:szCs w:val="19"/>
              </w:rPr>
              <w:t xml:space="preserve">Approved research plan</w:t>
            </w:r>
          </w:p>
        </w:tc>
      </w:tr>
      <w:tr>
        <w:tc>
          <w:tcPr>
            <w:tcW w:type="dxa" w:w="1100"/>
          </w:tcPr>
          <w:p>
            <w:pPr>
              <w:spacing w:after="50" w:line="260"/>
            </w:pPr>
            <w:r>
              <w:rPr>
                <w:sz w:val="19"/>
                <w:szCs w:val="19"/>
              </w:rPr>
              <w:t xml:space="preserve">3–4</w:t>
            </w:r>
          </w:p>
        </w:tc>
        <w:tc>
          <w:tcPr>
            <w:tcW w:type="dxa" w:w="4900"/>
          </w:tcPr>
          <w:p>
            <w:pPr>
              <w:spacing w:after="50" w:line="260"/>
            </w:pPr>
            <w:r>
              <w:rPr>
                <w:sz w:val="19"/>
                <w:szCs w:val="19"/>
              </w:rPr>
              <w:t xml:space="preserve">Data audit and cleaning</w:t>
            </w:r>
          </w:p>
        </w:tc>
        <w:tc>
          <w:tcPr>
            <w:tcW w:type="dxa" w:w="3360"/>
          </w:tcPr>
          <w:p>
            <w:pPr>
              <w:spacing w:after="50" w:line="260"/>
            </w:pPr>
            <w:r>
              <w:rPr>
                <w:sz w:val="19"/>
                <w:szCs w:val="19"/>
              </w:rPr>
              <w:t xml:space="preserve">Reproducible clean dataset</w:t>
            </w:r>
          </w:p>
        </w:tc>
      </w:tr>
      <w:tr>
        <w:tc>
          <w:tcPr>
            <w:tcW w:type="dxa" w:w="1100"/>
          </w:tcPr>
          <w:p>
            <w:pPr>
              <w:spacing w:after="50" w:line="260"/>
            </w:pPr>
            <w:r>
              <w:rPr>
                <w:sz w:val="19"/>
                <w:szCs w:val="19"/>
              </w:rPr>
              <w:t xml:space="preserve">5–7</w:t>
            </w:r>
          </w:p>
        </w:tc>
        <w:tc>
          <w:tcPr>
            <w:tcW w:type="dxa" w:w="4900"/>
          </w:tcPr>
          <w:p>
            <w:pPr>
              <w:spacing w:after="50" w:line="260"/>
            </w:pPr>
            <w:r>
              <w:rPr>
                <w:sz w:val="19"/>
                <w:szCs w:val="19"/>
              </w:rPr>
              <w:t xml:space="preserve">EDA and baseline models</w:t>
            </w:r>
          </w:p>
        </w:tc>
        <w:tc>
          <w:tcPr>
            <w:tcW w:type="dxa" w:w="3360"/>
          </w:tcPr>
          <w:p>
            <w:pPr>
              <w:spacing w:after="50" w:line="260"/>
            </w:pPr>
            <w:r>
              <w:rPr>
                <w:sz w:val="19"/>
                <w:szCs w:val="19"/>
              </w:rPr>
              <w:t xml:space="preserve">Baseline report</w:t>
            </w:r>
          </w:p>
        </w:tc>
      </w:tr>
      <w:tr>
        <w:tc>
          <w:tcPr>
            <w:tcW w:type="dxa" w:w="1100"/>
          </w:tcPr>
          <w:p>
            <w:pPr>
              <w:spacing w:after="50" w:line="260"/>
            </w:pPr>
            <w:r>
              <w:rPr>
                <w:sz w:val="19"/>
                <w:szCs w:val="19"/>
              </w:rPr>
              <w:t xml:space="preserve">8–11</w:t>
            </w:r>
          </w:p>
        </w:tc>
        <w:tc>
          <w:tcPr>
            <w:tcW w:type="dxa" w:w="4900"/>
          </w:tcPr>
          <w:p>
            <w:pPr>
              <w:spacing w:after="50" w:line="260"/>
            </w:pPr>
            <w:r>
              <w:rPr>
                <w:sz w:val="19"/>
                <w:szCs w:val="19"/>
              </w:rPr>
              <w:t xml:space="preserve">TimeMixer implementation and tuning</w:t>
            </w:r>
          </w:p>
        </w:tc>
        <w:tc>
          <w:tcPr>
            <w:tcW w:type="dxa" w:w="3360"/>
          </w:tcPr>
          <w:p>
            <w:pPr>
              <w:spacing w:after="50" w:line="260"/>
            </w:pPr>
            <w:r>
              <w:rPr>
                <w:sz w:val="19"/>
                <w:szCs w:val="19"/>
              </w:rPr>
              <w:t xml:space="preserve">Validated TimeMixer</w:t>
            </w:r>
          </w:p>
        </w:tc>
      </w:tr>
      <w:tr>
        <w:tc>
          <w:tcPr>
            <w:tcW w:type="dxa" w:w="1100"/>
          </w:tcPr>
          <w:p>
            <w:pPr>
              <w:spacing w:after="50" w:line="260"/>
            </w:pPr>
            <w:r>
              <w:rPr>
                <w:sz w:val="19"/>
                <w:szCs w:val="19"/>
              </w:rPr>
              <w:t xml:space="preserve">12–14</w:t>
            </w:r>
          </w:p>
        </w:tc>
        <w:tc>
          <w:tcPr>
            <w:tcW w:type="dxa" w:w="4900"/>
          </w:tcPr>
          <w:p>
            <w:pPr>
              <w:spacing w:after="50" w:line="260"/>
            </w:pPr>
            <w:r>
              <w:rPr>
                <w:sz w:val="19"/>
                <w:szCs w:val="19"/>
              </w:rPr>
              <w:t xml:space="preserve">Hybrid residual model</w:t>
            </w:r>
          </w:p>
        </w:tc>
        <w:tc>
          <w:tcPr>
            <w:tcW w:type="dxa" w:w="3360"/>
          </w:tcPr>
          <w:p>
            <w:pPr>
              <w:spacing w:after="50" w:line="260"/>
            </w:pPr>
            <w:r>
              <w:rPr>
                <w:sz w:val="19"/>
                <w:szCs w:val="19"/>
              </w:rPr>
              <w:t xml:space="preserve">Hybrid implementation</w:t>
            </w:r>
          </w:p>
        </w:tc>
      </w:tr>
      <w:tr>
        <w:tc>
          <w:tcPr>
            <w:tcW w:type="dxa" w:w="1100"/>
          </w:tcPr>
          <w:p>
            <w:pPr>
              <w:spacing w:after="50" w:line="260"/>
            </w:pPr>
            <w:r>
              <w:rPr>
                <w:sz w:val="19"/>
                <w:szCs w:val="19"/>
              </w:rPr>
              <w:t xml:space="preserve">15–17</w:t>
            </w:r>
          </w:p>
        </w:tc>
        <w:tc>
          <w:tcPr>
            <w:tcW w:type="dxa" w:w="4900"/>
          </w:tcPr>
          <w:p>
            <w:pPr>
              <w:spacing w:after="50" w:line="260"/>
            </w:pPr>
            <w:r>
              <w:rPr>
                <w:sz w:val="19"/>
                <w:szCs w:val="19"/>
              </w:rPr>
              <w:t xml:space="preserve">Locked test evaluation and statistics</w:t>
            </w:r>
          </w:p>
        </w:tc>
        <w:tc>
          <w:tcPr>
            <w:tcW w:type="dxa" w:w="3360"/>
          </w:tcPr>
          <w:p>
            <w:pPr>
              <w:spacing w:after="50" w:line="260"/>
            </w:pPr>
            <w:r>
              <w:rPr>
                <w:sz w:val="19"/>
                <w:szCs w:val="19"/>
              </w:rPr>
              <w:t xml:space="preserve">Final metrics and predictions</w:t>
            </w:r>
          </w:p>
        </w:tc>
      </w:tr>
      <w:tr>
        <w:tc>
          <w:tcPr>
            <w:tcW w:type="dxa" w:w="1100"/>
          </w:tcPr>
          <w:p>
            <w:pPr>
              <w:spacing w:after="50" w:line="260"/>
            </w:pPr>
            <w:r>
              <w:rPr>
                <w:sz w:val="19"/>
                <w:szCs w:val="19"/>
              </w:rPr>
              <w:t xml:space="preserve">18–19</w:t>
            </w:r>
          </w:p>
        </w:tc>
        <w:tc>
          <w:tcPr>
            <w:tcW w:type="dxa" w:w="4900"/>
          </w:tcPr>
          <w:p>
            <w:pPr>
              <w:spacing w:after="50" w:line="260"/>
            </w:pPr>
            <w:r>
              <w:rPr>
                <w:sz w:val="19"/>
                <w:szCs w:val="19"/>
              </w:rPr>
              <w:t xml:space="preserve">Ablation, SHAP and robustness</w:t>
            </w:r>
          </w:p>
        </w:tc>
        <w:tc>
          <w:tcPr>
            <w:tcW w:type="dxa" w:w="3360"/>
          </w:tcPr>
          <w:p>
            <w:pPr>
              <w:spacing w:after="50" w:line="260"/>
            </w:pPr>
            <w:r>
              <w:rPr>
                <w:sz w:val="19"/>
                <w:szCs w:val="19"/>
              </w:rPr>
              <w:t xml:space="preserve">Interpretability report</w:t>
            </w:r>
          </w:p>
        </w:tc>
      </w:tr>
      <w:tr>
        <w:tc>
          <w:tcPr>
            <w:tcW w:type="dxa" w:w="1100"/>
          </w:tcPr>
          <w:p>
            <w:pPr>
              <w:spacing w:after="50" w:line="260"/>
            </w:pPr>
            <w:r>
              <w:rPr>
                <w:sz w:val="19"/>
                <w:szCs w:val="19"/>
              </w:rPr>
              <w:t xml:space="preserve">20–22</w:t>
            </w:r>
          </w:p>
        </w:tc>
        <w:tc>
          <w:tcPr>
            <w:tcW w:type="dxa" w:w="4900"/>
          </w:tcPr>
          <w:p>
            <w:pPr>
              <w:spacing w:after="50" w:line="260"/>
            </w:pPr>
            <w:r>
              <w:rPr>
                <w:sz w:val="19"/>
                <w:szCs w:val="19"/>
              </w:rPr>
              <w:t xml:space="preserve">Writing and reproducibility package</w:t>
            </w:r>
          </w:p>
        </w:tc>
        <w:tc>
          <w:tcPr>
            <w:tcW w:type="dxa" w:w="3360"/>
          </w:tcPr>
          <w:p>
            <w:pPr>
              <w:spacing w:after="50" w:line="260"/>
            </w:pPr>
            <w:r>
              <w:rPr>
                <w:sz w:val="19"/>
                <w:szCs w:val="19"/>
              </w:rPr>
              <w:t xml:space="preserve">Complete draft</w:t>
            </w:r>
          </w:p>
        </w:tc>
      </w:tr>
      <w:tr>
        <w:tc>
          <w:tcPr>
            <w:tcW w:type="dxa" w:w="1100"/>
          </w:tcPr>
          <w:p>
            <w:pPr>
              <w:spacing w:after="50" w:line="260"/>
            </w:pPr>
            <w:r>
              <w:rPr>
                <w:sz w:val="19"/>
                <w:szCs w:val="19"/>
              </w:rPr>
              <w:t xml:space="preserve">23–24</w:t>
            </w:r>
          </w:p>
        </w:tc>
        <w:tc>
          <w:tcPr>
            <w:tcW w:type="dxa" w:w="4900"/>
          </w:tcPr>
          <w:p>
            <w:pPr>
              <w:spacing w:after="50" w:line="260"/>
            </w:pPr>
            <w:r>
              <w:rPr>
                <w:sz w:val="19"/>
                <w:szCs w:val="19"/>
              </w:rPr>
              <w:t xml:space="preserve">Revision and presentation</w:t>
            </w:r>
          </w:p>
        </w:tc>
        <w:tc>
          <w:tcPr>
            <w:tcW w:type="dxa" w:w="3360"/>
          </w:tcPr>
          <w:p>
            <w:pPr>
              <w:spacing w:after="50" w:line="260"/>
            </w:pPr>
            <w:r>
              <w:rPr>
                <w:sz w:val="19"/>
                <w:szCs w:val="19"/>
              </w:rPr>
              <w:t xml:space="preserve">Final submission</w:t>
            </w:r>
          </w:p>
        </w:tc>
      </w:tr>
    </w:tbl>
    <w:p>
      <w:pPr>
        <w:pStyle w:val="Heading1"/>
        <w:spacing w:after="120" w:before="320"/>
      </w:pPr>
      <w:r>
        <w:t xml:space="preserve">6. Expected Contributions</w:t>
      </w:r>
    </w:p>
    <w:p>
      <w:pPr>
        <w:spacing w:after="150" w:line="320"/>
        <w:jc w:val="both"/>
      </w:pPr>
      <w:r>
        <w:rPr>
          <w:rFonts w:ascii="Calibri" w:cs="Calibri" w:eastAsia="Calibri" w:hAnsi="Calibri"/>
          <w:sz w:val="22"/>
          <w:szCs w:val="22"/>
        </w:rPr>
        <w:t xml:space="preserve">The study is expected to determine whether multiscale representations add measurable value beyond conventional PM2.5 lag features. Its methodological contribution is a transparent residual hybrid with horizon-specific correction. Its practical contribution is a reproducible pipeline for cleaning, modelling, and evaluating a difficult hourly PM2.5 series while preserving long gaps and instrument metadata. A negative result is also valuable if TimeMixer embeddings fail to justify the additional complexity.</w:t>
      </w:r>
    </w:p>
    <w:p>
      <w:pPr>
        <w:pStyle w:val="Heading1"/>
        <w:spacing w:after="120" w:before="320"/>
      </w:pPr>
      <w:r>
        <w:t xml:space="preserve">7. Limitations</w:t>
      </w:r>
    </w:p>
    <w:p>
      <w:pPr>
        <w:spacing w:after="150" w:line="320"/>
        <w:jc w:val="both"/>
      </w:pPr>
      <w:r>
        <w:rPr>
          <w:rFonts w:ascii="Calibri" w:cs="Calibri" w:eastAsia="Calibri" w:hAnsi="Calibri"/>
          <w:sz w:val="22"/>
          <w:szCs w:val="22"/>
        </w:rPr>
        <w:t xml:space="preserve">The study uses one roadside station, so results may not generalize to other locations or monitoring environments. Without meteorological, traffic, emissions, or spatial inputs, the model cannot directly anticipate exogenous changes that are not encoded in the PM2.5 history. Long gaps reduce the number of eligible training windows. The instrument transition is confounded with calendar time. Forecast explanations are associative, and the prototype is not a substitute for official monitoring.</w:t>
      </w:r>
    </w:p>
    <w:p>
      <w:pPr>
        <w:pStyle w:val="Heading1"/>
        <w:spacing w:after="120" w:before="320"/>
      </w:pPr>
      <w:r>
        <w:t xml:space="preserve">8. References</w:t>
      </w:r>
    </w:p>
    <w:p>
      <w:pPr>
        <w:spacing w:after="100" w:line="276"/>
        <w:ind w:left="432" w:hanging="432"/>
      </w:pPr>
      <w:r>
        <w:rPr>
          <w:sz w:val="20"/>
          <w:szCs w:val="20"/>
        </w:rPr>
        <w:t xml:space="preserve">Chen, T., &amp; Guestrin, C. (2016). XGBoost: A scalable tree boosting system. Proceedings of the 22nd ACM SIGKDD International Conference on Knowledge Discovery and Data Mining, 785–794.</w:t>
      </w:r>
    </w:p>
    <w:p>
      <w:pPr>
        <w:spacing w:after="100" w:line="276"/>
        <w:ind w:left="432" w:hanging="432"/>
      </w:pPr>
      <w:r>
        <w:rPr>
          <w:sz w:val="20"/>
          <w:szCs w:val="20"/>
        </w:rPr>
        <w:t xml:space="preserve">Hyndman, R. J., &amp; Koehler, A. B. (2006). Another look at measures of forecast accuracy. International Journal of Forecasting, 22(4), 679–688.</w:t>
      </w:r>
    </w:p>
    <w:p>
      <w:pPr>
        <w:spacing w:after="100" w:line="276"/>
        <w:ind w:left="432" w:hanging="432"/>
      </w:pPr>
      <w:r>
        <w:rPr>
          <w:sz w:val="20"/>
          <w:szCs w:val="20"/>
        </w:rPr>
        <w:t xml:space="preserve">Lundberg, S. M., &amp; Lee, S.-I. (2017). A unified approach to interpreting model predictions. Advances in Neural Information Processing Systems, 30.</w:t>
      </w:r>
    </w:p>
    <w:p>
      <w:pPr>
        <w:spacing w:after="100" w:line="276"/>
        <w:ind w:left="432" w:hanging="432"/>
      </w:pPr>
      <w:r>
        <w:rPr>
          <w:sz w:val="20"/>
          <w:szCs w:val="20"/>
        </w:rPr>
        <w:t xml:space="preserve">Nie, Y., et al. (2023). A time series is worth 64 words: Long-term forecasting with transformers. International Conference on Learning Representations.</w:t>
      </w:r>
    </w:p>
    <w:p>
      <w:pPr>
        <w:spacing w:after="100" w:line="276"/>
        <w:ind w:left="432" w:hanging="432"/>
      </w:pPr>
      <w:r>
        <w:rPr>
          <w:sz w:val="20"/>
          <w:szCs w:val="20"/>
        </w:rPr>
        <w:t xml:space="preserve">Wang, S., et al. (2024). TimeMixer: Decomposable multiscale mixing for time series forecasting. International Conference on Learning Representations.</w:t>
      </w:r>
    </w:p>
    <w:p>
      <w:pPr>
        <w:spacing w:after="100" w:line="276"/>
        <w:ind w:left="432" w:hanging="432"/>
      </w:pPr>
      <w:r>
        <w:rPr>
          <w:sz w:val="20"/>
          <w:szCs w:val="20"/>
        </w:rPr>
        <w:t xml:space="preserve">World Health Organization. (2021). WHO global air quality guidelines. World Health Organization.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666666"/>
        <w:sz w:val="17"/>
        <w:szCs w:val="17"/>
      </w:rPr>
      <w:t xml:space="preserve">RESEARCH PROPOSAL  |  PM2.5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5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pPr>
    <w:rPr>
      <w:b/>
      <w:bCs/>
      <w:color w:val="2E74B5"/>
      <w:sz w:val="32"/>
      <w:szCs w:val="32"/>
    </w:rPr>
  </w:style>
  <w:style w:type="paragraph" w:styleId="Heading2">
    <w:name w:val="Heading 2"/>
    <w:basedOn w:val="Normal"/>
    <w:next w:val="Normal"/>
    <w:qFormat/>
    <w:pPr>
      <w:keepNext/>
      <w:spacing w:after="120" w:before="240"/>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TimeMixer–XGBoost Framework for Multi-Horizon PM2.5 Forecasting Using Historical PM2.5 Time-Series Data</dc:title>
  <dc:creator>Student</dc:creator>
  <cp:lastModifiedBy>Un-named</cp:lastModifiedBy>
  <cp:revision>1</cp:revision>
  <dcterms:created xsi:type="dcterms:W3CDTF">2026-07-04T20:17:42.021Z</dcterms:created>
  <dcterms:modified xsi:type="dcterms:W3CDTF">2026-07-04T20:17:42.022Z</dcterms:modified>
</cp:coreProperties>
</file>

<file path=docProps/custom.xml><?xml version="1.0" encoding="utf-8"?>
<Properties xmlns="http://schemas.openxmlformats.org/officeDocument/2006/custom-properties" xmlns:vt="http://schemas.openxmlformats.org/officeDocument/2006/docPropsVTypes"/>
</file>