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E5655" w14:textId="77777777" w:rsidR="00941E8A" w:rsidRDefault="00941E8A" w:rsidP="00941E8A">
      <w:pPr>
        <w:spacing w:before="200" w:after="60"/>
        <w:jc w:val="center"/>
      </w:pPr>
      <w:bookmarkStart w:id="0" w:name="OLE_LINK16"/>
      <w:r>
        <w:rPr>
          <w:rFonts w:ascii="Arial" w:eastAsia="Arial" w:hAnsi="Arial" w:cs="Arial"/>
          <w:b/>
          <w:bCs/>
          <w:color w:val="1B2A4A"/>
          <w:sz w:val="52"/>
          <w:szCs w:val="52"/>
        </w:rPr>
        <w:t>Zone-Slot-Time-Persona</w:t>
      </w:r>
    </w:p>
    <w:p w14:paraId="0932CB81" w14:textId="77777777" w:rsidR="00941E8A" w:rsidRDefault="00941E8A" w:rsidP="00941E8A">
      <w:pPr>
        <w:spacing w:after="60"/>
        <w:jc w:val="center"/>
      </w:pPr>
      <w:r>
        <w:rPr>
          <w:rFonts w:ascii="Arial" w:eastAsia="Arial" w:hAnsi="Arial" w:cs="Arial"/>
          <w:b/>
          <w:bCs/>
          <w:color w:val="2E5FA3"/>
          <w:sz w:val="40"/>
          <w:szCs w:val="40"/>
        </w:rPr>
        <w:t>Threat-Adaptive Honeypot Placement</w:t>
      </w:r>
    </w:p>
    <w:p w14:paraId="3F03C84C" w14:textId="77777777" w:rsidR="007F77BB" w:rsidRDefault="007F77BB" w:rsidP="00941E8A">
      <w:pPr>
        <w:pBdr>
          <w:bottom w:val="single" w:sz="8" w:space="6" w:color="2E5FA3"/>
        </w:pBdr>
        <w:spacing w:after="280"/>
        <w:jc w:val="center"/>
      </w:pPr>
    </w:p>
    <w:p w14:paraId="3FC26DA6" w14:textId="77777777" w:rsidR="007F77BB" w:rsidRDefault="007F77BB" w:rsidP="00941E8A">
      <w:pPr>
        <w:pBdr>
          <w:bottom w:val="single" w:sz="8" w:space="6" w:color="2E5FA3"/>
        </w:pBdr>
        <w:spacing w:after="280"/>
        <w:jc w:val="center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41E8A" w14:paraId="6D54382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8" w:space="0" w:color="1B2A4A"/>
              <w:left w:val="single" w:sz="8" w:space="0" w:color="1B2A4A"/>
              <w:bottom w:val="single" w:sz="8" w:space="0" w:color="1B2A4A"/>
              <w:right w:val="single" w:sz="8" w:space="0" w:color="1B2A4A"/>
            </w:tcBorders>
            <w:shd w:val="clear" w:color="auto" w:fill="1B2A4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3C88CA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WHAT</w:t>
            </w:r>
          </w:p>
          <w:p w14:paraId="18589A42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kᵢ </w:t>
            </w:r>
            <w:r>
              <w:rPr>
                <w:rFonts w:ascii="Cambria Math" w:eastAsia="Arial" w:hAnsi="Cambria Math" w:cs="Cambria Math"/>
                <w:i/>
                <w:iCs/>
                <w:color w:val="FFFFFF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 K</w:t>
            </w:r>
          </w:p>
          <w:p w14:paraId="1A228688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web trap, ssh trap, </w:t>
            </w:r>
            <w:proofErr w:type="spellStart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db</w:t>
            </w:r>
            <w:proofErr w:type="spellEnd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 trap, </w:t>
            </w:r>
            <w:proofErr w:type="spellStart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smb</w:t>
            </w:r>
            <w:proofErr w:type="spellEnd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 trap, </w:t>
            </w:r>
            <w:proofErr w:type="spellStart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scada</w:t>
            </w:r>
            <w:proofErr w:type="spellEnd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 trap, ad trap, </w:t>
            </w:r>
            <w:proofErr w:type="spellStart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dns</w:t>
            </w:r>
            <w:proofErr w:type="spellEnd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 trap, generic trap</w:t>
            </w:r>
          </w:p>
        </w:tc>
        <w:tc>
          <w:tcPr>
            <w:tcW w:w="2340" w:type="dxa"/>
            <w:tcBorders>
              <w:top w:val="single" w:sz="8" w:space="0" w:color="2E5FA3"/>
              <w:left w:val="single" w:sz="8" w:space="0" w:color="2E5FA3"/>
              <w:bottom w:val="single" w:sz="8" w:space="0" w:color="2E5FA3"/>
              <w:right w:val="single" w:sz="8" w:space="0" w:color="2E5FA3"/>
            </w:tcBorders>
            <w:shd w:val="clear" w:color="auto" w:fill="2E5FA3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8FDDDB" w14:textId="77777777" w:rsidR="00941E8A" w:rsidRDefault="00941E8A" w:rsidP="00B05EF4">
            <w:pPr>
              <w:spacing w:after="40"/>
              <w:jc w:val="center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WHERE</w:t>
            </w:r>
            <w:proofErr w:type="gramEnd"/>
          </w:p>
          <w:p w14:paraId="5F3EFB37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z </w:t>
            </w:r>
            <w:r>
              <w:rPr>
                <w:rFonts w:ascii="Cambria Math" w:eastAsia="Arial" w:hAnsi="Cambria Math" w:cs="Cambria Math"/>
                <w:i/>
                <w:iCs/>
                <w:color w:val="FFFFFF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 Z</w:t>
            </w:r>
          </w:p>
          <w:p w14:paraId="0E3852F6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DMZ, Internal LAN, Cloud, OT/SCADA, </w:t>
            </w:r>
            <w:proofErr w:type="spellStart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Mgmt</w:t>
            </w:r>
            <w:proofErr w:type="spellEnd"/>
          </w:p>
        </w:tc>
        <w:tc>
          <w:tcPr>
            <w:tcW w:w="2340" w:type="dxa"/>
            <w:tcBorders>
              <w:top w:val="single" w:sz="8" w:space="0" w:color="4A7FC1"/>
              <w:left w:val="single" w:sz="8" w:space="0" w:color="4A7FC1"/>
              <w:bottom w:val="single" w:sz="8" w:space="0" w:color="4A7FC1"/>
              <w:right w:val="single" w:sz="8" w:space="0" w:color="4A7FC1"/>
            </w:tcBorders>
            <w:shd w:val="clear" w:color="auto" w:fill="4A7FC1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D36303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WHEN</w:t>
            </w:r>
          </w:p>
          <w:p w14:paraId="458A340B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t </w:t>
            </w:r>
            <w:r>
              <w:rPr>
                <w:rFonts w:ascii="Cambria Math" w:eastAsia="Arial" w:hAnsi="Cambria Math" w:cs="Cambria Math"/>
                <w:i/>
                <w:iCs/>
                <w:color w:val="FFFFFF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 T̄</w:t>
            </w:r>
          </w:p>
          <w:p w14:paraId="61FB6E8C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month 1, month 2, month 3, …</w:t>
            </w:r>
          </w:p>
        </w:tc>
        <w:tc>
          <w:tcPr>
            <w:tcW w:w="2340" w:type="dxa"/>
            <w:tcBorders>
              <w:top w:val="single" w:sz="8" w:space="0" w:color="1E6B45"/>
              <w:left w:val="single" w:sz="8" w:space="0" w:color="1E6B45"/>
              <w:bottom w:val="single" w:sz="8" w:space="0" w:color="1E6B45"/>
              <w:right w:val="single" w:sz="8" w:space="0" w:color="1E6B45"/>
            </w:tcBorders>
            <w:shd w:val="clear" w:color="auto" w:fill="1E6B4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CCE7ED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AS WHOM</w:t>
            </w:r>
          </w:p>
          <w:p w14:paraId="20EA1444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p </w:t>
            </w:r>
            <w:r>
              <w:rPr>
                <w:rFonts w:ascii="Cambria Math" w:eastAsia="Arial" w:hAnsi="Cambria Math" w:cs="Cambria Math"/>
                <w:i/>
                <w:iCs/>
                <w:color w:val="FFFFFF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 P</w:t>
            </w:r>
          </w:p>
          <w:p w14:paraId="4F182BC6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HR workstation, DevOps server, Finance DB, Generic Linux</w:t>
            </w:r>
          </w:p>
        </w:tc>
      </w:tr>
    </w:tbl>
    <w:p w14:paraId="52FBE9BE" w14:textId="77777777" w:rsidR="00941E8A" w:rsidRDefault="00941E8A" w:rsidP="00941E8A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7"/>
        <w:gridCol w:w="8823"/>
      </w:tblGrid>
      <w:tr w:rsidR="00941E8A" w14:paraId="59E2EED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0D5C63"/>
              <w:left w:val="single" w:sz="8" w:space="0" w:color="0D5C63"/>
              <w:bottom w:val="single" w:sz="8" w:space="0" w:color="0D5C63"/>
              <w:right w:val="single" w:sz="8" w:space="0" w:color="0D5C63"/>
            </w:tcBorders>
            <w:shd w:val="clear" w:color="auto" w:fill="0D5C6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542FE4F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NOTE</w:t>
            </w:r>
          </w:p>
        </w:tc>
        <w:tc>
          <w:tcPr>
            <w:tcW w:w="9100" w:type="dxa"/>
            <w:tcBorders>
              <w:top w:val="single" w:sz="8" w:space="0" w:color="0D5C63"/>
              <w:left w:val="none" w:sz="0" w:space="0" w:color="FFFFFF"/>
              <w:bottom w:val="single" w:sz="8" w:space="0" w:color="0D5C63"/>
              <w:right w:val="single" w:sz="8" w:space="0" w:color="0D5C63"/>
            </w:tcBorders>
            <w:shd w:val="clear" w:color="auto" w:fill="D0EEE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22DFD6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Notation convention: H is the scalar count of planning slots (the horizon). T̄ = {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1,…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,H} is the slot index set. t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T̄ is a slot index.</w:t>
            </w:r>
          </w:p>
          <w:p w14:paraId="52F1E4FD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τ family (τᵈ, τᵈᵖ, τᵈ⁰) refers exclusively to discovery and rotation thresholds — never to the horizon.</w:t>
            </w:r>
          </w:p>
          <w:p w14:paraId="24EAAC5B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This resolves all symbol overloading: H appears wherever the planning horizon scalar is needed; τ appears only in threshold subscripts.</w:t>
            </w:r>
          </w:p>
        </w:tc>
      </w:tr>
    </w:tbl>
    <w:p w14:paraId="71F2328E" w14:textId="77777777" w:rsidR="00941E8A" w:rsidRDefault="00941E8A" w:rsidP="00941E8A">
      <w:pPr>
        <w:spacing w:after="160"/>
      </w:pPr>
    </w:p>
    <w:p w14:paraId="01A4F7A1" w14:textId="665EBCA5" w:rsidR="007F77BB" w:rsidRPr="007F77BB" w:rsidRDefault="007F77BB" w:rsidP="007F77BB">
      <w:pPr>
        <w:pStyle w:val="NormalWeb"/>
        <w:rPr>
          <w:rFonts w:ascii="Arial" w:hAnsi="Arial" w:cs="Arial"/>
          <w:color w:val="EE0000"/>
        </w:rPr>
      </w:pPr>
      <w:r w:rsidRPr="007F77BB">
        <w:rPr>
          <w:rStyle w:val="Strong"/>
          <w:rFonts w:ascii="Arial" w:hAnsi="Arial" w:cs="Arial"/>
          <w:color w:val="EE0000"/>
        </w:rPr>
        <w:t>==== Summary of the changes </w:t>
      </w:r>
    </w:p>
    <w:p w14:paraId="4C806E82" w14:textId="19C63A81" w:rsidR="007F77BB" w:rsidRPr="007F77BB" w:rsidRDefault="007F77BB" w:rsidP="007F77BB">
      <w:pPr>
        <w:pStyle w:val="NormalWeb"/>
        <w:rPr>
          <w:rFonts w:ascii="Arial" w:hAnsi="Arial" w:cs="Arial"/>
          <w:color w:val="EE0000"/>
        </w:rPr>
      </w:pPr>
      <w:r w:rsidRPr="007F77BB">
        <w:rPr>
          <w:rFonts w:ascii="Arial" w:hAnsi="Arial" w:cs="Arial"/>
          <w:color w:val="EE0000"/>
        </w:rPr>
        <w:t xml:space="preserve">1. Symbol overloading resolved </w:t>
      </w:r>
      <w:r w:rsidRPr="007F77BB">
        <w:rPr>
          <w:rFonts w:ascii="Arial" w:hAnsi="Arial" w:cs="Arial"/>
          <w:color w:val="EE0000"/>
        </w:rPr>
        <w:t>the</w:t>
      </w:r>
      <w:r w:rsidRPr="007F77BB">
        <w:rPr>
          <w:rFonts w:ascii="Arial" w:hAnsi="Arial" w:cs="Arial"/>
          <w:color w:val="EE0000"/>
        </w:rPr>
        <w:t xml:space="preserve"> planning horizon is renamed H throughout. The τ family (τᵈ, τᵈᵖ, τᵈ⁰) is reserved exclusively for discovery and rotation thresholds. C10 and C11 now read unambiguously side by side.</w:t>
      </w:r>
    </w:p>
    <w:p w14:paraId="35B3B5BF" w14:textId="5308920B" w:rsidR="007F77BB" w:rsidRPr="007F77BB" w:rsidRDefault="007F77BB" w:rsidP="007F77BB">
      <w:pPr>
        <w:pStyle w:val="NormalWeb"/>
        <w:rPr>
          <w:rFonts w:ascii="Arial" w:hAnsi="Arial" w:cs="Arial"/>
          <w:color w:val="EE0000"/>
        </w:rPr>
      </w:pPr>
      <w:r w:rsidRPr="007F77BB">
        <w:rPr>
          <w:rFonts w:ascii="Arial" w:hAnsi="Arial" w:cs="Arial"/>
          <w:color w:val="EE0000"/>
        </w:rPr>
        <w:t>2. "Kill chain" removed; attack paths and ATT&amp;CK clarified as distinct G = (π</w:t>
      </w:r>
      <w:proofErr w:type="gramStart"/>
      <w:r w:rsidRPr="007F77BB">
        <w:rPr>
          <w:rFonts w:ascii="Cambria Math" w:hAnsi="Cambria Math" w:cs="Cambria Math"/>
          <w:color w:val="EE0000"/>
        </w:rPr>
        <w:t>₁</w:t>
      </w:r>
      <w:r w:rsidRPr="007F77BB">
        <w:rPr>
          <w:rFonts w:ascii="Arial" w:hAnsi="Arial" w:cs="Arial"/>
          <w:color w:val="EE0000"/>
        </w:rPr>
        <w:t>,…</w:t>
      </w:r>
      <w:proofErr w:type="gramEnd"/>
      <w:r w:rsidRPr="007F77BB">
        <w:rPr>
          <w:rFonts w:ascii="Arial" w:hAnsi="Arial" w:cs="Arial"/>
          <w:color w:val="EE0000"/>
        </w:rPr>
        <w:t>,πᴺ) are attack paths supplying hop ordering, path probabilities ρπ, and interception values iv</w:t>
      </w:r>
      <w:proofErr w:type="gramStart"/>
      <w:r w:rsidRPr="007F77BB">
        <w:rPr>
          <w:rFonts w:ascii="Arial" w:hAnsi="Arial" w:cs="Arial"/>
          <w:color w:val="EE0000"/>
        </w:rPr>
        <w:t>π,h</w:t>
      </w:r>
      <w:proofErr w:type="gramEnd"/>
      <w:r w:rsidRPr="007F77BB">
        <w:rPr>
          <w:rFonts w:ascii="Arial" w:hAnsi="Arial" w:cs="Arial"/>
          <w:color w:val="EE0000"/>
        </w:rPr>
        <w:t xml:space="preserve"> — they drive L3/L4 path-weight credits. ATT&amp;CK techniques T supply what the attacker does at each hop — they drive L2-tech and L2-fam coverage credits.</w:t>
      </w:r>
    </w:p>
    <w:p w14:paraId="7F9AB9FC" w14:textId="77A5F2AD" w:rsidR="007F77BB" w:rsidRPr="007F77BB" w:rsidRDefault="007F77BB" w:rsidP="007F77BB">
      <w:pPr>
        <w:pStyle w:val="NormalWeb"/>
        <w:rPr>
          <w:rFonts w:ascii="Arial" w:hAnsi="Arial" w:cs="Arial"/>
          <w:color w:val="EE0000"/>
        </w:rPr>
      </w:pPr>
      <w:r w:rsidRPr="007F77BB">
        <w:rPr>
          <w:rFonts w:ascii="Arial" w:hAnsi="Arial" w:cs="Arial"/>
          <w:color w:val="EE0000"/>
        </w:rPr>
        <w:t xml:space="preserve">3. Scale limitation acknowledged in the complexity section |K|·|Z|·H·|P| is independent of network size — a 50-host and 50,000-host enterprise produce the same primary variable count. The soft-clause database O(|K|·|A|·|T|·H·|P|) is identified as where network size </w:t>
      </w:r>
      <w:proofErr w:type="gramStart"/>
      <w:r w:rsidRPr="007F77BB">
        <w:rPr>
          <w:rFonts w:ascii="Arial" w:hAnsi="Arial" w:cs="Arial"/>
          <w:color w:val="EE0000"/>
        </w:rPr>
        <w:t>actually enters</w:t>
      </w:r>
      <w:proofErr w:type="gramEnd"/>
      <w:r w:rsidRPr="007F77BB">
        <w:rPr>
          <w:rFonts w:ascii="Arial" w:hAnsi="Arial" w:cs="Arial"/>
          <w:color w:val="EE0000"/>
        </w:rPr>
        <w:t>. NP-hardness is re-anchored to the |A|·|T| clause structure rather than the variable count.</w:t>
      </w:r>
    </w:p>
    <w:p w14:paraId="6DDDF5E6" w14:textId="77777777" w:rsidR="007F77BB" w:rsidRPr="007F77BB" w:rsidRDefault="007F77BB" w:rsidP="007F77BB">
      <w:pPr>
        <w:pStyle w:val="NormalWeb"/>
        <w:rPr>
          <w:rFonts w:ascii="Arial" w:hAnsi="Arial" w:cs="Arial"/>
          <w:color w:val="EE0000"/>
        </w:rPr>
      </w:pPr>
      <w:r w:rsidRPr="007F77BB">
        <w:rPr>
          <w:rFonts w:ascii="Arial" w:hAnsi="Arial" w:cs="Arial"/>
          <w:color w:val="EE0000"/>
        </w:rPr>
        <w:t>4. Philosophy lines and examples added throughout Every parameter, decision variable, constraint, objective, and capability dimension now carries a plain-language philosophy sentence and a concrete numerical example.</w:t>
      </w:r>
    </w:p>
    <w:p w14:paraId="7E1EE8A3" w14:textId="5DE59FE7" w:rsidR="007F77BB" w:rsidRPr="007F77BB" w:rsidRDefault="007F77BB" w:rsidP="00941E8A">
      <w:pPr>
        <w:spacing w:after="160"/>
        <w:rPr>
          <w:rFonts w:ascii="Arial" w:hAnsi="Arial" w:cs="Arial"/>
          <w:color w:val="EE0000"/>
        </w:rPr>
      </w:pPr>
      <w:r w:rsidRPr="007F77BB">
        <w:rPr>
          <w:rFonts w:ascii="Arial" w:hAnsi="Arial" w:cs="Arial"/>
          <w:color w:val="EE0000"/>
        </w:rPr>
        <w:t xml:space="preserve">======= </w:t>
      </w:r>
    </w:p>
    <w:p w14:paraId="738A5A1C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A. Formal Problem Statement</w:t>
      </w:r>
    </w:p>
    <w:p w14:paraId="1DAFCD00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persona-extended honeypot placement instance is the tuple:</w:t>
      </w:r>
    </w:p>
    <w:p w14:paraId="7C5830F8" w14:textId="77777777" w:rsidR="00941E8A" w:rsidRDefault="00941E8A" w:rsidP="00941E8A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4D16362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E5B8E3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I = (K, T, A, Z, P, G, C, I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,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⋄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w, cost, B, B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d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hᵈ, σ, ρ, iv,</w:t>
            </w:r>
          </w:p>
          <w:p w14:paraId="796C5C19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GK, τᵈ, τᵈᵖ, τᵈ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⁰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Δ, Δ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q, ρ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ₐˣ,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H)   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(1)</w:t>
            </w:r>
          </w:p>
        </w:tc>
      </w:tr>
    </w:tbl>
    <w:p w14:paraId="68282E70" w14:textId="77777777" w:rsidR="00941E8A" w:rsidRDefault="00941E8A" w:rsidP="00941E8A">
      <w:pPr>
        <w:spacing w:after="80"/>
      </w:pPr>
    </w:p>
    <w:p w14:paraId="688A6856" w14:textId="61A7B763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where all components from the original instance tuple (K, T, A, Z, G, C, I</w:t>
      </w:r>
      <w:r>
        <w:rPr>
          <w:rFonts w:ascii="Cambria Math" w:eastAsia="Arial" w:hAnsi="Cambria Math" w:cs="Cambria Math"/>
        </w:rPr>
        <w:t>₂</w:t>
      </w:r>
      <w:r>
        <w:rPr>
          <w:rFonts w:ascii="Arial" w:eastAsia="Arial" w:hAnsi="Arial" w:cs="Arial"/>
        </w:rPr>
        <w:t xml:space="preserve">, </w:t>
      </w:r>
      <w:r>
        <w:rPr>
          <w:rFonts w:ascii="Cambria Math" w:eastAsia="Arial" w:hAnsi="Cambria Math" w:cs="Cambria Math"/>
        </w:rPr>
        <w:t>⋄</w:t>
      </w:r>
      <w:r>
        <w:rPr>
          <w:rFonts w:ascii="Arial" w:eastAsia="Arial" w:hAnsi="Arial" w:cs="Arial"/>
        </w:rPr>
        <w:t>, w, cost, B, B</w:t>
      </w:r>
      <w:r>
        <w:rPr>
          <w:rFonts w:ascii="Cambria Math" w:eastAsia="Arial" w:hAnsi="Cambria Math" w:cs="Cambria Math"/>
        </w:rPr>
        <w:t>₂</w:t>
      </w:r>
      <w:r>
        <w:rPr>
          <w:rFonts w:ascii="Arial" w:eastAsia="Arial" w:hAnsi="Arial" w:cs="Arial"/>
        </w:rPr>
        <w:t>, d</w:t>
      </w:r>
      <w:r>
        <w:rPr>
          <w:rFonts w:ascii="Segoe UI Symbol" w:eastAsia="Arial" w:hAnsi="Segoe UI Symbol" w:cs="Segoe UI Symbol"/>
        </w:rPr>
        <w:t>ₘ</w:t>
      </w:r>
      <w:r>
        <w:rPr>
          <w:rFonts w:ascii="Arial" w:eastAsia="Arial" w:hAnsi="Arial" w:cs="Arial"/>
        </w:rPr>
        <w:t>, hᵈ, σ, ρ, iv) and the persona-layer components are defined below.</w:t>
      </w:r>
    </w:p>
    <w:p w14:paraId="20D1896E" w14:textId="77777777" w:rsidR="00941E8A" w:rsidRDefault="00941E8A" w:rsidP="00941E8A">
      <w:pPr>
        <w:spacing w:after="120"/>
      </w:pPr>
    </w:p>
    <w:p w14:paraId="219200CD" w14:textId="7C1C2A91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 xml:space="preserve">Base Parameters </w:t>
      </w:r>
    </w:p>
    <w:p w14:paraId="4D80BE05" w14:textId="77777777" w:rsidR="00941E8A" w:rsidRDefault="00941E8A" w:rsidP="00941E8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941E8A" w14:paraId="2E723EE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06A041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Symbol</w:t>
            </w:r>
          </w:p>
        </w:tc>
        <w:tc>
          <w:tcPr>
            <w:tcW w:w="736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3EC0AC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Meaning + Philosophy</w:t>
            </w:r>
          </w:p>
        </w:tc>
      </w:tr>
      <w:tr w:rsidR="00941E8A" w14:paraId="67866BAA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E41B80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K, T, A, Z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FF9CF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Honeypot types; ATT&amp;CK techniques; assets; zones</w:t>
            </w:r>
          </w:p>
          <w:p w14:paraId="231F3ADD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002200C3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four structural sets that define what can be deployed, what it detects, where assets live, and how the network is partitioned.</w:t>
            </w:r>
          </w:p>
          <w:p w14:paraId="3383EF77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K = 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}, T = {T1021, T1048}, A = all servers in the five zones, Z = {DMZ, Internal, Cloud, OT,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Mgmt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</w:t>
            </w:r>
          </w:p>
        </w:tc>
      </w:tr>
      <w:tr w:rsidR="00941E8A" w14:paraId="08741BF0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DD5344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G = (π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₁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,…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,πᴺ)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D030DF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Attack paths</w:t>
            </w:r>
          </w:p>
          <w:p w14:paraId="58EF9455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A1A58FE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ordered routes an attacker takes through the network — path structure drives hop ordering, persistence requirements, and interception value.</w:t>
            </w:r>
          </w:p>
          <w:p w14:paraId="5FD4F97D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π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₁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= DMZ → Internal →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(web-to-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ρ=0.30); π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₂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= Cloud → Internal →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AD_server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(brute-force, ρ=0.20)</w:t>
            </w:r>
          </w:p>
        </w:tc>
      </w:tr>
      <w:tr w:rsidR="00941E8A" w14:paraId="11DD2CF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606C66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C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⊆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K×K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2B7752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Pairwise conflict set</w:t>
            </w:r>
          </w:p>
          <w:p w14:paraId="258D5EB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B76F808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Some honeypot pairs share infrastructure or produce redundant signals — deploying both together is worse than either alone.</w:t>
            </w:r>
          </w:p>
          <w:p w14:paraId="5E16202C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generic_trap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dns_trap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C — both capture T1046 network scanning; deploying both saturates monitoring without adding coverage</w:t>
            </w:r>
          </w:p>
        </w:tc>
      </w:tr>
      <w:tr w:rsidR="00941E8A" w14:paraId="6C6EA7D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122E8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I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⊆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Z×Z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8F0EF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Air-gapped zone pairs</w:t>
            </w:r>
          </w:p>
          <w:p w14:paraId="243DD633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34F2C7B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Physical isolation is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 hard fact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— no solver decision can add a wire that isn’t there.</w:t>
            </w:r>
          </w:p>
          <w:p w14:paraId="3F6A4F3D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(OT, DMZ)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₂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— the OT zone has no routed path to the DMZ;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cannot receive SSH callbacks from a web-entry attacker</w:t>
            </w:r>
          </w:p>
        </w:tc>
      </w:tr>
      <w:tr w:rsidR="00941E8A" w14:paraId="02DB0E9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2A6E72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hᵈ,ₐ</w:t>
            </w:r>
            <w:proofErr w:type="gramEnd"/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DC0F37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Asset role multiplier; hop distance from entry</w:t>
            </w:r>
          </w:p>
          <w:p w14:paraId="3F4077F0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7460C8E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 honeypot near the entry point prevents more damage than one deep inside — these weights encode that preference numerically.</w:t>
            </w:r>
          </w:p>
          <w:p w14:paraId="455C594F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a DB server has d</w:t>
            </w:r>
            <w:r>
              <w:rPr>
                <w:rFonts w:ascii="Segoe UI Symbol" w:eastAsia="Arial" w:hAnsi="Segoe UI Symbol" w:cs="Segoe UI Symbol"/>
                <w:i/>
                <w:iCs/>
                <w:color w:val="666666"/>
                <w:sz w:val="16"/>
                <w:szCs w:val="16"/>
              </w:rPr>
              <w:t>ₘ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= 2.0; at hop hᵈ = 1 (DMZ) its weight is 2.0/1 = 2.0; at hᵈ = 3 (deep internal) it drops to 0.67</w:t>
            </w:r>
          </w:p>
        </w:tc>
      </w:tr>
      <w:tr w:rsidR="00941E8A" w14:paraId="61BBB3A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CC212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σ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[0,1]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20D50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Stealth score for ATT&amp;CK technique tⱼ</w:t>
            </w:r>
          </w:p>
          <w:p w14:paraId="189826D6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0169E4F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Stealthy techniques are harder to catch by any other means — a honeypot covering them is worth more per unit cost.</w:t>
            </w:r>
          </w:p>
          <w:p w14:paraId="1EC409E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T1048 (Exfiltration over Alt Protocol) has σ = 0.9 — blends into HTTPS; a honeypot covering it earns 1.9× base weight</w:t>
            </w:r>
          </w:p>
        </w:tc>
      </w:tr>
      <w:tr w:rsidR="00941E8A" w14:paraId="26342ED1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E839B3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ρπ, iv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A8A0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Path probability; intercept value at hop h</w:t>
            </w:r>
          </w:p>
          <w:p w14:paraId="498E0E1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69BEDF84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How likely each path is, and how much it is worth to catch the attacker at each step along it.</w:t>
            </w:r>
          </w:p>
          <w:p w14:paraId="5A91CB6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ρ_{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 = 0.30, iv at hop 1 = 1.8 — catching the attacker at DMZ entry earns 0.30 × 1.8 ×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Wⱼ,ₐ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path-weight credit</w:t>
            </w:r>
          </w:p>
        </w:tc>
      </w:tr>
      <w:tr w:rsidR="00941E8A" w14:paraId="22C6367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F4D4F4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B, B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9A63FD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Global and per-zone deployment budgets</w:t>
            </w:r>
          </w:p>
          <w:p w14:paraId="06FAC877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5DE931C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lastRenderedPageBreak/>
              <w:t>Hard budget ceilings — the solver must find the best placement that fits, not the best that would be nice to afford.</w:t>
            </w:r>
          </w:p>
          <w:p w14:paraId="56269F9D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B = 62,500 units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XLarge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); B_{OT} = 2,000 — the OT zone budget limits deployment to one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(cost 2.0) per slot</w:t>
            </w:r>
          </w:p>
        </w:tc>
      </w:tr>
      <w:tr w:rsidR="00941E8A" w14:paraId="6DCCAF6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23F9F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>w, cost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39ACA2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Base technique weights; honeypot deployment costs</w:t>
            </w:r>
          </w:p>
          <w:p w14:paraId="13A0A14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4575C16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raw value and price of each deployment before topology and stealth adjustments are applied.</w:t>
            </w:r>
          </w:p>
          <w:p w14:paraId="76747C2D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: w = 0.8, cost = 0.8 units/slot;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: w = 2.0 (high ICS value), cost = 2.0 units/slot</w:t>
            </w:r>
          </w:p>
        </w:tc>
      </w:tr>
    </w:tbl>
    <w:p w14:paraId="6072C3C9" w14:textId="77777777" w:rsidR="00941E8A" w:rsidRDefault="00941E8A" w:rsidP="00941E8A">
      <w:pPr>
        <w:spacing w:after="120"/>
      </w:pPr>
    </w:p>
    <w:p w14:paraId="2DCDD21C" w14:textId="77777777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New Persona-Layer Parameters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941E8A" w14:paraId="0ADB90F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0238B7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Symbol</w:t>
            </w:r>
          </w:p>
        </w:tc>
        <w:tc>
          <w:tcPr>
            <w:tcW w:w="736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469555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Meaning + Philosophy</w:t>
            </w:r>
          </w:p>
        </w:tc>
      </w:tr>
      <w:tr w:rsidR="00941E8A" w14:paraId="423D695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5C26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0ECAE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Finite persona catalogue: 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DevOps_server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Finance_DB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Generic_Linux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…}</w:t>
            </w:r>
          </w:p>
          <w:p w14:paraId="1789995E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4CD6226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finite menu of identities a honeypot can wear — small enough to be operationally manageable, diverse enough to match real attacker targets.</w:t>
            </w:r>
          </w:p>
          <w:p w14:paraId="263B0BB8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|P| = 4 covers the main attacker target </w:t>
            </w:r>
            <w:bookmarkStart w:id="1" w:name="OLE_LINK13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archetypes </w:t>
            </w:r>
            <w:bookmarkEnd w:id="1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without creating an unmanageable rotation catalogue</w:t>
            </w:r>
          </w:p>
        </w:tc>
      </w:tr>
      <w:tr w:rsidR="00941E8A" w14:paraId="09B8778D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FFCE4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GKᵢ,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879AB" w14:textId="6102E2C5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Per-persona generative knowledge set — (</w:t>
            </w:r>
            <w:r w:rsidR="006F36FE">
              <w:rPr>
                <w:rFonts w:ascii="Arial" w:eastAsia="Arial" w:hAnsi="Arial" w:cs="Arial"/>
                <w:sz w:val="18"/>
                <w:szCs w:val="18"/>
              </w:rPr>
              <w:t>server type</w:t>
            </w:r>
            <w:r>
              <w:rPr>
                <w:rFonts w:ascii="Arial" w:eastAsia="Arial" w:hAnsi="Arial" w:cs="Arial"/>
                <w:sz w:val="18"/>
                <w:szCs w:val="18"/>
              </w:rPr>
              <w:t>, persona) pairs verified by the J-index in C5b</w:t>
            </w:r>
          </w:p>
          <w:p w14:paraId="2C8057BC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52B28D2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Not every persona makes sense on every server role — this set enforces that the disguise must be believable.</w:t>
            </w:r>
          </w:p>
          <w:p w14:paraId="26DD0FEB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Windows_endpoint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GK_{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trap,HR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 — plausible;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Linux_server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∉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GK — implausible in a typical enterprise</w:t>
            </w:r>
          </w:p>
        </w:tc>
      </w:tr>
      <w:tr w:rsidR="00941E8A" w14:paraId="019F02E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CF1326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H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1E51C1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Planning horizon — total number of deployment slots; T̄ = {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1,…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,H}; t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T̄ indexes each slot</w:t>
            </w:r>
          </w:p>
          <w:p w14:paraId="01330E6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EBBCB6D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planning window the operator commits to — longer horizons allow more sophisticated rotation schedules.</w:t>
            </w:r>
          </w:p>
          <w:p w14:paraId="2577D7D0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H = 4 means a four-month schedule; at H = 12 the solver can enforce more gradual rotations that reduce operational overhead</w:t>
            </w:r>
          </w:p>
        </w:tc>
      </w:tr>
      <w:tr w:rsidR="00941E8A" w14:paraId="12109CA7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3FC3F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τᵈ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E44C5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Type discovery threshold: consecutive active slots before attacker maps the honeypot type</w:t>
            </w:r>
          </w:p>
          <w:p w14:paraId="66B11953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325643D" w14:textId="658A7B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How long the service </w:t>
            </w:r>
            <w:r w:rsidR="005211FF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behavior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can be observed before the attacker identifies the honeypot type — drives type-rotation urgency.</w:t>
            </w:r>
          </w:p>
          <w:p w14:paraId="3C833EE5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τᵈ = 3 —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has been active in DMZ for 3 consecutive months under any persona, u_{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i,z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 = 1 and it earns zero credit until replaced</w:t>
            </w:r>
          </w:p>
        </w:tc>
      </w:tr>
      <w:tr w:rsidR="00941E8A" w14:paraId="1266BEF2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5674C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τᵈᵖ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C9F1E4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Persona discovery threshold: consecutive slots before attacker maps the identity</w:t>
            </w:r>
          </w:p>
          <w:p w14:paraId="0351B99C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14A39DC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How long the identity can be visible before the attacker maps it — drives persona-rotation urgency, independently of type discovery.</w:t>
            </w:r>
          </w:p>
          <w:p w14:paraId="479AA2DC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τᵈᵖ = 2 —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has been visible in Internal for 2 months, u_{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i,z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t,p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 = 1; rotating to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DevOps_server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resets the clock</w:t>
            </w:r>
          </w:p>
        </w:tc>
      </w:tr>
      <w:tr w:rsidR="00941E8A" w14:paraId="187765D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B8086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τᵈ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⁰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2743FD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Threat-adaptive rotation baseline — the τᵈ value when ρπ = 0</w:t>
            </w:r>
          </w:p>
          <w:p w14:paraId="6A682251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7F95C5C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rotation speed at baseline threat — when threat rises, τᵈ shrinks below this; when it subsides, τᵈ returns here.</w:t>
            </w:r>
          </w:p>
          <w:p w14:paraId="74591494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τᵈ⁰ = 3; at ρπ = 0.55, τᵈ = 3 × (1 − 0.55) = 1.35 — the attacker must move the honeypot approximately every slot</w:t>
            </w:r>
          </w:p>
        </w:tc>
      </w:tr>
      <w:tr w:rsidR="00941E8A" w14:paraId="5733536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A5DC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Δ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3CFE2D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Type rotation churn limit: max state changes per type per zone across T̄</w:t>
            </w:r>
          </w:p>
          <w:p w14:paraId="08EFDE7D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5372897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Operators cannot reconfigure every honeypot every month — this cap makes the schedule humanly followable.</w:t>
            </w:r>
          </w:p>
          <w:p w14:paraId="601D181F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lastRenderedPageBreak/>
              <w:t xml:space="preserve">e.g., Δ = 2 —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DMZ can switch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on↔off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most twice across H = 4 slots, 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on→off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t=3 and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off→on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t=4</w:t>
            </w:r>
          </w:p>
        </w:tc>
      </w:tr>
      <w:tr w:rsidR="00941E8A" w14:paraId="61BE442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4413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>Δ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75CF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Persona churn limit: max persona changes per type per zone across T̄</w:t>
            </w:r>
          </w:p>
          <w:p w14:paraId="0E560BC2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60DC268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Persona changes have operational cost too — this cap prevents the solver from rotating identities faster than the team can manage.</w:t>
            </w:r>
          </w:p>
          <w:p w14:paraId="28E7DAB6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Δ</w:t>
            </w:r>
            <w:r>
              <w:rPr>
                <w:rFonts w:ascii="Segoe UI Symbol" w:eastAsia="Arial" w:hAnsi="Segoe UI Symbol" w:cs="Segoe UI Symbol"/>
                <w:i/>
                <w:iCs/>
                <w:color w:val="666666"/>
                <w:sz w:val="16"/>
                <w:szCs w:val="16"/>
              </w:rPr>
              <w:t>ₚ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= 2 —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DMZ can change its persona at most twice across H = 4 slots; prevents rotating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HR→DevOps→Finance→HR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every month</w:t>
            </w:r>
          </w:p>
        </w:tc>
      </w:tr>
      <w:tr w:rsidR="00941E8A" w14:paraId="335EFCC1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4A0D7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[0,1]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F3AB5B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Persona prior — LLM-adjusted weight; Σ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1; updated by Algorithm 1 at each STIX/TAXII event</w:t>
            </w:r>
          </w:p>
          <w:p w14:paraId="1901981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6D33FED2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LLM’s current read on which personas are most likely to attract the attacker — updated from live threat intelligence.</w:t>
            </w:r>
          </w:p>
          <w:p w14:paraId="7EC3AA08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after a financial threat signal: q_{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Finance_DB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 = 0.40, q_{HR} = 0.30, q_{DevOps} = 0.20, q_{Linux} = 0.10;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Finance_DB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earns 1.6× default credit</w:t>
            </w:r>
          </w:p>
        </w:tc>
      </w:tr>
      <w:tr w:rsidR="00941E8A" w14:paraId="51768AA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1337B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ρ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ₐˣ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4DBC94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Maximum path probability (threat-adaptive rotation ceiling)</w:t>
            </w:r>
          </w:p>
          <w:p w14:paraId="1B4843B9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E5ACE66" w14:textId="42EEA8D4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The ceiling on path probability used to </w:t>
            </w:r>
            <w:r w:rsidR="009A582A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normalize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the rotation formula — prevents τᵈ from collapsing to zero under extreme threat signals.</w:t>
            </w:r>
          </w:p>
          <w:p w14:paraId="3CACEFC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ρ</w:t>
            </w:r>
            <w:r>
              <w:rPr>
                <w:rFonts w:ascii="Segoe UI Symbol" w:eastAsia="Arial" w:hAnsi="Segoe UI Symbol" w:cs="Segoe UI Symbol"/>
                <w:i/>
                <w:iCs/>
                <w:color w:val="666666"/>
                <w:sz w:val="16"/>
                <w:szCs w:val="16"/>
              </w:rPr>
              <w:t>ₘ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ₐˣ = 1.0 — if ρπ were allowed to reach 1.0 with τᵈ⁰ = 3, τᵈ would collapse to 0 and the solver would rotate every slot</w:t>
            </w:r>
          </w:p>
        </w:tc>
      </w:tr>
    </w:tbl>
    <w:p w14:paraId="4BB19303" w14:textId="77777777" w:rsidR="00941E8A" w:rsidRDefault="00941E8A" w:rsidP="00941E8A">
      <w:pPr>
        <w:spacing w:after="200"/>
      </w:pPr>
    </w:p>
    <w:p w14:paraId="7661C755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B. Decision Variables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100"/>
        <w:gridCol w:w="5960"/>
      </w:tblGrid>
      <w:tr w:rsidR="00941E8A" w14:paraId="7D3D447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2901A4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Variable</w:t>
            </w:r>
          </w:p>
        </w:tc>
        <w:tc>
          <w:tcPr>
            <w:tcW w:w="11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30AA7F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Domain</w:t>
            </w:r>
          </w:p>
        </w:tc>
        <w:tc>
          <w:tcPr>
            <w:tcW w:w="596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09B3A3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Role + Philosophy</w:t>
            </w:r>
          </w:p>
        </w:tc>
      </w:tr>
      <w:tr w:rsidR="00941E8A" w14:paraId="4837706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785150" w14:textId="77777777" w:rsidR="00941E8A" w:rsidRDefault="00941E8A" w:rsidP="00B05EF4">
            <w:proofErr w:type="gramStart"/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xᵢ,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Arial" w:hAnsi="Segoe UI Symbol" w:cs="Segoe UI Symbol"/>
                <w:b/>
                <w:bCs/>
                <w:color w:val="1B2A4A"/>
                <w:sz w:val="18"/>
                <w:szCs w:val="18"/>
              </w:rPr>
              <w:t>ₚ</w:t>
            </w:r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D439DC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BC97EC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[PRIMARY] Deploy kᵢ in zone z at slot t wearing persona p</w:t>
            </w:r>
          </w:p>
          <w:p w14:paraId="521CFAE5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CD20BF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four-index primary decision — committing to a type, zone, slot, and identity simultaneously is the only way to earn any credit.</w:t>
            </w:r>
          </w:p>
          <w:p w14:paraId="6120F3D7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x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DMZ, t=2,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 = 1: deploy an SSH honeypot in the DMZ during month 2, presenting as an HR workstation</w:t>
            </w:r>
          </w:p>
        </w:tc>
      </w:tr>
      <w:tr w:rsidR="00941E8A" w14:paraId="5C179430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DFC51C" w14:textId="77777777" w:rsidR="00941E8A" w:rsidRDefault="00941E8A" w:rsidP="00B05EF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xᵢ,t</w:t>
            </w:r>
            <w:proofErr w:type="spellEnd"/>
            <w:proofErr w:type="gramEnd"/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9984A9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8317CB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[Derived] Type active in slot t. Type-conflict checking C4 only</w:t>
            </w:r>
          </w:p>
          <w:p w14:paraId="3C349CC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496ED2C2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 collapsed view of x used only to check whether two conflicting types are both active in the same slot.</w:t>
            </w:r>
          </w:p>
          <w:p w14:paraId="3B984839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x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t=2} = 1 if any x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z, t=2, p} = 1 — used only to check C4 conflict with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generic_trap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month 2</w:t>
            </w:r>
          </w:p>
        </w:tc>
      </w:tr>
      <w:tr w:rsidR="00941E8A" w14:paraId="467CCF0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9CDB58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uᵢ,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9773A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3C4F04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[Derived] Type-discovery flag. Set after τᵈ consecutive active slots</w:t>
            </w:r>
          </w:p>
          <w:p w14:paraId="64B030A1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56468B12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Once the attacker has seen the same service long enough, no persona change will fool them — the type itself is burned.</w:t>
            </w:r>
          </w:p>
          <w:p w14:paraId="6B5211AB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active in DMZ for τᵈ = 3 consecutive months,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trap,DMZ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=4} = 1 — rotating to DevOps persona does NOT reset this flag</w:t>
            </w:r>
          </w:p>
        </w:tc>
      </w:tr>
      <w:tr w:rsidR="00941E8A" w14:paraId="58722B72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1FD7DA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uᵢ,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A88D88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4A4AE3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[Derived] Persona-discovery flag. Set after τᵈᵖ consecutive slots with same persona</w:t>
            </w:r>
          </w:p>
          <w:p w14:paraId="1727ADF3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684901B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Once the attacker has mapped this specific identity, it is useless even if the underlying service is still undetected.</w:t>
            </w:r>
          </w:p>
          <w:p w14:paraId="53D2C8E7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active for τᵈᵖ = 2 months,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trap,DMZ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3,HR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 = 1 — switching to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DevOps_server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t=3 resets this flag independently</w:t>
            </w:r>
          </w:p>
        </w:tc>
      </w:tr>
      <w:tr w:rsidR="00941E8A" w14:paraId="055ED28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F992FA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c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a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83D23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9E4A0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Detect tⱼ on asset a at slot t. Requires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xᵢ,zone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(a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),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=1 and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uᵢ,zone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(a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),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=0</w:t>
            </w:r>
          </w:p>
          <w:p w14:paraId="538A87A5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04829904" w14:textId="5F131689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The basic detection event — only fires if something real and undiscovered is </w:t>
            </w:r>
            <w:r w:rsidR="00B7263B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deployed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at that asset.</w:t>
            </w:r>
          </w:p>
          <w:p w14:paraId="2134E5C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lastRenderedPageBreak/>
              <w:t>e.g., c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T1021,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db_server_internal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t=2} = 1 only if some x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Internal, t=2, p} = 1 and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trap,Internal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2,p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 = 0</w:t>
            </w:r>
          </w:p>
        </w:tc>
      </w:tr>
      <w:tr w:rsidR="00941E8A" w14:paraId="272D72D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BFBF2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>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158F97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326BD2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Cover hop h of path π at slot t</w:t>
            </w:r>
          </w:p>
          <w:p w14:paraId="5B5F3A91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6F56C05D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Hop coverage is the currency of path-weight credit — no deployment at this hop means no credit for this path.</w:t>
            </w:r>
          </w:p>
          <w:p w14:paraId="6E1E9B0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p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hop2, t=2} = 1: Internal zone hop of the web-to-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path is covered in month 2, earning ρ × iv × W × q</w:t>
            </w:r>
            <w:r>
              <w:rPr>
                <w:rFonts w:ascii="Segoe UI Symbol" w:eastAsia="Arial" w:hAnsi="Segoe UI Symbol" w:cs="Segoe UI Symbol"/>
                <w:i/>
                <w:iCs/>
                <w:color w:val="666666"/>
                <w:sz w:val="16"/>
                <w:szCs w:val="16"/>
              </w:rPr>
              <w:t>ₚ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L3 credit</w:t>
            </w:r>
          </w:p>
        </w:tc>
      </w:tr>
      <w:tr w:rsidR="00941E8A" w14:paraId="0653003A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9C9215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e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π,t</w:t>
            </w:r>
            <w:proofErr w:type="gramEnd"/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9CE488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F7F20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Early interception on π at slot t</w:t>
            </w:r>
          </w:p>
          <w:p w14:paraId="0E0CA800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695B6FC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prevention flag — catching the attacker before the last hop is worth 1000× more than catching them at it.</w:t>
            </w:r>
          </w:p>
          <w:p w14:paraId="089990C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e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t=2} = 1: an undiscovered honeypot covers a non-final hop of the web-to-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path in month 2, earning the full L4 prevention bonus</w:t>
            </w:r>
          </w:p>
        </w:tc>
      </w:tr>
    </w:tbl>
    <w:p w14:paraId="393C68D1" w14:textId="77777777" w:rsidR="00941E8A" w:rsidRDefault="00941E8A" w:rsidP="00941E8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7"/>
        <w:gridCol w:w="8823"/>
      </w:tblGrid>
      <w:tr w:rsidR="00941E8A" w14:paraId="4E4A6DE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4A2080"/>
              <w:left w:val="single" w:sz="8" w:space="0" w:color="4A2080"/>
              <w:bottom w:val="single" w:sz="8" w:space="0" w:color="4A2080"/>
              <w:right w:val="single" w:sz="8" w:space="0" w:color="4A2080"/>
            </w:tcBorders>
            <w:shd w:val="clear" w:color="auto" w:fill="4A20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D8DF928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NOTE</w:t>
            </w:r>
          </w:p>
        </w:tc>
        <w:tc>
          <w:tcPr>
            <w:tcW w:w="9100" w:type="dxa"/>
            <w:tcBorders>
              <w:top w:val="single" w:sz="8" w:space="0" w:color="4A2080"/>
              <w:left w:val="none" w:sz="0" w:space="0" w:color="FFFFFF"/>
              <w:bottom w:val="single" w:sz="8" w:space="0" w:color="4A2080"/>
              <w:right w:val="single" w:sz="8" w:space="0" w:color="4A2080"/>
            </w:tcBorders>
            <w:shd w:val="clear" w:color="auto" w:fill="EDE3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9C6E91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Persona is modelled as a fourth index of x rather than a separate variable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pᵢ,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P. Both encodings are correct; the index encoding makes persona-conflict C12 a direct pairwise clause class (same structure as C4) and keeps all solver decisions in a single variable family.</w:t>
            </w:r>
          </w:p>
        </w:tc>
      </w:tr>
    </w:tbl>
    <w:p w14:paraId="1866AD08" w14:textId="77777777" w:rsidR="00941E8A" w:rsidRDefault="00941E8A" w:rsidP="00941E8A">
      <w:pPr>
        <w:spacing w:after="200"/>
      </w:pPr>
    </w:p>
    <w:p w14:paraId="3608C048" w14:textId="612017A1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 xml:space="preserve">C. Derived Weights </w:t>
      </w:r>
    </w:p>
    <w:p w14:paraId="08C562BA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topology-adjusted and stealth-adjusted weights from the base formulation are preserved exactly:</w:t>
      </w:r>
    </w:p>
    <w:p w14:paraId="17692183" w14:textId="77777777" w:rsidR="00941E8A" w:rsidRDefault="00941E8A" w:rsidP="00941E8A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59105AA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374AF3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ẅ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  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,ₐ ×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/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hᵈ,ₐ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2)</w:t>
            </w:r>
          </w:p>
          <w:p w14:paraId="5F431422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  ẅ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 × (1 + σ</w:t>
            </w:r>
            <w:proofErr w:type="gramStart"/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3)</w:t>
            </w:r>
          </w:p>
          <w:p w14:paraId="2B683D9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PW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  ρπ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× iv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×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4)</w:t>
            </w:r>
          </w:p>
        </w:tc>
      </w:tr>
    </w:tbl>
    <w:p w14:paraId="63733985" w14:textId="77777777" w:rsidR="00941E8A" w:rsidRDefault="00941E8A" w:rsidP="00941E8A">
      <w:pPr>
        <w:spacing w:after="80"/>
      </w:pPr>
    </w:p>
    <w:p w14:paraId="567296A1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1/hᵈ perimeter-preference term in (2) and the (1+σⱼ) stealth-adjustment in (3) are unchanged. In the persona-extended objective, every credit term is additionally multiplied by the persona prior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(LLM-adjusted) and gated by both (1−</w:t>
      </w:r>
      <w:proofErr w:type="gramStart"/>
      <w:r>
        <w:rPr>
          <w:rFonts w:ascii="Arial" w:eastAsia="Arial" w:hAnsi="Arial" w:cs="Arial"/>
        </w:rPr>
        <w:t>uᵢ,z</w:t>
      </w:r>
      <w:proofErr w:type="gramEnd"/>
      <w:r>
        <w:rPr>
          <w:rFonts w:ascii="Arial" w:eastAsia="Arial" w:hAnsi="Arial" w:cs="Arial"/>
        </w:rPr>
        <w:t>,t) and (1−</w:t>
      </w:r>
      <w:proofErr w:type="gramStart"/>
      <w:r>
        <w:rPr>
          <w:rFonts w:ascii="Arial" w:eastAsia="Arial" w:hAnsi="Arial" w:cs="Arial"/>
        </w:rPr>
        <w:t>uᵢ,z</w:t>
      </w:r>
      <w:proofErr w:type="gramEnd"/>
      <w:r>
        <w:rPr>
          <w:rFonts w:ascii="Arial" w:eastAsia="Arial" w:hAnsi="Arial" w:cs="Arial"/>
        </w:rPr>
        <w:t>,t,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>). Credit is zero if either the type or the persona has been discovered.</w:t>
      </w:r>
    </w:p>
    <w:p w14:paraId="05098D3C" w14:textId="77777777" w:rsidR="00941E8A" w:rsidRDefault="00941E8A" w:rsidP="00941E8A">
      <w:pPr>
        <w:spacing w:after="200"/>
      </w:pPr>
    </w:p>
    <w:p w14:paraId="5A7BFC1B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D. Hard Constraints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9"/>
        <w:gridCol w:w="8931"/>
      </w:tblGrid>
      <w:tr w:rsidR="00941E8A" w14:paraId="5A440F3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8B0000"/>
              <w:left w:val="single" w:sz="8" w:space="0" w:color="8B0000"/>
              <w:bottom w:val="single" w:sz="8" w:space="0" w:color="8B0000"/>
              <w:right w:val="single" w:sz="8" w:space="0" w:color="8B0000"/>
            </w:tcBorders>
            <w:shd w:val="clear" w:color="auto" w:fill="8B000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1837252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KEY</w:t>
            </w:r>
          </w:p>
        </w:tc>
        <w:tc>
          <w:tcPr>
            <w:tcW w:w="9100" w:type="dxa"/>
            <w:tcBorders>
              <w:top w:val="single" w:sz="8" w:space="0" w:color="8B0000"/>
              <w:left w:val="none" w:sz="0" w:space="0" w:color="FFFFFF"/>
              <w:bottom w:val="single" w:sz="8" w:space="0" w:color="8B0000"/>
              <w:right w:val="single" w:sz="8" w:space="0" w:color="8B0000"/>
            </w:tcBorders>
            <w:shd w:val="clear" w:color="auto" w:fill="FDEC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C59DD1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“Philosophy” line (red italic) gives the plain-language policy behind each constraint — what it is for, in one sentence. The Purpose line below it gives the formal technical description.</w:t>
            </w:r>
          </w:p>
        </w:tc>
      </w:tr>
    </w:tbl>
    <w:p w14:paraId="0008F5AC" w14:textId="77777777" w:rsidR="00941E8A" w:rsidRDefault="00941E8A" w:rsidP="00941E8A">
      <w:pPr>
        <w:spacing w:after="120"/>
      </w:pPr>
    </w:p>
    <w:p w14:paraId="72C5738A" w14:textId="77777777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Inherited and Revised Constraints (C1–C7)</w:t>
      </w:r>
    </w:p>
    <w:p w14:paraId="1BEE6DD9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All seven hard constraints from the base formulation are preserved. C1, C2, C3, C6, and C7 are revised to be time-indexed and persona-aware; C4 and C5 are unchanged.</w:t>
      </w:r>
    </w:p>
    <w:p w14:paraId="24F8D08F" w14:textId="77777777" w:rsidR="00941E8A" w:rsidRDefault="00941E8A" w:rsidP="00941E8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1"/>
        <w:gridCol w:w="3354"/>
        <w:gridCol w:w="1152"/>
        <w:gridCol w:w="4233"/>
      </w:tblGrid>
      <w:tr w:rsidR="00941E8A" w14:paraId="3E686BD7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65D6A9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9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E913FE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Clause</w:t>
            </w:r>
          </w:p>
        </w:tc>
        <w:tc>
          <w:tcPr>
            <w:tcW w:w="96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B0E832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Change</w:t>
            </w:r>
          </w:p>
        </w:tc>
        <w:tc>
          <w:tcPr>
            <w:tcW w:w="508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C86F73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Philosophy → Purpose</w:t>
            </w:r>
          </w:p>
        </w:tc>
      </w:tr>
      <w:tr w:rsidR="00941E8A" w14:paraId="5E82791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FDE182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lastRenderedPageBreak/>
              <w:t>C1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C1203B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¬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c</w:t>
            </w:r>
            <w:r>
              <w:rPr>
                <w:rFonts w:ascii="Tahoma" w:eastAsia="Courier New" w:hAnsi="Tahoma" w:cs="Tahoma"/>
                <w:sz w:val="15"/>
                <w:szCs w:val="15"/>
              </w:rPr>
              <w:t>ⱼ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a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∨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⋁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ᵢ,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xᵢ,zone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(a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),t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·(1−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uᵢ,zone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(a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),t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))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FE2F68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6D768E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336A1442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You only get credit for a detection if a real, undiscovered honeypot is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actually there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— no phantom credits.</w:t>
            </w:r>
          </w:p>
          <w:p w14:paraId="0797E652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if x_{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trap,DMZ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2,HR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}=0, then c_{T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1021,asset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,t=2} cannot be 1 — the solver cannot claim detection credit without a real deployment supporting it</w:t>
            </w:r>
          </w:p>
          <w:p w14:paraId="696B900F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Detection requires a zone-pinned deployment undiscovered in both type and persona at slot t</w:t>
            </w:r>
          </w:p>
        </w:tc>
      </w:tr>
      <w:tr w:rsidR="00941E8A" w14:paraId="7A773D31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C9244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C2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3420E8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Σᵢ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Σz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Σ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costᵢ,z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·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≤ B,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t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DF34D5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FA8CF8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27FEEBC6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Total spending across all zones and personas cannot exceed the global budget in any single slot.</w:t>
            </w:r>
          </w:p>
          <w:p w14:paraId="79A7D122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at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XLarge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: Σ 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costᵢ,z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·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xᵢ,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t,p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≤ 62,500 per slot — the solver uses only ≈0.1% of B, showing that conflicts and zone limits, not the global ceiling, are the binding constraints</w:t>
            </w:r>
          </w:p>
          <w:p w14:paraId="360F0D1F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Global budget enforced per slot across all types, zones, and personas</w:t>
            </w:r>
          </w:p>
        </w:tc>
      </w:tr>
      <w:tr w:rsidR="00941E8A" w14:paraId="2A12070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738653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C3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4EBDB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Σᵢ Σ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costᵢ,z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·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≤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Bz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z,t</w:t>
            </w:r>
            <w:proofErr w:type="spellEnd"/>
            <w:proofErr w:type="gramEnd"/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08F1E6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4C704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41C3C2B7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Each zone has its own spending cap — a saturated DMZ cannot borrow budget from OT.</w:t>
            </w:r>
          </w:p>
          <w:p w14:paraId="0E11AD4B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B_{OT} = 2,000 — even if the global budget has headroom, the solver cannot add a second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(cost 2.0) to OT because B_{OT} is already consumed</w:t>
            </w:r>
          </w:p>
          <w:p w14:paraId="5731BC4F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Per-zone budget enforced per slot;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costᵢ,z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replaces scalar costᵢ of the base formulation</w:t>
            </w:r>
          </w:p>
        </w:tc>
      </w:tr>
      <w:tr w:rsidR="00941E8A" w14:paraId="6536B2E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479B4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C4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DD9FEC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¬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∨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¬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ₗ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kᵢ,k</w:t>
            </w:r>
            <w:proofErr w:type="spellEnd"/>
            <w:proofErr w:type="gramEnd"/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ₗ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)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∈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C,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t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4CD6AF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4A4A4A"/>
                <w:sz w:val="16"/>
                <w:szCs w:val="16"/>
              </w:rPr>
              <w:t>Unchanged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D4C906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4D30AFAA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Some honeypot types interfere with each other operationally — they cannot run side by side in the same slot.</w:t>
            </w:r>
          </w:p>
          <w:p w14:paraId="5FCFE758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generic_trap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dns_trap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C — both traps capture T1046 scanning and share the monitoring pipeline; x_{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generic,t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1 forces x_{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dns,t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0</w:t>
            </w:r>
          </w:p>
          <w:p w14:paraId="45EB0BF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No pairwise conflicts: conflicting types cannot be co-deployed in the same slot</w:t>
            </w:r>
          </w:p>
        </w:tc>
      </w:tr>
      <w:tr w:rsidR="00941E8A" w14:paraId="0952417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7A669D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C5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BF8A4C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0 if (zone(z), zone(z′))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∈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I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₂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2969CA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4A4A4A"/>
                <w:sz w:val="16"/>
                <w:szCs w:val="16"/>
              </w:rPr>
              <w:t>Unchanged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CC3E99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088A7A15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A physically isolated zone cannot host a honeypot that requires network connectivity to the outside — the wire simply isn’t there.</w:t>
            </w:r>
          </w:p>
          <w:p w14:paraId="437A2CE7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requires OPC-UA connectivity; (OT, Cloud)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₂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— x_{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trap,Cloud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t,p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 = 0 for all t, p regardless of budget or value</w:t>
            </w:r>
          </w:p>
          <w:p w14:paraId="4119796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Air-gap isolation: types requiring cross-air-gap connectivity are forbidden in affected zones</w:t>
            </w:r>
          </w:p>
        </w:tc>
      </w:tr>
      <w:tr w:rsidR="00941E8A" w14:paraId="0414BA8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A5AFFF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C5b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D8D98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servertype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(a), persona(p))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∈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GKᵢ,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0DF6C0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A4F00"/>
                <w:sz w:val="16"/>
                <w:szCs w:val="16"/>
              </w:rPr>
              <w:t xml:space="preserve">NEW 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C03196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003B41DB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A honeypot must be believable in its disguise — the persona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has to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match the server role it is pretending to run.</w:t>
            </w:r>
          </w:p>
          <w:p w14:paraId="7C5A137F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wearing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Finance_DB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persona on a Linux server fails C5b —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Linux_server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Finance_DB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∉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GK_{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trap,Finance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}; Finance DB roles run on Windows SQL Server, not bare Linux</w:t>
            </w:r>
          </w:p>
          <w:p w14:paraId="26AADE09" w14:textId="5B80D02A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Four-condition J-index: mimicry plausibility now checks </w:t>
            </w:r>
            <w:r w:rsidR="00532E3E">
              <w:rPr>
                <w:rFonts w:ascii="Arial" w:eastAsia="Arial" w:hAnsi="Arial" w:cs="Arial"/>
                <w:sz w:val="18"/>
                <w:szCs w:val="18"/>
              </w:rPr>
              <w:t>server type</w:t>
            </w:r>
            <w:r>
              <w:rPr>
                <w:rFonts w:ascii="Arial" w:eastAsia="Arial" w:hAnsi="Arial" w:cs="Arial"/>
                <w:sz w:val="18"/>
                <w:szCs w:val="18"/>
              </w:rPr>
              <w:t>, zone, technique, AND persona simultaneously</w:t>
            </w:r>
          </w:p>
        </w:tc>
      </w:tr>
      <w:tr w:rsidR="00941E8A" w14:paraId="2104B18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450D9C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C6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27EC78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¬p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∨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⋁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c</w:t>
            </w:r>
            <w:r>
              <w:rPr>
                <w:rFonts w:ascii="Tahoma" w:eastAsia="Courier New" w:hAnsi="Tahoma" w:cs="Tahoma"/>
                <w:sz w:val="15"/>
                <w:szCs w:val="15"/>
              </w:rPr>
              <w:t>ⱼ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a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A7866B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DC9402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3E26E219" w14:textId="6725506D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You cannot claim an attack-path hop is covered unless a detection </w:t>
            </w:r>
            <w:r w:rsidR="00F66EA5"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fires</w:t>
            </w: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there, in the right zone, at the right slot.</w:t>
            </w:r>
          </w:p>
          <w:p w14:paraId="74BCBCF5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lastRenderedPageBreak/>
              <w:t>e.g., p_{web→db,hop2,t=2}=1 requires some c_{T1021,internal_asset,t=2}=1, which requires x_{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ssh_trap,Internal,t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=2,p}=1 and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ssh_trap,Internal,t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=2,p}=0 — all three must hold</w:t>
            </w:r>
          </w:p>
          <w:p w14:paraId="07AA0815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Path hop coverage requires zone-pinned, time-indexed, persona-verified detection at slot t</w:t>
            </w:r>
          </w:p>
        </w:tc>
      </w:tr>
      <w:tr w:rsidR="00941E8A" w14:paraId="542B98A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1B1561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lastRenderedPageBreak/>
              <w:t>C7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1010D1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e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π,t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⇒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∃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h&lt;|π|: p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1EEF3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18D5FD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34D63289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Early interception means catching the attacker before the final hop — a catch at the last step is forensics, not prevention.</w:t>
            </w:r>
          </w:p>
          <w:p w14:paraId="185D93A1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e_{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db,t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1 requires p_{web→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db,hop1,t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1 (DMZ hop covered) — covering only hop 2 (Internal) does not qualify as early interception on this path</w:t>
            </w:r>
          </w:p>
          <w:p w14:paraId="58F54381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Early interception per slot: non-final hop must be covered at the active slot</w:t>
            </w:r>
          </w:p>
        </w:tc>
      </w:tr>
    </w:tbl>
    <w:p w14:paraId="278C5B58" w14:textId="77777777" w:rsidR="00941E8A" w:rsidRDefault="00941E8A" w:rsidP="00941E8A">
      <w:pPr>
        <w:spacing w:after="140"/>
      </w:pPr>
    </w:p>
    <w:p w14:paraId="4E99118A" w14:textId="77777777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New Persona Constraints (C8–C13)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1"/>
        <w:gridCol w:w="2839"/>
        <w:gridCol w:w="5910"/>
      </w:tblGrid>
      <w:tr w:rsidR="00941E8A" w14:paraId="4ABB3DE7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42BB6A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90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1CBB01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Clause</w:t>
            </w:r>
          </w:p>
        </w:tc>
        <w:tc>
          <w:tcPr>
            <w:tcW w:w="604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3F0BF9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Philosophy → Purpose</w:t>
            </w:r>
          </w:p>
        </w:tc>
      </w:tr>
      <w:tr w:rsidR="00941E8A" w14:paraId="342C16B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4296B8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C8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9CD57A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Σt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|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−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,t−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1,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|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≤ Δ,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i,z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,p</w:t>
            </w:r>
            <w:proofErr w:type="spellEnd"/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691D9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7F05F44A" w14:textId="674B9862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Rotating constantly is operationally unsustainable — we cap total changes so operators can </w:t>
            </w:r>
            <w:r w:rsidR="005A1C21"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follow</w:t>
            </w: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the schedule.</w:t>
            </w:r>
          </w:p>
          <w:p w14:paraId="2279BF82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Δ=2: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DMZ wearing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can switch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on↔off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most twice across H=4 slots; a schedule of 1,1,0,1 uses two changes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on→off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t=3,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off→on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t=4)</w:t>
            </w:r>
          </w:p>
          <w:p w14:paraId="33B4A509" w14:textId="5C7418CF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Type-rotation churn limit per </w:t>
            </w:r>
            <w:r w:rsidR="005A1C21">
              <w:rPr>
                <w:rFonts w:ascii="Arial" w:eastAsia="Arial" w:hAnsi="Arial" w:cs="Arial"/>
                <w:sz w:val="18"/>
                <w:szCs w:val="18"/>
              </w:rPr>
              <w:t>persona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bounds total state changes per (type, zone, persona) triple across the planning horizon T̄ to prevent operational </w:t>
            </w:r>
            <w:bookmarkStart w:id="2" w:name="OLE_LINK14"/>
            <w:r>
              <w:rPr>
                <w:rFonts w:ascii="Arial" w:eastAsia="Arial" w:hAnsi="Arial" w:cs="Arial"/>
                <w:sz w:val="18"/>
                <w:szCs w:val="18"/>
              </w:rPr>
              <w:t>thrashing</w:t>
            </w:r>
            <w:bookmarkEnd w:id="2"/>
          </w:p>
        </w:tc>
      </w:tr>
      <w:tr w:rsidR="00941E8A" w14:paraId="4EBDDE77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6F8EFF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C9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CD886E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uᵢ,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if Σ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′,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for τᵈ consecutive slots t′ (any p)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F7BBDB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09EE7683" w14:textId="1DD79942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A patient attacker eventually </w:t>
            </w:r>
            <w:r w:rsidR="00197E2C"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recognizes</w:t>
            </w: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the honeypot as a honeypot regardless of what identity it wears — the underlying service </w:t>
            </w:r>
            <w:r w:rsidR="00197E2C"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behavior</w:t>
            </w: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gives it away.</w:t>
            </w:r>
          </w:p>
          <w:p w14:paraId="1C452AAD" w14:textId="71AA0D11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active in DMZ for τᵈ=3 consecutive months (t=1,2,3) under any persona,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trap,DMZ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4}=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1; rotating to a new persona at t=4 does not prevent this — the </w:t>
            </w:r>
            <w:r w:rsidR="00C54480"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type of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signature is already mapped</w:t>
            </w:r>
          </w:p>
          <w:p w14:paraId="2482F35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Type-discovery: once the same honeypot type has been active in zone z for τᵈ consecutive slots under any persona, the type is flagged discovered — credit zeroed regardless of persona rotation</w:t>
            </w:r>
          </w:p>
        </w:tc>
      </w:tr>
      <w:tr w:rsidR="00941E8A" w14:paraId="298BE6C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0C6C38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C10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A09D40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Σt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p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h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★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≥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⌈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ρπ·H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⌉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π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D7239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62D3C39B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A patient attacker can simply wait for the gap month when nothing is watching — we close every gap on high-probability paths.</w:t>
            </w:r>
          </w:p>
          <w:p w14:paraId="7103F569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ρ_{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0.30, H=4: path must be covered in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0.30×4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⌉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=2 slots; a schedule covering only t=1 fails C10 — an attacker waits for t=2,3,4 and attacks </w:t>
            </w:r>
            <w:bookmarkStart w:id="3" w:name="OLE_LINK15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unopposed</w:t>
            </w:r>
            <w:bookmarkEnd w:id="3"/>
          </w:p>
          <w:p w14:paraId="3FEAB0C2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Path persistence: the critical hop h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★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of each attack path π must be covered in at least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⌈</w:t>
            </w:r>
            <w:r>
              <w:rPr>
                <w:rFonts w:ascii="Arial" w:eastAsia="Arial" w:hAnsi="Arial" w:cs="Arial"/>
                <w:sz w:val="18"/>
                <w:szCs w:val="18"/>
              </w:rPr>
              <w:t>ρπ·H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⌉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slots. Eliminates gap-slot windows a patient attacker could wait for and exploit</w:t>
            </w:r>
          </w:p>
        </w:tc>
      </w:tr>
      <w:tr w:rsidR="00941E8A" w14:paraId="2365F7D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224EFD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C11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3D3E29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τᵈ(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i,z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) = τᵈ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⁰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· (1 − ρπ(t) / ρ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ₘ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ₐˣ)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86ADA6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3BC06B6F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When signs of a threat are rising, we rotate faster — the higher the attack probability, the shorter the window before the honeypot must move.</w:t>
            </w:r>
          </w:p>
          <w:p w14:paraId="5FE648A8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ρπ rises 0.30→0.55 at t=2, τᵈ⁰=3: τᵈ tightens from 2.10 to 1.35 — the solver must rotate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Cloud every slot for the remaining horizon rather than every two slots</w:t>
            </w:r>
          </w:p>
          <w:p w14:paraId="207E2BE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Threat-adaptive type-rotation: STIX/TAXII updates to ρπ automatically tighten the rotation threshold τᵈ. Rising attack probability forces faster rotation; subsiding threat allows slower rotation to reduce operational cost</w:t>
            </w:r>
          </w:p>
        </w:tc>
      </w:tr>
      <w:tr w:rsidR="00941E8A" w14:paraId="52F57EC2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E27157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lastRenderedPageBreak/>
              <w:t>C12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22D5D9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¬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∨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¬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ₗ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i≠l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z,t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,p</w:t>
            </w:r>
            <w:proofErr w:type="spellEnd"/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72A500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4730A932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Two honeypots wearing the same identity in the same place at the same time is a contradiction — an attacker who notices both knows at least one is fake.</w:t>
            </w:r>
          </w:p>
          <w:p w14:paraId="30D7C5D9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(DMZ, t=2) wears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then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(DMZ, t=2) cannot also wear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; an attacker seeing two “HR workstations” in the same zone immediately knows at least one is fake</w:t>
            </w:r>
          </w:p>
          <w:p w14:paraId="60CDD1C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Persona-conflict: two distinct honeypot types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i≠l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cannot simultaneously wear the same persona p in zone z at slot t. Same fake hostname, AD account, or employee identity cannot belong to two honeypots — the analogue of C4 for the persona dimension</w:t>
            </w:r>
          </w:p>
        </w:tc>
      </w:tr>
      <w:tr w:rsidR="00941E8A" w14:paraId="3FC9764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0CAC8C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C13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44490F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uᵢ,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if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′,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for τᵈᵖ consecutive slots; rotate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to p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′ ≠ p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B381E5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738ADF9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The attacker fingerprints the identity, not just the service — so we change identity before they finish mapping it, forcing them to restart.</w:t>
            </w:r>
          </w:p>
          <w:p w14:paraId="31AFB26A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wears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Internal for τᵈᵖ=2 months (t=1, t=2)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⇒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trap,Internal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3,HR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}=1; rotating to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DevOps_server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t=3 resets u to 0 and restores full credit</w:t>
            </w:r>
          </w:p>
          <w:p w14:paraId="3C5C6633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Persona-rotation: passive discovery tracks the identity, not only the type. Once persona p has been active for τᵈᵖ consecutive slots,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uᵢ,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1 and credit is zeroed. Rotating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to 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′ (same type, same zone, different identity) forces the attacker to restart fingerprinting</w:t>
            </w:r>
          </w:p>
        </w:tc>
      </w:tr>
    </w:tbl>
    <w:p w14:paraId="2ECAC9F9" w14:textId="77777777" w:rsidR="00941E8A" w:rsidRDefault="00941E8A" w:rsidP="00941E8A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5"/>
        <w:gridCol w:w="8765"/>
      </w:tblGrid>
      <w:tr w:rsidR="00941E8A" w14:paraId="69210E5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1B2A4A"/>
              <w:left w:val="single" w:sz="8" w:space="0" w:color="1B2A4A"/>
              <w:bottom w:val="single" w:sz="8" w:space="0" w:color="1B2A4A"/>
              <w:right w:val="single" w:sz="8" w:space="0" w:color="1B2A4A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B322EF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CHAIN</w:t>
            </w:r>
          </w:p>
        </w:tc>
        <w:tc>
          <w:tcPr>
            <w:tcW w:w="9100" w:type="dxa"/>
            <w:tcBorders>
              <w:top w:val="single" w:sz="8" w:space="0" w:color="1B2A4A"/>
              <w:left w:val="none" w:sz="0" w:space="0" w:color="FFFFFF"/>
              <w:bottom w:val="single" w:sz="8" w:space="0" w:color="1B2A4A"/>
              <w:right w:val="single" w:sz="8" w:space="0" w:color="1B2A4A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4FFD9E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Enforcement backbone (extended from base paper Section IV-F):</w:t>
            </w:r>
          </w:p>
          <w:p w14:paraId="32C18B96" w14:textId="77777777" w:rsidR="00941E8A" w:rsidRDefault="00941E8A" w:rsidP="00B05EF4">
            <w:pPr>
              <w:spacing w:before="10" w:after="30"/>
            </w:pP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xᵢ,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 xml:space="preserve">1 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 C5b verifies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servertype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zone, technique, persona)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GKᵢ,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</w:p>
          <w:p w14:paraId="4614D6A1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cⱼ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a,t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1  [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C1: zone-pinned,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u_type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=0,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u_persona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=0]</w:t>
            </w:r>
          </w:p>
          <w:p w14:paraId="287AAFDD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pπ,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1  [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C6: C10 guarantees ≥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⌈</w:t>
            </w:r>
            <w:r>
              <w:rPr>
                <w:rFonts w:ascii="Arial" w:eastAsia="Arial" w:hAnsi="Arial" w:cs="Arial"/>
                <w:sz w:val="18"/>
                <w:szCs w:val="18"/>
              </w:rPr>
              <w:t>ρπ·H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⌉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covered slots]</w:t>
            </w:r>
          </w:p>
          <w:p w14:paraId="05B96ECE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eπ,t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= 1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 xml:space="preserve">   [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C7: non-final hop covered]</w:t>
            </w:r>
          </w:p>
          <w:p w14:paraId="35DC8D2F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w</w:t>
            </w:r>
            <w:proofErr w:type="gramEnd"/>
            <w:r>
              <w:rPr>
                <w:rFonts w:ascii="Cambria Math" w:eastAsia="Arial" w:hAnsi="Cambria Math" w:cs="Cambria Math"/>
                <w:sz w:val="18"/>
                <w:szCs w:val="18"/>
              </w:rPr>
              <w:t>₄</w:t>
            </w:r>
            <w:r>
              <w:rPr>
                <w:rFonts w:ascii="Arial" w:eastAsia="Arial" w:hAnsi="Arial" w:cs="Arial"/>
                <w:sz w:val="18"/>
                <w:szCs w:val="18"/>
              </w:rPr>
              <w:t>·q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·PW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earned  [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zone + time + persona + type-discovery + persona-discovery]</w:t>
            </w:r>
          </w:p>
        </w:tc>
      </w:tr>
    </w:tbl>
    <w:p w14:paraId="342F8695" w14:textId="77777777" w:rsidR="00941E8A" w:rsidRDefault="00941E8A" w:rsidP="00941E8A">
      <w:pPr>
        <w:spacing w:after="200"/>
      </w:pPr>
    </w:p>
    <w:p w14:paraId="1E4AC258" w14:textId="77777777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C10 and C11 — Worked Examples</w:t>
      </w:r>
    </w:p>
    <w:p w14:paraId="350E76FF" w14:textId="77777777" w:rsidR="00941E8A" w:rsidRDefault="00941E8A" w:rsidP="00941E8A">
      <w:pPr>
        <w:pStyle w:val="Heading3"/>
      </w:pPr>
      <w:r>
        <w:rPr>
          <w:rFonts w:ascii="Arial" w:eastAsia="Arial" w:hAnsi="Arial" w:cs="Arial"/>
          <w:b/>
          <w:bCs/>
          <w:color w:val="4A7FC1"/>
          <w:sz w:val="21"/>
          <w:szCs w:val="21"/>
        </w:rPr>
        <w:t>C10 — No Gap Slots on Dangerous Paths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"/>
        <w:gridCol w:w="8964"/>
      </w:tblGrid>
      <w:tr w:rsidR="00941E8A" w14:paraId="4B4B26F0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2E5FA3"/>
              <w:left w:val="single" w:sz="8" w:space="0" w:color="2E5FA3"/>
              <w:bottom w:val="single" w:sz="8" w:space="0" w:color="2E5FA3"/>
              <w:right w:val="single" w:sz="8" w:space="0" w:color="2E5FA3"/>
            </w:tcBorders>
            <w:shd w:val="clear" w:color="auto" w:fill="2E5FA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6F7E3FD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C10</w:t>
            </w:r>
          </w:p>
        </w:tc>
        <w:tc>
          <w:tcPr>
            <w:tcW w:w="9100" w:type="dxa"/>
            <w:tcBorders>
              <w:top w:val="single" w:sz="8" w:space="0" w:color="2E5FA3"/>
              <w:left w:val="none" w:sz="0" w:space="0" w:color="FFFFFF"/>
              <w:bottom w:val="single" w:sz="8" w:space="0" w:color="2E5FA3"/>
              <w:right w:val="single" w:sz="8" w:space="0" w:color="2E5FA3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F22218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Philosophy: A patient attacker can simply wait for the gap month when nothing is watching — we close every gap on high-probability paths.</w:t>
            </w:r>
          </w:p>
          <w:p w14:paraId="5A12F3F8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Path π with ρπ = 0.30 across H = 4 slots must be covered in at least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0.30 × 4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⌉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2 slots.</w:t>
            </w:r>
          </w:p>
          <w:p w14:paraId="242657AC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attacker cannot wait for an unmonitored window — high-probability paths are always covered.</w:t>
            </w:r>
          </w:p>
          <w:p w14:paraId="6DFE2E82" w14:textId="6035356F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Setting H = 1 (original formulation) makes C10 trivially satisfied and recovers base-paper </w:t>
            </w:r>
            <w:r w:rsidR="00F76CDF">
              <w:rPr>
                <w:rFonts w:ascii="Arial" w:eastAsia="Arial" w:hAnsi="Arial" w:cs="Arial"/>
                <w:sz w:val="18"/>
                <w:szCs w:val="18"/>
              </w:rPr>
              <w:t>behavior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</w:tbl>
    <w:p w14:paraId="1D21ACD1" w14:textId="77777777" w:rsidR="00941E8A" w:rsidRDefault="00941E8A" w:rsidP="00941E8A">
      <w:pPr>
        <w:spacing w:after="100"/>
      </w:pPr>
    </w:p>
    <w:p w14:paraId="2FEF896C" w14:textId="77777777" w:rsidR="00941E8A" w:rsidRDefault="00941E8A" w:rsidP="00941E8A">
      <w:pPr>
        <w:pStyle w:val="Heading3"/>
      </w:pPr>
      <w:r>
        <w:rPr>
          <w:rFonts w:ascii="Arial" w:eastAsia="Arial" w:hAnsi="Arial" w:cs="Arial"/>
          <w:b/>
          <w:bCs/>
          <w:color w:val="4A7FC1"/>
          <w:sz w:val="21"/>
          <w:szCs w:val="21"/>
        </w:rPr>
        <w:t>C11 — Rotate Faster When Threat Rises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"/>
        <w:gridCol w:w="8964"/>
      </w:tblGrid>
      <w:tr w:rsidR="00941E8A" w14:paraId="46DE2AE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4A7FC1"/>
              <w:left w:val="single" w:sz="8" w:space="0" w:color="4A7FC1"/>
              <w:bottom w:val="single" w:sz="8" w:space="0" w:color="4A7FC1"/>
              <w:right w:val="single" w:sz="8" w:space="0" w:color="4A7FC1"/>
            </w:tcBorders>
            <w:shd w:val="clear" w:color="auto" w:fill="4A7FC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377B041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C11</w:t>
            </w:r>
          </w:p>
        </w:tc>
        <w:tc>
          <w:tcPr>
            <w:tcW w:w="9100" w:type="dxa"/>
            <w:tcBorders>
              <w:top w:val="single" w:sz="8" w:space="0" w:color="4A7FC1"/>
              <w:left w:val="none" w:sz="0" w:space="0" w:color="FFFFFF"/>
              <w:bottom w:val="single" w:sz="8" w:space="0" w:color="4A7FC1"/>
              <w:right w:val="single" w:sz="8" w:space="0" w:color="4A7FC1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B1740B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Philosophy: When signs of a threat are rising, we rotate faster — the higher the attack probability, the shorter the window before the honeypot must move.</w:t>
            </w:r>
          </w:p>
          <w:p w14:paraId="3FBDC04F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STIX/TAXII update at slot t=2: ρπ rises 0.30 → 0.55, ρ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ₘ</w:t>
            </w:r>
            <w:r>
              <w:rPr>
                <w:rFonts w:ascii="Arial" w:eastAsia="Arial" w:hAnsi="Arial" w:cs="Arial"/>
                <w:sz w:val="18"/>
                <w:szCs w:val="18"/>
              </w:rPr>
              <w:t>ₐˣ = 1.0, τᵈ⁰ = 3.</w:t>
            </w:r>
          </w:p>
          <w:p w14:paraId="6D876958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Before update: τᵈ = 3 × (1 − 0.30/1.0) = 2.10 → rotate every 2 slots.</w:t>
            </w:r>
          </w:p>
          <w:p w14:paraId="7EE13C37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After update:  τᵈ = 3 × (1 − 0.55/1.0) = 1.35 → rotate every slot.</w:t>
            </w:r>
          </w:p>
          <w:p w14:paraId="21D015B9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Algorithm 1 warm-starts RC2 from the current deployment and re-certifies in &lt;5 s.</w:t>
            </w:r>
          </w:p>
        </w:tc>
      </w:tr>
    </w:tbl>
    <w:p w14:paraId="5420D1CF" w14:textId="77777777" w:rsidR="00941E8A" w:rsidRDefault="00941E8A" w:rsidP="00941E8A">
      <w:pPr>
        <w:spacing w:after="100"/>
      </w:pPr>
    </w:p>
    <w:p w14:paraId="0A1DCFA3" w14:textId="77777777" w:rsidR="00941E8A" w:rsidRDefault="00941E8A" w:rsidP="00941E8A">
      <w:pPr>
        <w:pStyle w:val="Heading3"/>
      </w:pPr>
      <w:r>
        <w:rPr>
          <w:rFonts w:ascii="Arial" w:eastAsia="Arial" w:hAnsi="Arial" w:cs="Arial"/>
          <w:b/>
          <w:bCs/>
          <w:color w:val="4A7FC1"/>
          <w:sz w:val="21"/>
          <w:szCs w:val="21"/>
        </w:rPr>
        <w:t>C12 — Persona-Conflict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"/>
        <w:gridCol w:w="8964"/>
      </w:tblGrid>
      <w:tr w:rsidR="00941E8A" w14:paraId="6B9A1CA2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8B0000"/>
              <w:left w:val="single" w:sz="8" w:space="0" w:color="8B0000"/>
              <w:bottom w:val="single" w:sz="8" w:space="0" w:color="8B0000"/>
              <w:right w:val="single" w:sz="8" w:space="0" w:color="8B0000"/>
            </w:tcBorders>
            <w:shd w:val="clear" w:color="auto" w:fill="8B000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B36719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C12</w:t>
            </w:r>
          </w:p>
        </w:tc>
        <w:tc>
          <w:tcPr>
            <w:tcW w:w="9100" w:type="dxa"/>
            <w:tcBorders>
              <w:top w:val="single" w:sz="8" w:space="0" w:color="8B0000"/>
              <w:left w:val="none" w:sz="0" w:space="0" w:color="FFFFFF"/>
              <w:bottom w:val="single" w:sz="8" w:space="0" w:color="8B0000"/>
              <w:right w:val="single" w:sz="8" w:space="0" w:color="8B0000"/>
            </w:tcBorders>
            <w:shd w:val="clear" w:color="auto" w:fill="FDEC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86FD7A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Philosophy: Two honeypots wearing the same identity in the same place at the same time is a contradiction — an attacker who notices both knows at least one is fake.</w:t>
            </w:r>
          </w:p>
          <w:p w14:paraId="12B71188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 xml:space="preserve">If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ssh_trap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(DMZ, t=2) wears persona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then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db_trap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(DMZ, t=2) cannot also wear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  <w:p w14:paraId="14284A94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An attacker who sees two “HR workstations” in the same zone at the same slot knows at least one is fake — deception collapses.</w:t>
            </w:r>
          </w:p>
          <w:p w14:paraId="68C1BDC5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C12 is the persona analogue of C4 (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no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pairwise type conflicts) and enforces the same structural guarantee.</w:t>
            </w:r>
          </w:p>
        </w:tc>
      </w:tr>
    </w:tbl>
    <w:p w14:paraId="12496C8A" w14:textId="77777777" w:rsidR="00941E8A" w:rsidRDefault="00941E8A" w:rsidP="00941E8A">
      <w:pPr>
        <w:spacing w:after="100"/>
      </w:pPr>
    </w:p>
    <w:p w14:paraId="25D59D03" w14:textId="77777777" w:rsidR="00941E8A" w:rsidRDefault="00941E8A" w:rsidP="00941E8A">
      <w:pPr>
        <w:pStyle w:val="Heading3"/>
      </w:pPr>
      <w:r>
        <w:rPr>
          <w:rFonts w:ascii="Arial" w:eastAsia="Arial" w:hAnsi="Arial" w:cs="Arial"/>
          <w:b/>
          <w:bCs/>
          <w:color w:val="4A7FC1"/>
          <w:sz w:val="21"/>
          <w:szCs w:val="21"/>
        </w:rPr>
        <w:t>C13 — Persona-Rotation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"/>
        <w:gridCol w:w="8964"/>
      </w:tblGrid>
      <w:tr w:rsidR="00941E8A" w14:paraId="47242B3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4A2080"/>
              <w:left w:val="single" w:sz="8" w:space="0" w:color="4A2080"/>
              <w:bottom w:val="single" w:sz="8" w:space="0" w:color="4A2080"/>
              <w:right w:val="single" w:sz="8" w:space="0" w:color="4A2080"/>
            </w:tcBorders>
            <w:shd w:val="clear" w:color="auto" w:fill="4A20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EF53C62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C13</w:t>
            </w:r>
          </w:p>
        </w:tc>
        <w:tc>
          <w:tcPr>
            <w:tcW w:w="9100" w:type="dxa"/>
            <w:tcBorders>
              <w:top w:val="single" w:sz="8" w:space="0" w:color="4A2080"/>
              <w:left w:val="none" w:sz="0" w:space="0" w:color="FFFFFF"/>
              <w:bottom w:val="single" w:sz="8" w:space="0" w:color="4A2080"/>
              <w:right w:val="single" w:sz="8" w:space="0" w:color="4A2080"/>
            </w:tcBorders>
            <w:shd w:val="clear" w:color="auto" w:fill="EDE3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1A293B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Philosophy: The attacker fingerprints the identity, not just the service — so we change identity before they finish mapping it, forcing them to restart.</w:t>
            </w:r>
          </w:p>
          <w:p w14:paraId="13ACAE07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If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ssh_trap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wears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for τᵈᵖ = 2 consecutive slots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uᵢ,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1, credit = 0.</w:t>
            </w:r>
          </w:p>
          <w:p w14:paraId="629D041A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Cheap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defence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: rotate to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DevOps_server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at t+1. Same type, same zone, different identity.</w:t>
            </w:r>
          </w:p>
          <w:p w14:paraId="3CB3572D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Attacker must restart fingerprinting. C13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formalises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the SANDMAN/OHRA persona-rotation pattern as a hard clause.</w:t>
            </w:r>
          </w:p>
        </w:tc>
      </w:tr>
    </w:tbl>
    <w:p w14:paraId="519BD7D1" w14:textId="77777777" w:rsidR="00941E8A" w:rsidRDefault="00941E8A" w:rsidP="00941E8A">
      <w:pPr>
        <w:spacing w:after="200"/>
      </w:pPr>
    </w:p>
    <w:p w14:paraId="62B35526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E. Soft Clauses (Persona-Extended)</w:t>
      </w:r>
    </w:p>
    <w:p w14:paraId="14D6860C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six soft-clause families from the base paper (L4, L3-fwd, L3-bwd, L2-tech, L2-fam, L1) are preserved with geometric weights w</w:t>
      </w:r>
      <w:r>
        <w:rPr>
          <w:rFonts w:ascii="Cambria Math" w:eastAsia="Arial" w:hAnsi="Cambria Math" w:cs="Cambria Math"/>
        </w:rPr>
        <w:t>₄</w:t>
      </w:r>
      <w:r>
        <w:rPr>
          <w:rFonts w:ascii="Arial" w:eastAsia="Arial" w:hAnsi="Arial" w:cs="Arial"/>
        </w:rPr>
        <w:t>=1000w</w:t>
      </w:r>
      <w:r>
        <w:rPr>
          <w:rFonts w:ascii="Cambria Math" w:eastAsia="Arial" w:hAnsi="Cambria Math" w:cs="Cambria Math"/>
        </w:rPr>
        <w:t>₃</w:t>
      </w:r>
      <w:r>
        <w:rPr>
          <w:rFonts w:ascii="Arial" w:eastAsia="Arial" w:hAnsi="Arial" w:cs="Arial"/>
        </w:rPr>
        <w:t>, w</w:t>
      </w:r>
      <w:r>
        <w:rPr>
          <w:rFonts w:ascii="Cambria Math" w:eastAsia="Arial" w:hAnsi="Cambria Math" w:cs="Cambria Math"/>
        </w:rPr>
        <w:t>₃</w:t>
      </w:r>
      <w:r>
        <w:rPr>
          <w:rFonts w:ascii="Arial" w:eastAsia="Arial" w:hAnsi="Arial" w:cs="Arial"/>
        </w:rPr>
        <w:t>=100w</w:t>
      </w:r>
      <w:r>
        <w:rPr>
          <w:rFonts w:ascii="Cambria Math" w:eastAsia="Arial" w:hAnsi="Cambria Math" w:cs="Cambria Math"/>
        </w:rPr>
        <w:t>₂</w:t>
      </w:r>
      <w:r>
        <w:rPr>
          <w:rFonts w:ascii="Arial" w:eastAsia="Arial" w:hAnsi="Arial" w:cs="Arial"/>
        </w:rPr>
        <w:t>, w</w:t>
      </w:r>
      <w:r>
        <w:rPr>
          <w:rFonts w:ascii="Cambria Math" w:eastAsia="Arial" w:hAnsi="Cambria Math" w:cs="Cambria Math"/>
        </w:rPr>
        <w:t>₂</w:t>
      </w:r>
      <w:r>
        <w:rPr>
          <w:rFonts w:ascii="Arial" w:eastAsia="Arial" w:hAnsi="Arial" w:cs="Arial"/>
        </w:rPr>
        <w:t>=10w</w:t>
      </w:r>
      <w:r>
        <w:rPr>
          <w:rFonts w:ascii="Cambria Math" w:eastAsia="Arial" w:hAnsi="Cambria Math" w:cs="Cambria Math"/>
        </w:rPr>
        <w:t>₁</w:t>
      </w:r>
      <w:r>
        <w:rPr>
          <w:rFonts w:ascii="Arial" w:eastAsia="Arial" w:hAnsi="Arial" w:cs="Arial"/>
        </w:rPr>
        <w:t>. Every credit term is extended by the LLM-adjusted persona prior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and gated by dual discovery guards (1−u_</w:t>
      </w:r>
      <w:proofErr w:type="gramStart"/>
      <w:r>
        <w:rPr>
          <w:rFonts w:ascii="Arial" w:eastAsia="Arial" w:hAnsi="Arial" w:cs="Arial"/>
        </w:rPr>
        <w:t>type)·</w:t>
      </w:r>
      <w:proofErr w:type="gramEnd"/>
      <w:r>
        <w:rPr>
          <w:rFonts w:ascii="Arial" w:eastAsia="Arial" w:hAnsi="Arial" w:cs="Arial"/>
        </w:rPr>
        <w:t>(1−u_persona). The persona prior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is updated by Algorithm 1 alongside soft-clause weights wⱼ at each STIX/TAXII event.</w:t>
      </w:r>
    </w:p>
    <w:p w14:paraId="04E13BC7" w14:textId="77777777" w:rsidR="00941E8A" w:rsidRDefault="00941E8A" w:rsidP="00941E8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26765A0E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FBEE45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L4:     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₄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ρπ · max_{h&lt;|π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|}(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iv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) ·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1] · (1−u_type) · (1−u_persona) · e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6)</w:t>
            </w:r>
          </w:p>
          <w:p w14:paraId="694B778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e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early interception per slot)</w:t>
            </w:r>
          </w:p>
          <w:p w14:paraId="0F36967F" w14:textId="77777777" w:rsidR="00941E8A" w:rsidRDefault="00941E8A" w:rsidP="00B05EF4"/>
          <w:p w14:paraId="3C384F0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L3-fwd: 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ρπ · iv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1] · (1−u_type) · (1−u_persona) · 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7)</w:t>
            </w:r>
          </w:p>
          <w:p w14:paraId="573D28B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 for all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(forward path coverage per slot)</w:t>
            </w:r>
          </w:p>
          <w:p w14:paraId="604FFEDF" w14:textId="77777777" w:rsidR="00941E8A" w:rsidRDefault="00941E8A" w:rsidP="00B05EF4"/>
          <w:p w14:paraId="77F19DA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L3-bwd:  0.7w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ρπ · iv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1] · (1−u_type) · (1−u_persona) · 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8)</w:t>
            </w:r>
          </w:p>
          <w:p w14:paraId="0B3A1E69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 (reverse; 0.7 forensic discount preserved)</w:t>
            </w:r>
          </w:p>
          <w:p w14:paraId="4FAD56AB" w14:textId="77777777" w:rsidR="00941E8A" w:rsidRDefault="00941E8A" w:rsidP="00B05EF4"/>
          <w:p w14:paraId="47E2C49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L2-tech: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Σa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[t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covered in zone(a) at t with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u_persona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=0]    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9)</w:t>
            </w:r>
          </w:p>
          <w:p w14:paraId="619DF42E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cover technique t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(persona-verified)</w:t>
            </w:r>
          </w:p>
          <w:p w14:paraId="03AD828C" w14:textId="77777777" w:rsidR="00941E8A" w:rsidRDefault="00941E8A" w:rsidP="00B05EF4"/>
          <w:p w14:paraId="3275F5A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L2-fam:  1.2w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Σ_{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j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Σa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[family f covered at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t]   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10)</w:t>
            </w:r>
          </w:p>
          <w:p w14:paraId="725EA5E4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cover tactic family f; 1.2× bonus unchanged</w:t>
            </w:r>
          </w:p>
          <w:p w14:paraId="340F16F0" w14:textId="77777777" w:rsidR="00941E8A" w:rsidRDefault="00941E8A" w:rsidP="00B05EF4"/>
          <w:p w14:paraId="41EFB973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L1:     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₁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1] · (1−u_type) · (1−u_persona) ·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c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a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11)</w:t>
            </w:r>
          </w:p>
          <w:p w14:paraId="24AA3676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detect t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on asset a at slot t</w:t>
            </w:r>
          </w:p>
          <w:p w14:paraId="30F823DC" w14:textId="77777777" w:rsidR="00941E8A" w:rsidRDefault="00941E8A" w:rsidP="00B05EF4"/>
          <w:p w14:paraId="3A848457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Complete objective:</w:t>
            </w:r>
          </w:p>
          <w:p w14:paraId="08D5DA25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max Σ_{l=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1}^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{4} Σ_{clauses}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w_l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sat(c)</w:t>
            </w:r>
          </w:p>
          <w:p w14:paraId="0F1E7D6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subject to C1–C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13,  xᵢ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z,t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{0,1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} 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∀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i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K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ZK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ᵢ,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̄,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</w:t>
            </w:r>
            <w:proofErr w:type="spellEnd"/>
          </w:p>
          <w:p w14:paraId="1FBEC373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₄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1000w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 w</w:t>
            </w:r>
            <w:proofErr w:type="gramEnd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100w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 w</w:t>
            </w:r>
            <w:proofErr w:type="gramEnd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10w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₁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unchanged)</w:t>
            </w:r>
          </w:p>
          <w:p w14:paraId="745CC820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>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updated by Algorithm 1 at each STIX/TAXII threat-intel event</w:t>
            </w:r>
          </w:p>
        </w:tc>
      </w:tr>
    </w:tbl>
    <w:p w14:paraId="25698A41" w14:textId="77777777" w:rsidR="00941E8A" w:rsidRDefault="00941E8A" w:rsidP="00941E8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9"/>
        <w:gridCol w:w="8931"/>
      </w:tblGrid>
      <w:tr w:rsidR="00941E8A" w14:paraId="2D28A5B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1B2A4A"/>
              <w:left w:val="single" w:sz="8" w:space="0" w:color="1B2A4A"/>
              <w:bottom w:val="single" w:sz="8" w:space="0" w:color="1B2A4A"/>
              <w:right w:val="single" w:sz="8" w:space="0" w:color="1B2A4A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CE997CF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KEY</w:t>
            </w:r>
          </w:p>
        </w:tc>
        <w:tc>
          <w:tcPr>
            <w:tcW w:w="9100" w:type="dxa"/>
            <w:tcBorders>
              <w:top w:val="single" w:sz="8" w:space="0" w:color="1B2A4A"/>
              <w:left w:val="none" w:sz="0" w:space="0" w:color="FFFFFF"/>
              <w:bottom w:val="single" w:sz="8" w:space="0" w:color="1B2A4A"/>
              <w:right w:val="single" w:sz="8" w:space="0" w:color="1B2A4A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71C2E2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Every credit term carries DUAL discovery guards: (1−u_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type)·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(1−u_persona).</w:t>
            </w:r>
          </w:p>
          <w:p w14:paraId="0F4E140C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Credit is zero if EITHER the honeypot type OR the persona has been discovered.</w:t>
            </w:r>
          </w:p>
          <w:p w14:paraId="4163CFD3" w14:textId="72BC79BE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1000× prevention priority (L4), 0.7 forensic discount (L3-bwd), and 1.2× family bonus (L2-fam) </w:t>
            </w:r>
            <w:r w:rsidR="003269E9">
              <w:rPr>
                <w:rFonts w:ascii="Arial" w:eastAsia="Arial" w:hAnsi="Arial" w:cs="Arial"/>
                <w:sz w:val="18"/>
                <w:szCs w:val="18"/>
              </w:rPr>
              <w:t>is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unchanged from the base paper.</w:t>
            </w:r>
          </w:p>
        </w:tc>
      </w:tr>
    </w:tbl>
    <w:p w14:paraId="0B6A7C68" w14:textId="77777777" w:rsidR="00941E8A" w:rsidRDefault="00941E8A" w:rsidP="00941E8A">
      <w:pPr>
        <w:spacing w:after="200"/>
      </w:pPr>
    </w:p>
    <w:p w14:paraId="0F335F3A" w14:textId="77777777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Algorithm 1 Extension — Persona Priors</w:t>
      </w:r>
    </w:p>
    <w:p w14:paraId="40D8E573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Algorithm 1 (Adaptive Redeployment on Updated Threat Priors, base paper Section IV-I) is extended to output persona priors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alongside soft-clause weight updates:</w:t>
      </w:r>
    </w:p>
    <w:p w14:paraId="5BE73B27" w14:textId="77777777" w:rsidR="00941E8A" w:rsidRDefault="00941E8A" w:rsidP="00941E8A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19E7136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D520D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Algorithm 1 (Extended):</w:t>
            </w:r>
          </w:p>
          <w:p w14:paraId="1B5A5BA9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Input:  current deployment x*; updated path probabilities ρ′π; STIX/TAXII intel at slot t</w:t>
            </w:r>
          </w:p>
          <w:p w14:paraId="747B1DA9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Output: x′* optimal for updated threat model; updated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</w:p>
          <w:p w14:paraId="322DD03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1. PW′ ← ρ′ · iv · W</w:t>
            </w:r>
          </w:p>
          <w:p w14:paraId="229A6098" w14:textId="3971B160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2. Update L3/L4 soft </w:t>
            </w:r>
            <w:r w:rsidR="00BD056B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weights (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C1–C13 hard clauses unchanged)</w:t>
            </w:r>
          </w:p>
          <w:p w14:paraId="1778760C" w14:textId="1916B572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3. Update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from threat-intel class</w:t>
            </w:r>
            <w:r w:rsidR="00BD056B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: (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NEW)</w:t>
            </w:r>
          </w:p>
          <w:p w14:paraId="03556123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financially motivated signal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↑,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↑</w:t>
            </w:r>
          </w:p>
          <w:p w14:paraId="7D7C26B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IP-theft signal             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DevOps_server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↑,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Generic_Linux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↑</w:t>
            </w:r>
          </w:p>
          <w:p w14:paraId="1EE66B17" w14:textId="659B19AA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</w:t>
            </w:r>
            <w:r w:rsidR="00BD056B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normalize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so Σ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</w:t>
            </w:r>
          </w:p>
          <w:p w14:paraId="08A720B5" w14:textId="1CCD8B82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4. Warm-start RC2 from x</w:t>
            </w:r>
            <w:r w:rsidR="00BD056B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* (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&lt; 5 s at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XLarge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</w:t>
            </w:r>
          </w:p>
          <w:p w14:paraId="0E9E80F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5. Re-solve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x′*</w:t>
            </w:r>
          </w:p>
          <w:p w14:paraId="71C57870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6. Δ ← Q(x′*) − Q(x*)</w:t>
            </w:r>
          </w:p>
          <w:p w14:paraId="3FAA4731" w14:textId="50BE8C44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7. if Δ &gt; 0: deploy x′*, log </w:t>
            </w:r>
            <w:r w:rsidR="00BD056B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Δ else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: keep x*, log “still optimal”</w:t>
            </w:r>
          </w:p>
          <w:p w14:paraId="0279E8DD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return x′*</w:t>
            </w:r>
          </w:p>
        </w:tc>
      </w:tr>
    </w:tbl>
    <w:p w14:paraId="50DFCA82" w14:textId="77777777" w:rsidR="00941E8A" w:rsidRDefault="00941E8A" w:rsidP="00941E8A">
      <w:pPr>
        <w:spacing w:after="80"/>
      </w:pPr>
    </w:p>
    <w:p w14:paraId="3468AC47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LLM is choosing what the decoys pretend to be, a judgment requiring contextual reasoning about attacker motivation that a SAT solver cannot derive from constraint structure alone. Adjusting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is a stronger contribution than nudging anonymous wⱼ values because the output is an operationally interpretable persona schedule, not an opaque weight vector.</w:t>
      </w:r>
    </w:p>
    <w:p w14:paraId="2EA5EB79" w14:textId="77777777" w:rsidR="00941E8A" w:rsidRDefault="00941E8A" w:rsidP="00941E8A">
      <w:pPr>
        <w:spacing w:after="200"/>
      </w:pPr>
    </w:p>
    <w:p w14:paraId="2E4745F8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F. Cross-Path Force-Multiplier (Extended)</w:t>
      </w:r>
    </w:p>
    <w:p w14:paraId="7F53F9BB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 xml:space="preserve">A single deployment decision </w:t>
      </w:r>
      <w:proofErr w:type="gramStart"/>
      <w:r>
        <w:rPr>
          <w:rFonts w:ascii="Arial" w:eastAsia="Arial" w:hAnsi="Arial" w:cs="Arial"/>
        </w:rPr>
        <w:t>xᵢ,</w:t>
      </w:r>
      <w:proofErr w:type="spellStart"/>
      <w:r>
        <w:rPr>
          <w:rFonts w:ascii="Arial" w:eastAsia="Arial" w:hAnsi="Arial" w:cs="Arial"/>
        </w:rPr>
        <w:t>z</w:t>
      </w:r>
      <w:proofErr w:type="gramEnd"/>
      <w:r>
        <w:rPr>
          <w:rFonts w:ascii="Arial" w:eastAsia="Arial" w:hAnsi="Arial" w:cs="Arial"/>
        </w:rPr>
        <w:t>,t</w:t>
      </w:r>
      <w:proofErr w:type="spellEnd"/>
      <w:r>
        <w:rPr>
          <w:rFonts w:ascii="Arial" w:eastAsia="Arial" w:hAnsi="Arial" w:cs="Arial"/>
        </w:rPr>
        <w:t>,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= 1 simultaneously resolves L3 soft clauses across multiple paths and earns the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persona-prior bonus on each:</w:t>
      </w:r>
    </w:p>
    <w:p w14:paraId="53A07571" w14:textId="77777777" w:rsidR="00941E8A" w:rsidRDefault="00941E8A" w:rsidP="00941E8A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20BD653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DC6494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Extended credit per deployment (illustrative: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ssh_trap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, Zone 2, T1021,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persona):</w:t>
            </w:r>
          </w:p>
          <w:p w14:paraId="4AF68289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Path               ρ       iv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L3 weight</w:t>
            </w:r>
          </w:p>
          <w:p w14:paraId="6DFA95C3" w14:textId="2C95FC9A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web to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(hop 2</w:t>
            </w:r>
            <w:r w:rsidR="00103D97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 0.30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1.8    3.24    0.40   0.30×1.8×3.24×0.40 = 0.700</w:t>
            </w:r>
          </w:p>
          <w:p w14:paraId="41504B6E" w14:textId="0BFE73A9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ot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infiltr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. (h 2</w:t>
            </w:r>
            <w:r w:rsidR="00103D97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 0.15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1.7    3.24    0.40   0.15×1.7×3.24×0.40 = 0.330</w:t>
            </w:r>
          </w:p>
          <w:p w14:paraId="406AA2E3" w14:textId="32F5CEA1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brute to ad (h 2</w:t>
            </w:r>
            <w:r w:rsidR="00103D97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 0.20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1.6    3.24    0.40   0.20×1.6×3.24×0.40 = 0.415</w:t>
            </w:r>
          </w:p>
          <w:p w14:paraId="55F7B5D5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RC2 total (q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=0.40)                               1.445</w:t>
            </w:r>
          </w:p>
          <w:p w14:paraId="1B077E47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Base-paper RC2 total (no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):                     3.612</w:t>
            </w:r>
          </w:p>
          <w:p w14:paraId="098431B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Base-paper Greedy (highest-ρ only, no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):        1.749</w:t>
            </w:r>
          </w:p>
          <w:p w14:paraId="2F746E6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 xml:space="preserve">  RC2-vs-Greedy ratio ≈2.1× preserved at default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1/|P|.</w:t>
            </w:r>
          </w:p>
        </w:tc>
      </w:tr>
    </w:tbl>
    <w:p w14:paraId="1CE03D4E" w14:textId="77777777" w:rsidR="00941E8A" w:rsidRDefault="00941E8A" w:rsidP="00941E8A">
      <w:pPr>
        <w:spacing w:after="200"/>
      </w:pPr>
    </w:p>
    <w:p w14:paraId="619CA2C4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G. Operator Schedule — Persona Layer</w:t>
      </w:r>
    </w:p>
    <w:p w14:paraId="511D1357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solver returns a complete deployment schedule (type, zone, slot, persona). The operator follows it exactly. Example for H = 4 planning slots with a threat-intel update at t = 2:</w:t>
      </w:r>
    </w:p>
    <w:p w14:paraId="637BDE26" w14:textId="77777777" w:rsidR="00941E8A" w:rsidRDefault="00941E8A" w:rsidP="00941E8A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0D105FC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2064713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Type        Zone      Persona            t=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  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2  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3  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=4   Constraint driver</w:t>
            </w:r>
          </w:p>
          <w:p w14:paraId="65E173A0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───────────────────────────────────────────────────────────────────────────</w:t>
            </w:r>
          </w:p>
          <w:p w14:paraId="151DA528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ssh_trap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DMZ  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1    1    0    1     C13: τᵈᵖ=2 hit at t=3; resume t=4</w:t>
            </w:r>
          </w:p>
          <w:p w14:paraId="2D55B5D1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ssh_trap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DMZ  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DevOps_server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0    0    1    0     C13: persona-rotation at t=3</w:t>
            </w:r>
          </w:p>
          <w:p w14:paraId="4C2CD4F0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ssh_trap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Internal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1    1    1    0     C8: churn limit — rotate t=4</w:t>
            </w:r>
          </w:p>
          <w:p w14:paraId="6EF1D600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Internal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1    0    1    0     C9: type-alternation avoids discovery</w:t>
            </w:r>
          </w:p>
          <w:p w14:paraId="4EAB9D88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Cloud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1    1    0    1     C13: rotate persona at t=3</w:t>
            </w:r>
          </w:p>
          <w:p w14:paraId="28C75B06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Cloud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0    0    0    0     C12: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already in Cloud t=1–t=2</w:t>
            </w:r>
          </w:p>
          <w:p w14:paraId="02FBCF3F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scada_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OT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Generic_Linux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1    1    1    1     C5: air-gapped — always active</w:t>
            </w:r>
          </w:p>
          <w:p w14:paraId="114A641A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ad_trap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Mgmt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1    1    1    1     No C12 conflict (unique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zone+persona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</w:t>
            </w:r>
          </w:p>
          <w:p w14:paraId="6DEF0679" w14:textId="77777777" w:rsidR="00941E8A" w:rsidRDefault="00941E8A" w:rsidP="00B05EF4"/>
          <w:p w14:paraId="05D83650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↓ STIX/TAXII update t=2: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financially-motivated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attacker signal</w:t>
            </w:r>
          </w:p>
          <w:p w14:paraId="52A8532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Algorithm 1: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0.15→0.40,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0.15→0.30</w:t>
            </w:r>
          </w:p>
          <w:p w14:paraId="1E8C0DC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C10: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web→db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path must be covered in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ρπ×H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⌉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≥ 3 slots</w:t>
            </w:r>
          </w:p>
          <w:p w14:paraId="7DF9BE7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C11: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Cloud τᵈ tightens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faster type-rotation</w:t>
            </w:r>
          </w:p>
          <w:p w14:paraId="710C00DD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C13: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persona τᵈᵖ tightens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faster persona-rotation</w:t>
            </w:r>
          </w:p>
          <w:p w14:paraId="748A1C3D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Revised t=3, t=4:</w:t>
            </w:r>
          </w:p>
          <w:p w14:paraId="716A3709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Cloud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1    1    1    0     C10 forces t=3 coverage</w:t>
            </w:r>
          </w:p>
          <w:p w14:paraId="12CE3D3F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Cloud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0    0    0    1     C13 forces swap at t=4</w:t>
            </w:r>
          </w:p>
        </w:tc>
      </w:tr>
    </w:tbl>
    <w:p w14:paraId="4837DAA5" w14:textId="77777777" w:rsidR="00941E8A" w:rsidRDefault="00941E8A" w:rsidP="00941E8A">
      <w:pPr>
        <w:spacing w:after="200"/>
      </w:pPr>
    </w:p>
    <w:p w14:paraId="21CBB500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H. Six Objectives and Six Dimensions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7"/>
        <w:gridCol w:w="8823"/>
      </w:tblGrid>
      <w:tr w:rsidR="00941E8A" w14:paraId="28B6641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0D5C63"/>
              <w:left w:val="single" w:sz="8" w:space="0" w:color="0D5C63"/>
              <w:bottom w:val="single" w:sz="8" w:space="0" w:color="0D5C63"/>
              <w:right w:val="single" w:sz="8" w:space="0" w:color="0D5C63"/>
            </w:tcBorders>
            <w:shd w:val="clear" w:color="auto" w:fill="0D5C6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EEB784D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NOTE</w:t>
            </w:r>
          </w:p>
        </w:tc>
        <w:tc>
          <w:tcPr>
            <w:tcW w:w="9100" w:type="dxa"/>
            <w:tcBorders>
              <w:top w:val="single" w:sz="8" w:space="0" w:color="0D5C63"/>
              <w:left w:val="none" w:sz="0" w:space="0" w:color="FFFFFF"/>
              <w:bottom w:val="single" w:sz="8" w:space="0" w:color="0D5C63"/>
              <w:right w:val="single" w:sz="8" w:space="0" w:color="0D5C63"/>
            </w:tcBorders>
            <w:shd w:val="clear" w:color="auto" w:fill="D0EEE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72D765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D2 is about attack-path ordering and temporal coverage — when honeypots are active, gap elimination (C10), rotation tightening (C11, C13).</w:t>
            </w:r>
          </w:p>
          <w:p w14:paraId="32BE2B16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D3 is about ATT&amp;CK technique and tactic-family content — what techniques are covered (L2-tech, L2-fam, O2, O3).</w:t>
            </w:r>
          </w:p>
          <w:p w14:paraId="556193CF" w14:textId="77777777" w:rsidR="00941E8A" w:rsidRDefault="00941E8A" w:rsidP="00B05EF4">
            <w:pPr>
              <w:spacing w:before="10" w:after="3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They are not duplicates — they address different dimensions.</w:t>
            </w:r>
          </w:p>
          <w:p w14:paraId="3D489097" w14:textId="77777777" w:rsidR="004B091E" w:rsidRDefault="004B091E" w:rsidP="00287854">
            <w:pPr>
              <w:rPr>
                <w:rFonts w:hAnsi="Arial"/>
                <w:sz w:val="18"/>
                <w:szCs w:val="18"/>
              </w:rPr>
            </w:pPr>
          </w:p>
          <w:p w14:paraId="71423F56" w14:textId="7D36E051" w:rsidR="00287854" w:rsidRDefault="00287854" w:rsidP="00287854">
            <w:pPr>
              <w:rPr>
                <w:rFonts w:ascii="Arial" w:hAnsi="Arial" w:cs="Arial"/>
                <w:sz w:val="18"/>
                <w:szCs w:val="18"/>
              </w:rPr>
            </w:pPr>
            <w:r w:rsidRPr="00287854">
              <w:rPr>
                <w:rFonts w:ascii="Arial" w:hAnsi="Arial" w:cs="Arial"/>
                <w:sz w:val="18"/>
                <w:szCs w:val="18"/>
              </w:rPr>
              <w:t xml:space="preserve">D2 example: "an attacker who knows the rotation waits for month 3" — this is a </w:t>
            </w:r>
            <w:r w:rsidRPr="00287854">
              <w:rPr>
                <w:rStyle w:val="Emphasis"/>
                <w:rFonts w:ascii="Arial" w:hAnsi="Arial" w:cs="Arial"/>
                <w:sz w:val="18"/>
                <w:szCs w:val="18"/>
              </w:rPr>
              <w:t>timing</w:t>
            </w:r>
            <w:r w:rsidRPr="00287854">
              <w:rPr>
                <w:rFonts w:ascii="Arial" w:hAnsi="Arial" w:cs="Arial"/>
                <w:sz w:val="18"/>
                <w:szCs w:val="18"/>
              </w:rPr>
              <w:t xml:space="preserve"> problem, solved by path orderin</w:t>
            </w:r>
            <w:r>
              <w:rPr>
                <w:rFonts w:ascii="Arial" w:hAnsi="Arial" w:cs="Arial"/>
                <w:sz w:val="18"/>
                <w:szCs w:val="18"/>
              </w:rPr>
              <w:t>g.</w:t>
            </w:r>
          </w:p>
          <w:p w14:paraId="4487CC53" w14:textId="427A84B7" w:rsidR="00287854" w:rsidRPr="00287854" w:rsidRDefault="00287854" w:rsidP="00287854">
            <w:pPr>
              <w:rPr>
                <w:rFonts w:ascii="Arial" w:hAnsi="Arial" w:cs="Arial"/>
                <w:sz w:val="18"/>
                <w:szCs w:val="18"/>
              </w:rPr>
            </w:pPr>
            <w:r w:rsidRPr="00287854">
              <w:rPr>
                <w:rFonts w:ascii="Arial" w:hAnsi="Arial" w:cs="Arial"/>
                <w:sz w:val="18"/>
                <w:szCs w:val="18"/>
              </w:rPr>
              <w:t xml:space="preserve">D3 example: "a solver deploying five </w:t>
            </w:r>
            <w:proofErr w:type="spellStart"/>
            <w:r w:rsidRPr="00287854">
              <w:rPr>
                <w:rFonts w:ascii="Arial" w:hAnsi="Arial" w:cs="Arial"/>
                <w:sz w:val="18"/>
                <w:szCs w:val="18"/>
              </w:rPr>
              <w:t>ssh_traps</w:t>
            </w:r>
            <w:proofErr w:type="spellEnd"/>
            <w:r w:rsidRPr="00287854">
              <w:rPr>
                <w:rFonts w:ascii="Arial" w:hAnsi="Arial" w:cs="Arial"/>
                <w:sz w:val="18"/>
                <w:szCs w:val="18"/>
              </w:rPr>
              <w:t xml:space="preserve"> all covering T1021" — this is a </w:t>
            </w:r>
            <w:r w:rsidRPr="00287854">
              <w:rPr>
                <w:rStyle w:val="Emphasis"/>
                <w:rFonts w:ascii="Arial" w:hAnsi="Arial" w:cs="Arial"/>
                <w:sz w:val="18"/>
                <w:szCs w:val="18"/>
              </w:rPr>
              <w:t>coverage breadth</w:t>
            </w:r>
            <w:r w:rsidRPr="00287854">
              <w:rPr>
                <w:rFonts w:ascii="Arial" w:hAnsi="Arial" w:cs="Arial"/>
                <w:sz w:val="18"/>
                <w:szCs w:val="18"/>
              </w:rPr>
              <w:t xml:space="preserve"> problem, solved by ATT&amp;CK objectives</w:t>
            </w:r>
          </w:p>
        </w:tc>
      </w:tr>
    </w:tbl>
    <w:p w14:paraId="782BB62D" w14:textId="77777777" w:rsidR="00941E8A" w:rsidRDefault="00941E8A" w:rsidP="00941E8A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941E8A" w14:paraId="2951BCD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F8D00A" w14:textId="77777777" w:rsidR="00941E8A" w:rsidRDefault="00941E8A" w:rsidP="00B05EF4"/>
        </w:tc>
        <w:tc>
          <w:tcPr>
            <w:tcW w:w="676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51D47E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 + Philosophy</w:t>
            </w:r>
          </w:p>
        </w:tc>
      </w:tr>
      <w:tr w:rsidR="00941E8A" w14:paraId="7F0F88D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C6607E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lastRenderedPageBreak/>
              <w:t>O1 — Detection Efficiency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709A31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Credit earned only in deployed zone at deployed slot with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u_type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=0 AND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u_persona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=0;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Wⱼ,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·q</w:t>
            </w:r>
            <w:proofErr w:type="spellEnd"/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weights direct solver to high-attack-load zones</w:t>
            </w:r>
          </w:p>
          <w:p w14:paraId="52D80A2A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450AC839" w14:textId="00BBA5DC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Deploy where attacks </w:t>
            </w:r>
            <w:r w:rsidR="00F956BE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happen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— a honeypot in an attack-free zone is operationally worthless.</w:t>
            </w:r>
          </w:p>
          <w:p w14:paraId="49AFF9D0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Zone 1 (DMZ) sustains 45% of all attacks with 15% of assets — W weights direct the solver there first, not to a low-traffic management subnet</w:t>
            </w:r>
          </w:p>
        </w:tc>
      </w:tr>
      <w:tr w:rsidR="00941E8A" w14:paraId="2492617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025A22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O2 — Technique Coverage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887B7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L2-tech bonus zone-pinned, time-verified, persona-weighted by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>; technique credit requires live persona</w:t>
            </w:r>
          </w:p>
          <w:p w14:paraId="1C8B6E9E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C1F75E5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An attacker who knows certain ATT&amp;CK techniques go undetected will use exactly those — breadth across the technique matrix closes that gap.</w:t>
            </w:r>
          </w:p>
          <w:p w14:paraId="4DFAAB8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if T1048 (Exfiltration) and T1572 (Protocol Tunneling) are uncovered, an attacker switches to those and exits undetected; L2-tech clauses reward covering each distinct technique</w:t>
            </w:r>
          </w:p>
        </w:tc>
      </w:tr>
      <w:tr w:rsidR="00941E8A" w14:paraId="5929079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B2A1EC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O3 — Tactic-Family Breadth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AA65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L2-fam 1.2× bonus for each newly covered tactic family at slot t with undiscovered persona</w:t>
            </w:r>
          </w:p>
          <w:p w14:paraId="3BCC15A6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F67441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An attacker blocked in one tactic family will shift to another — coverage must span families, not just techniques within one.</w:t>
            </w:r>
          </w:p>
          <w:p w14:paraId="57AB13F2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if all honeypots cover Lateral Movement only, an attacker shifts to Initial Access (T1190, T1133) and enters unmonitored; the 1.2× bonus makes covering a new family always worth a marginal technique repeat</w:t>
            </w:r>
          </w:p>
        </w:tc>
      </w:tr>
      <w:tr w:rsidR="00941E8A" w14:paraId="3E0AD4F7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156CE0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O4 — Early Interception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E7D41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L4 1000× priority requires zone-specific deployment at non-final hop at active slot with valid persona;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EarlyPct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= 100% at all scales</w:t>
            </w:r>
          </w:p>
          <w:p w14:paraId="1418031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83ACF48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Catching the attacker at hop 1 prevents all subsequent damage; catching them at the last hop only records it — prevention is worth 1000× forensics.</w:t>
            </w:r>
          </w:p>
          <w:p w14:paraId="032F062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catching the attacker at DMZ hop 1 (web entry) prevents them reaching the Internal DB entirely; catching them at the final DB hop means data is already accessible</w:t>
            </w:r>
          </w:p>
        </w:tc>
      </w:tr>
      <w:tr w:rsidR="00941E8A" w14:paraId="4806A83D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8CB52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O5 — Forensic Backward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BCCD2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L3-bwd 0.7 discount preserved, zone-pinned, slot-indexed, persona-verified; prevention–forensics separation maintained</w:t>
            </w:r>
          </w:p>
          <w:p w14:paraId="26161147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7A1A3AA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Forensic evidence still has value for attribution and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response, but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must be explicitly discounted so the solver does not confuse it with prevention.</w:t>
            </w:r>
          </w:p>
          <w:p w14:paraId="4F10868D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a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the final hop catches the attacker post-compromise and logs T1213 for attribution; valuable for incident response but worth 0.7× a prevention trap at the same cost</w:t>
            </w:r>
          </w:p>
        </w:tc>
      </w:tr>
      <w:tr w:rsidR="00941E8A" w14:paraId="6942492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70FDE8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O6 — Multi-Path Coverage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C98DA5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All P paths encoded simultaneously; cross-path force-multiplier 2.0–2.2× preserved;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amplifies credit on threat-relevant personas</w:t>
            </w:r>
          </w:p>
          <w:p w14:paraId="664B96AE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CE083B3" w14:textId="6825D631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A solver that </w:t>
            </w:r>
            <w:r w:rsidR="00DB2DC9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optimizes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one path at a time will leave alternative routes open — all paths must be encoded simultaneously.</w:t>
            </w:r>
          </w:p>
          <w:p w14:paraId="4C2958D9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one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Zone 2 covers hop 2 of three concurrent paths simultaneously, earning 3.6 L3 credit versus 1.7 for greedy — the 2.1× force-multiplier advantage</w:t>
            </w:r>
          </w:p>
        </w:tc>
      </w:tr>
      <w:tr w:rsidR="00941E8A" w14:paraId="667E233D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FE6D70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 xml:space="preserve">D1 —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Multi-zone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 xml:space="preserve"> + air gaps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B92199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Zone z is first-class index of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xᵢ,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>;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C5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air-gap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and C3 per-zone budgets enforced per slot</w:t>
            </w:r>
          </w:p>
          <w:p w14:paraId="664AE876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62C4D6B3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Enterprise networks are partitioned — a placement framework that treats the network as flat cannot enforce zone constraints or model isolation.</w:t>
            </w:r>
          </w:p>
          <w:p w14:paraId="346D7715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is valid only in OT (Zone 4); deploying it in DMZ violates C5; per-zone budget B_{OT} = 2,000 caps how much can run there regardless of global budget</w:t>
            </w:r>
          </w:p>
        </w:tc>
      </w:tr>
      <w:tr w:rsidR="00941E8A" w14:paraId="32DF8E1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AC75C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D2 — Attack-path ordering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5ED2FC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C10 eliminates gap slots; C11 + C13 tighten type- and persona-rotation under rising ρπ — temporal + persona attack-path coverage</w:t>
            </w:r>
          </w:p>
          <w:p w14:paraId="46D10116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5B238647" w14:textId="5062CD84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Hop order matters — the solver must know which deployments prevent versus which only </w:t>
            </w:r>
            <w:r w:rsidR="00DB2DC9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record and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must eliminate temporal gaps on dangerous paths.</w:t>
            </w:r>
          </w:p>
          <w:p w14:paraId="7CE33119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without C10, a solver could leave month 3 uncovered on the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path (ρ=0.30, H=4 → must cover ≥2 slots); an attacker who knows the rotation waits for month 3</w:t>
            </w:r>
          </w:p>
        </w:tc>
      </w:tr>
      <w:tr w:rsidR="00941E8A" w14:paraId="25E851FD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5A9B2A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D3 — ATT&amp;CK objectives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F647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L2-tech and L2-fam soft clauses cover diverse techniques and tactic families as live solver objectives, zone-specific and persona-weighted by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>; technique credit requires an undiscovered persona at the active slot</w:t>
            </w:r>
          </w:p>
          <w:p w14:paraId="43BCEFC8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lastRenderedPageBreak/>
              <w:t>Philosophy</w:t>
            </w:r>
          </w:p>
          <w:p w14:paraId="4247B65B" w14:textId="28CE8575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Technique and family diversity cannot emerge from path-weight </w:t>
            </w:r>
            <w:r w:rsidR="003740D5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optimization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alone — they require explicit coverage objectives in the solver.</w:t>
            </w:r>
          </w:p>
          <w:p w14:paraId="542B8DB6" w14:textId="3249A832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a solver </w:t>
            </w:r>
            <w:r w:rsidR="003740D5"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maximizing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path-weight alone deploys five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all covering T1021; L2-tech bonus forces it to add a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dns_trap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(T1572) and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(T1048) for technique-breadth credit</w:t>
            </w:r>
          </w:p>
        </w:tc>
      </w:tr>
      <w:tr w:rsidR="00941E8A" w14:paraId="6489F9CE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9E2CB4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lastRenderedPageBreak/>
              <w:t>D4 — Budget + conflicts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25CE68" w14:textId="77777777" w:rsidR="00941E8A" w:rsidRDefault="00941E8A" w:rsidP="00B05EF4"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costᵢ,z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per-zone per-slot; C4 type-conflict and C12 persona-conflict both checked per slot; C8 churn limit prevents budget waste</w:t>
            </w:r>
          </w:p>
          <w:p w14:paraId="346C3D87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7814467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Real deployments face hard spending limits and physical incompatibilities — these must be inviolable constraints, not soft preferences.</w:t>
            </w:r>
          </w:p>
          <w:p w14:paraId="7529ED85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without C3, the solver would spend the entire B_{OT} = 2,000 on SCADA traps and leave Internal unmonitored; C4 prevents deploying both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generic_trap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dns_trap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together</w:t>
            </w:r>
          </w:p>
        </w:tc>
      </w:tr>
      <w:tr w:rsidR="00941E8A" w14:paraId="0BAD77F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4142A8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D5 — Optimality certificate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A6F35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RC2 certifies optimality over full (type, zone, slot, persona) space; NP-hardness holds for extended formulation by reduction from base proof</w:t>
            </w:r>
          </w:p>
          <w:p w14:paraId="35D0F418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C3100C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 heuristic cannot prove it found the best placement — only a complete solver can certify that no better solution exists within the constraints.</w:t>
            </w:r>
          </w:p>
          <w:p w14:paraId="6EF6C34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Greedy-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BiDir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scores Q = 53.69 at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XLarge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; RC2 certifies Q = 71.39 is optimal — no feasible placement within C1–C13 can score higher; a greedy method cannot make this claim</w:t>
            </w:r>
          </w:p>
        </w:tc>
      </w:tr>
      <w:tr w:rsidR="00941E8A" w14:paraId="0956CF1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03964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D6 — Persona / identity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06721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Persona p is first-class index; C12 persona-conflict and C13 persona-rotation are hard clauses; Algorithm 1 adjusts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at each threat-intel event</w:t>
            </w:r>
          </w:p>
          <w:p w14:paraId="2B52CD9E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2A6FF57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Attackers fingerprint identities, not just services — persona must be a first-class solver variable with hard constraints, not a narrative add-on.</w:t>
            </w:r>
          </w:p>
          <w:p w14:paraId="7B9E776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without C12/C13, the solver could assign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to both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DMZ at t=2, or keep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Finance_DB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visible for 6 months — an attacker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recognises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the duplicate or maps the persistent one</w:t>
            </w:r>
          </w:p>
        </w:tc>
      </w:tr>
    </w:tbl>
    <w:p w14:paraId="6253226E" w14:textId="77777777" w:rsidR="00941E8A" w:rsidRDefault="00941E8A" w:rsidP="00941E8A">
      <w:pPr>
        <w:spacing w:after="200"/>
      </w:pPr>
    </w:p>
    <w:p w14:paraId="2A5CD2F1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I. Complexity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9"/>
        <w:gridCol w:w="8731"/>
      </w:tblGrid>
      <w:tr w:rsidR="00941E8A" w14:paraId="4C3BCBB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7A4F00"/>
              <w:left w:val="single" w:sz="8" w:space="0" w:color="7A4F00"/>
              <w:bottom w:val="single" w:sz="8" w:space="0" w:color="7A4F00"/>
              <w:right w:val="single" w:sz="8" w:space="0" w:color="7A4F00"/>
            </w:tcBorders>
            <w:shd w:val="clear" w:color="auto" w:fill="7A4F0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615407E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SCALE</w:t>
            </w:r>
          </w:p>
        </w:tc>
        <w:tc>
          <w:tcPr>
            <w:tcW w:w="9100" w:type="dxa"/>
            <w:tcBorders>
              <w:top w:val="single" w:sz="8" w:space="0" w:color="7A4F00"/>
              <w:left w:val="none" w:sz="0" w:space="0" w:color="FFFFFF"/>
              <w:bottom w:val="single" w:sz="8" w:space="0" w:color="7A4F00"/>
              <w:right w:val="single" w:sz="8" w:space="0" w:color="7A4F00"/>
            </w:tcBorders>
            <w:shd w:val="clear" w:color="auto" w:fill="FFF3C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57EC8D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primary decision space |K|·|Z|·H·|P| is independent of network size — Z is five fixed zone categories, not a per-host index. A 50-host site and a 50,000-host enterprise produce the same primary variable count.</w:t>
            </w:r>
          </w:p>
          <w:p w14:paraId="201AC1B4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This is a deliberate design choice: the solver decides where in the zone topology to deploy, not which specific host to target. Intra-zone asset heterogeneity is captured through aggregated weights W_{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} and per-zone budgets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B_z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  <w:p w14:paraId="3D85E01F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soft-clause database DOES grow with network size: detection clauses c_{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j,a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} run over all assets a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A, giving O(|K|·|A|·|T|·H·|P|) total clauses. Per-zone decomposition (base paper Section IV-I) contains this growth by partitioning assets into five independent sub-instances solved in parallel.</w:t>
            </w:r>
          </w:p>
          <w:p w14:paraId="53F3D4E9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NP-hardness lives in the clause database (|A|·|T| coverage structure), not in the primary variable count — the result holds even though |K|·|Z|·H·|P| is small in practice.</w:t>
            </w:r>
          </w:p>
        </w:tc>
      </w:tr>
    </w:tbl>
    <w:p w14:paraId="2D02A929" w14:textId="77777777" w:rsidR="00941E8A" w:rsidRDefault="00941E8A" w:rsidP="00941E8A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1EC28CB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204B8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Primary variables:  |K| · |Z| · H · |P|</w:t>
            </w:r>
          </w:p>
          <w:p w14:paraId="23FE7EBE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XLarge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(8 types, 5 zones): 40|P|H — INDEPENDENT of network size |A|.</w:t>
            </w:r>
          </w:p>
          <w:p w14:paraId="75510CC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A 50-host and a 50,000-host enterprise produce the same variable count.</w:t>
            </w:r>
          </w:p>
          <w:p w14:paraId="4164DCC7" w14:textId="77777777" w:rsidR="00941E8A" w:rsidRDefault="00941E8A" w:rsidP="00B05EF4"/>
          <w:p w14:paraId="5576A31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Soft-clause DB: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O(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|K| · |A| · |T| · H · |P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|)   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grows linearly with |A|.</w:t>
            </w:r>
          </w:p>
          <w:p w14:paraId="435ACF24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This is the practical scaling bottleneck at large networks.</w:t>
            </w:r>
          </w:p>
          <w:p w14:paraId="0DC97D9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Per-zone decomposition partitions |A| into 5 sub-instances</w:t>
            </w:r>
          </w:p>
          <w:p w14:paraId="05E481D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solved in parallel, keeping per-core runtime tractable.</w:t>
            </w:r>
          </w:p>
          <w:p w14:paraId="2A570455" w14:textId="77777777" w:rsidR="00941E8A" w:rsidRDefault="00941E8A" w:rsidP="00B05EF4"/>
          <w:p w14:paraId="674DECD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Worst-case solve:   O(2^{40|P|H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})  —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over primary variables only.</w:t>
            </w:r>
          </w:p>
          <w:p w14:paraId="33831A1E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 xml:space="preserve">                    Practical hardness scales with clause database, not variable count.</w:t>
            </w:r>
          </w:p>
          <w:p w14:paraId="478DC4F8" w14:textId="77777777" w:rsidR="00941E8A" w:rsidRDefault="00941E8A" w:rsidP="00B05EF4"/>
          <w:p w14:paraId="24CA304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RC2 empirical:      ≈30s × H × |P| per zone (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XLarge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zone-decomposed).</w:t>
            </w:r>
          </w:p>
          <w:p w14:paraId="7BAB6AA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Warm-start Algorithm 1: &lt;5s for soft-weight updates.</w:t>
            </w:r>
          </w:p>
          <w:p w14:paraId="7A28B9AD" w14:textId="77777777" w:rsidR="00941E8A" w:rsidRDefault="00941E8A" w:rsidP="00B05EF4"/>
          <w:p w14:paraId="076816A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Backward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compat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:    |P|=1              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xᵢ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z,t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(zone-slot formulation)</w:t>
            </w:r>
          </w:p>
          <w:p w14:paraId="3F3A322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|P|=1, H=1,</w:t>
            </w:r>
          </w:p>
          <w:p w14:paraId="36A1E29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τᵈ=∞, |ZKᵢ|=1   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xᵢ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(original base paper)</w:t>
            </w:r>
          </w:p>
          <w:p w14:paraId="7B7DD8EC" w14:textId="77777777" w:rsidR="00941E8A" w:rsidRDefault="00941E8A" w:rsidP="00B05EF4"/>
          <w:p w14:paraId="25F7C66E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NP-hardness:        Preserved via the base-paper reduction from Weighted Maximum</w:t>
            </w:r>
          </w:p>
          <w:p w14:paraId="2D8424A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Coverage (Theorem 1, Feige 1998). Hardness is constructed over</w:t>
            </w:r>
          </w:p>
          <w:p w14:paraId="417E16F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the asset-technique coverage structure (|A|·|T| terms), not over</w:t>
            </w:r>
          </w:p>
          <w:p w14:paraId="1D430F5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the zone-slot-persona variable count. Setting |P|=1 recovers the</w:t>
            </w:r>
          </w:p>
          <w:p w14:paraId="30AF624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one-zone reduction; |P|&gt;1 is strictly harder.</w:t>
            </w:r>
          </w:p>
          <w:p w14:paraId="53592A8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The result holds even though |K|·|Z|·H·|P| is small in practice.</w:t>
            </w:r>
          </w:p>
        </w:tc>
      </w:tr>
    </w:tbl>
    <w:p w14:paraId="289CF703" w14:textId="77777777" w:rsidR="00941E8A" w:rsidRDefault="00941E8A" w:rsidP="00941E8A">
      <w:pPr>
        <w:spacing w:after="200"/>
      </w:pPr>
    </w:p>
    <w:bookmarkEnd w:id="0"/>
    <w:p w14:paraId="3DF5D32F" w14:textId="77777777" w:rsidR="00E47418" w:rsidRPr="00941E8A" w:rsidRDefault="00E47418" w:rsidP="00941E8A"/>
    <w:sectPr w:rsidR="00E47418" w:rsidRPr="00941E8A" w:rsidSect="00941E8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36501" w14:textId="77777777" w:rsidR="007159F7" w:rsidRDefault="007159F7" w:rsidP="005B60DE">
      <w:r>
        <w:separator/>
      </w:r>
    </w:p>
  </w:endnote>
  <w:endnote w:type="continuationSeparator" w:id="0">
    <w:p w14:paraId="1ADCF81B" w14:textId="77777777" w:rsidR="007159F7" w:rsidRDefault="007159F7" w:rsidP="005B60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E05AD" w14:textId="77777777" w:rsidR="007159F7" w:rsidRDefault="007159F7" w:rsidP="005B60DE">
      <w:r>
        <w:separator/>
      </w:r>
    </w:p>
  </w:footnote>
  <w:footnote w:type="continuationSeparator" w:id="0">
    <w:p w14:paraId="06D2D38A" w14:textId="77777777" w:rsidR="007159F7" w:rsidRDefault="007159F7" w:rsidP="005B60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2563"/>
    <w:multiLevelType w:val="multilevel"/>
    <w:tmpl w:val="DB00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65403"/>
    <w:multiLevelType w:val="hybridMultilevel"/>
    <w:tmpl w:val="82348972"/>
    <w:lvl w:ilvl="0" w:tplc="178007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9B4DC1"/>
    <w:multiLevelType w:val="multilevel"/>
    <w:tmpl w:val="4B08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150749"/>
    <w:multiLevelType w:val="hybridMultilevel"/>
    <w:tmpl w:val="4B00AF08"/>
    <w:lvl w:ilvl="0" w:tplc="735643F0">
      <w:start w:val="1"/>
      <w:numFmt w:val="bullet"/>
      <w:lvlText w:val="•"/>
      <w:lvlJc w:val="left"/>
      <w:pPr>
        <w:ind w:left="480" w:hanging="260"/>
      </w:pPr>
      <w:rPr>
        <w:rFonts w:ascii="Arial" w:eastAsia="Arial" w:hAnsi="Arial" w:cs="Arial"/>
        <w:sz w:val="20"/>
        <w:szCs w:val="20"/>
      </w:rPr>
    </w:lvl>
    <w:lvl w:ilvl="1" w:tplc="98FEF408">
      <w:numFmt w:val="decimal"/>
      <w:lvlText w:val=""/>
      <w:lvlJc w:val="left"/>
    </w:lvl>
    <w:lvl w:ilvl="2" w:tplc="861AF1C4">
      <w:numFmt w:val="decimal"/>
      <w:lvlText w:val=""/>
      <w:lvlJc w:val="left"/>
    </w:lvl>
    <w:lvl w:ilvl="3" w:tplc="71649868">
      <w:numFmt w:val="decimal"/>
      <w:lvlText w:val=""/>
      <w:lvlJc w:val="left"/>
    </w:lvl>
    <w:lvl w:ilvl="4" w:tplc="3C5270E8">
      <w:numFmt w:val="decimal"/>
      <w:lvlText w:val=""/>
      <w:lvlJc w:val="left"/>
    </w:lvl>
    <w:lvl w:ilvl="5" w:tplc="0F42CC94">
      <w:numFmt w:val="decimal"/>
      <w:lvlText w:val=""/>
      <w:lvlJc w:val="left"/>
    </w:lvl>
    <w:lvl w:ilvl="6" w:tplc="CD2EDF46">
      <w:numFmt w:val="decimal"/>
      <w:lvlText w:val=""/>
      <w:lvlJc w:val="left"/>
    </w:lvl>
    <w:lvl w:ilvl="7" w:tplc="0A34AA08">
      <w:numFmt w:val="decimal"/>
      <w:lvlText w:val=""/>
      <w:lvlJc w:val="left"/>
    </w:lvl>
    <w:lvl w:ilvl="8" w:tplc="97E84BA0">
      <w:numFmt w:val="decimal"/>
      <w:lvlText w:val=""/>
      <w:lvlJc w:val="left"/>
    </w:lvl>
  </w:abstractNum>
  <w:abstractNum w:abstractNumId="4" w15:restartNumberingAfterBreak="0">
    <w:nsid w:val="3A5D4018"/>
    <w:multiLevelType w:val="multilevel"/>
    <w:tmpl w:val="21507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BF4C0F"/>
    <w:multiLevelType w:val="hybridMultilevel"/>
    <w:tmpl w:val="F1F4B46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275B0D"/>
    <w:multiLevelType w:val="multilevel"/>
    <w:tmpl w:val="8212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E67A0F"/>
    <w:multiLevelType w:val="multilevel"/>
    <w:tmpl w:val="E0F0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BE2DCD"/>
    <w:multiLevelType w:val="hybridMultilevel"/>
    <w:tmpl w:val="822A18EE"/>
    <w:lvl w:ilvl="0" w:tplc="EC8681C4">
      <w:start w:val="1"/>
      <w:numFmt w:val="bullet"/>
      <w:lvlText w:val="●"/>
      <w:lvlJc w:val="left"/>
      <w:pPr>
        <w:ind w:left="720" w:hanging="360"/>
      </w:pPr>
    </w:lvl>
    <w:lvl w:ilvl="1" w:tplc="B18E39AC">
      <w:start w:val="1"/>
      <w:numFmt w:val="bullet"/>
      <w:lvlText w:val="○"/>
      <w:lvlJc w:val="left"/>
      <w:pPr>
        <w:ind w:left="1440" w:hanging="360"/>
      </w:pPr>
    </w:lvl>
    <w:lvl w:ilvl="2" w:tplc="D4BA6326">
      <w:start w:val="1"/>
      <w:numFmt w:val="bullet"/>
      <w:lvlText w:val="■"/>
      <w:lvlJc w:val="left"/>
      <w:pPr>
        <w:ind w:left="2160" w:hanging="360"/>
      </w:pPr>
    </w:lvl>
    <w:lvl w:ilvl="3" w:tplc="39A861CE">
      <w:start w:val="1"/>
      <w:numFmt w:val="bullet"/>
      <w:lvlText w:val="●"/>
      <w:lvlJc w:val="left"/>
      <w:pPr>
        <w:ind w:left="2880" w:hanging="360"/>
      </w:pPr>
    </w:lvl>
    <w:lvl w:ilvl="4" w:tplc="B532DE4A">
      <w:start w:val="1"/>
      <w:numFmt w:val="bullet"/>
      <w:lvlText w:val="○"/>
      <w:lvlJc w:val="left"/>
      <w:pPr>
        <w:ind w:left="3600" w:hanging="360"/>
      </w:pPr>
    </w:lvl>
    <w:lvl w:ilvl="5" w:tplc="77AECD04">
      <w:start w:val="1"/>
      <w:numFmt w:val="bullet"/>
      <w:lvlText w:val="■"/>
      <w:lvlJc w:val="left"/>
      <w:pPr>
        <w:ind w:left="4320" w:hanging="360"/>
      </w:pPr>
    </w:lvl>
    <w:lvl w:ilvl="6" w:tplc="91366382">
      <w:start w:val="1"/>
      <w:numFmt w:val="bullet"/>
      <w:lvlText w:val="●"/>
      <w:lvlJc w:val="left"/>
      <w:pPr>
        <w:ind w:left="5040" w:hanging="360"/>
      </w:pPr>
    </w:lvl>
    <w:lvl w:ilvl="7" w:tplc="D834C686">
      <w:start w:val="1"/>
      <w:numFmt w:val="bullet"/>
      <w:lvlText w:val="●"/>
      <w:lvlJc w:val="left"/>
      <w:pPr>
        <w:ind w:left="5760" w:hanging="360"/>
      </w:pPr>
    </w:lvl>
    <w:lvl w:ilvl="8" w:tplc="798EDC6E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D6269D4"/>
    <w:multiLevelType w:val="multilevel"/>
    <w:tmpl w:val="78A6E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6546684">
    <w:abstractNumId w:val="6"/>
  </w:num>
  <w:num w:numId="2" w16cid:durableId="232357009">
    <w:abstractNumId w:val="7"/>
  </w:num>
  <w:num w:numId="3" w16cid:durableId="768549773">
    <w:abstractNumId w:val="8"/>
    <w:lvlOverride w:ilvl="0">
      <w:startOverride w:val="1"/>
    </w:lvlOverride>
  </w:num>
  <w:num w:numId="4" w16cid:durableId="1068069234">
    <w:abstractNumId w:val="2"/>
  </w:num>
  <w:num w:numId="5" w16cid:durableId="353658863">
    <w:abstractNumId w:val="5"/>
  </w:num>
  <w:num w:numId="6" w16cid:durableId="388845219">
    <w:abstractNumId w:val="1"/>
  </w:num>
  <w:num w:numId="7" w16cid:durableId="735204045">
    <w:abstractNumId w:val="0"/>
  </w:num>
  <w:num w:numId="8" w16cid:durableId="1732147701">
    <w:abstractNumId w:val="4"/>
  </w:num>
  <w:num w:numId="9" w16cid:durableId="1973367779">
    <w:abstractNumId w:val="9"/>
  </w:num>
  <w:num w:numId="10" w16cid:durableId="24996690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FBD"/>
    <w:rsid w:val="00001870"/>
    <w:rsid w:val="0001488F"/>
    <w:rsid w:val="000263A6"/>
    <w:rsid w:val="0002640E"/>
    <w:rsid w:val="00034111"/>
    <w:rsid w:val="000402B5"/>
    <w:rsid w:val="00052F7F"/>
    <w:rsid w:val="000626AF"/>
    <w:rsid w:val="00066199"/>
    <w:rsid w:val="000673DC"/>
    <w:rsid w:val="00072CFC"/>
    <w:rsid w:val="00094891"/>
    <w:rsid w:val="000A1328"/>
    <w:rsid w:val="000C25CD"/>
    <w:rsid w:val="000E3455"/>
    <w:rsid w:val="00103D97"/>
    <w:rsid w:val="00110CD8"/>
    <w:rsid w:val="00120F31"/>
    <w:rsid w:val="00125C65"/>
    <w:rsid w:val="001377AF"/>
    <w:rsid w:val="0015404C"/>
    <w:rsid w:val="00161886"/>
    <w:rsid w:val="0018555B"/>
    <w:rsid w:val="0019112D"/>
    <w:rsid w:val="00197E2C"/>
    <w:rsid w:val="001B0FCC"/>
    <w:rsid w:val="001B3886"/>
    <w:rsid w:val="001C676F"/>
    <w:rsid w:val="001D7559"/>
    <w:rsid w:val="001D7663"/>
    <w:rsid w:val="001E3DFF"/>
    <w:rsid w:val="001F505C"/>
    <w:rsid w:val="00216037"/>
    <w:rsid w:val="00227078"/>
    <w:rsid w:val="00227978"/>
    <w:rsid w:val="00231794"/>
    <w:rsid w:val="002534A5"/>
    <w:rsid w:val="00254A26"/>
    <w:rsid w:val="00257DA7"/>
    <w:rsid w:val="0027385D"/>
    <w:rsid w:val="00276C54"/>
    <w:rsid w:val="00283F4B"/>
    <w:rsid w:val="00287854"/>
    <w:rsid w:val="00290D67"/>
    <w:rsid w:val="002B05CC"/>
    <w:rsid w:val="002B0FBC"/>
    <w:rsid w:val="002D1256"/>
    <w:rsid w:val="002E1FBD"/>
    <w:rsid w:val="002E48F2"/>
    <w:rsid w:val="002E5B06"/>
    <w:rsid w:val="002F2403"/>
    <w:rsid w:val="00300B7E"/>
    <w:rsid w:val="0030215D"/>
    <w:rsid w:val="00317D7A"/>
    <w:rsid w:val="00323C71"/>
    <w:rsid w:val="003269E9"/>
    <w:rsid w:val="0033584B"/>
    <w:rsid w:val="00335CA9"/>
    <w:rsid w:val="003441BE"/>
    <w:rsid w:val="003451AA"/>
    <w:rsid w:val="003740D5"/>
    <w:rsid w:val="00394655"/>
    <w:rsid w:val="003B08F7"/>
    <w:rsid w:val="003C0EEB"/>
    <w:rsid w:val="003C3691"/>
    <w:rsid w:val="003C36F7"/>
    <w:rsid w:val="003F34E4"/>
    <w:rsid w:val="003F3CB6"/>
    <w:rsid w:val="0040555A"/>
    <w:rsid w:val="0041319A"/>
    <w:rsid w:val="00414EA1"/>
    <w:rsid w:val="0042257E"/>
    <w:rsid w:val="00436ECF"/>
    <w:rsid w:val="00457487"/>
    <w:rsid w:val="004706D0"/>
    <w:rsid w:val="00476033"/>
    <w:rsid w:val="00490740"/>
    <w:rsid w:val="00494849"/>
    <w:rsid w:val="004B091E"/>
    <w:rsid w:val="004C7E63"/>
    <w:rsid w:val="004D4391"/>
    <w:rsid w:val="004F2C9F"/>
    <w:rsid w:val="004F5277"/>
    <w:rsid w:val="005046E9"/>
    <w:rsid w:val="005108A6"/>
    <w:rsid w:val="0052103B"/>
    <w:rsid w:val="005211FF"/>
    <w:rsid w:val="005258E3"/>
    <w:rsid w:val="00532E3E"/>
    <w:rsid w:val="005334C5"/>
    <w:rsid w:val="00536D11"/>
    <w:rsid w:val="00547957"/>
    <w:rsid w:val="005526C2"/>
    <w:rsid w:val="005730EE"/>
    <w:rsid w:val="005A1C21"/>
    <w:rsid w:val="005B493B"/>
    <w:rsid w:val="005B60DE"/>
    <w:rsid w:val="005C4D27"/>
    <w:rsid w:val="005C6456"/>
    <w:rsid w:val="005D30C0"/>
    <w:rsid w:val="005E35F4"/>
    <w:rsid w:val="005F4DFC"/>
    <w:rsid w:val="005F5091"/>
    <w:rsid w:val="00612D7C"/>
    <w:rsid w:val="0062073C"/>
    <w:rsid w:val="00627A6F"/>
    <w:rsid w:val="00635CF7"/>
    <w:rsid w:val="00636588"/>
    <w:rsid w:val="00652BF2"/>
    <w:rsid w:val="00654F35"/>
    <w:rsid w:val="00661D43"/>
    <w:rsid w:val="00667DA9"/>
    <w:rsid w:val="00676522"/>
    <w:rsid w:val="00687D14"/>
    <w:rsid w:val="006A6093"/>
    <w:rsid w:val="006B2336"/>
    <w:rsid w:val="006B26C6"/>
    <w:rsid w:val="006C214C"/>
    <w:rsid w:val="006D1D2B"/>
    <w:rsid w:val="006F0952"/>
    <w:rsid w:val="006F36FE"/>
    <w:rsid w:val="006F39AF"/>
    <w:rsid w:val="006F49ED"/>
    <w:rsid w:val="006F646F"/>
    <w:rsid w:val="0070014D"/>
    <w:rsid w:val="00704B8F"/>
    <w:rsid w:val="007071BE"/>
    <w:rsid w:val="00713644"/>
    <w:rsid w:val="007149E9"/>
    <w:rsid w:val="007159F7"/>
    <w:rsid w:val="007450E4"/>
    <w:rsid w:val="007766DA"/>
    <w:rsid w:val="00783FAF"/>
    <w:rsid w:val="00785DAD"/>
    <w:rsid w:val="007967CA"/>
    <w:rsid w:val="007A67EA"/>
    <w:rsid w:val="007B4C85"/>
    <w:rsid w:val="007C030D"/>
    <w:rsid w:val="007C07FA"/>
    <w:rsid w:val="007E36B7"/>
    <w:rsid w:val="007F71FE"/>
    <w:rsid w:val="007F77BB"/>
    <w:rsid w:val="00800385"/>
    <w:rsid w:val="0082004E"/>
    <w:rsid w:val="00823E2B"/>
    <w:rsid w:val="0084287D"/>
    <w:rsid w:val="00843662"/>
    <w:rsid w:val="008A31AC"/>
    <w:rsid w:val="008C597F"/>
    <w:rsid w:val="008D5B76"/>
    <w:rsid w:val="00906EAC"/>
    <w:rsid w:val="00915D6D"/>
    <w:rsid w:val="00922748"/>
    <w:rsid w:val="00941E8A"/>
    <w:rsid w:val="00956838"/>
    <w:rsid w:val="00983746"/>
    <w:rsid w:val="00986DD7"/>
    <w:rsid w:val="009A5752"/>
    <w:rsid w:val="009A582A"/>
    <w:rsid w:val="009C1A13"/>
    <w:rsid w:val="009E361E"/>
    <w:rsid w:val="009E38A9"/>
    <w:rsid w:val="00A11679"/>
    <w:rsid w:val="00A200D7"/>
    <w:rsid w:val="00A25FD4"/>
    <w:rsid w:val="00A35C44"/>
    <w:rsid w:val="00A42169"/>
    <w:rsid w:val="00A50640"/>
    <w:rsid w:val="00A6715C"/>
    <w:rsid w:val="00A72DFC"/>
    <w:rsid w:val="00A74423"/>
    <w:rsid w:val="00A77DD8"/>
    <w:rsid w:val="00AC2EC5"/>
    <w:rsid w:val="00AD1777"/>
    <w:rsid w:val="00AD23E1"/>
    <w:rsid w:val="00AE2101"/>
    <w:rsid w:val="00AF0C1B"/>
    <w:rsid w:val="00AF64ED"/>
    <w:rsid w:val="00B117FD"/>
    <w:rsid w:val="00B234A5"/>
    <w:rsid w:val="00B24641"/>
    <w:rsid w:val="00B25ECE"/>
    <w:rsid w:val="00B27613"/>
    <w:rsid w:val="00B42C91"/>
    <w:rsid w:val="00B4450C"/>
    <w:rsid w:val="00B610BB"/>
    <w:rsid w:val="00B7263B"/>
    <w:rsid w:val="00B8243C"/>
    <w:rsid w:val="00B90B65"/>
    <w:rsid w:val="00B97C8D"/>
    <w:rsid w:val="00BC56A7"/>
    <w:rsid w:val="00BD056B"/>
    <w:rsid w:val="00BD21A1"/>
    <w:rsid w:val="00BD37D4"/>
    <w:rsid w:val="00C00F62"/>
    <w:rsid w:val="00C10082"/>
    <w:rsid w:val="00C1150D"/>
    <w:rsid w:val="00C13CE3"/>
    <w:rsid w:val="00C42EC3"/>
    <w:rsid w:val="00C54480"/>
    <w:rsid w:val="00C5574B"/>
    <w:rsid w:val="00C758BB"/>
    <w:rsid w:val="00C90DCB"/>
    <w:rsid w:val="00CA1388"/>
    <w:rsid w:val="00CB0E68"/>
    <w:rsid w:val="00CB4317"/>
    <w:rsid w:val="00CD21B2"/>
    <w:rsid w:val="00CE5D93"/>
    <w:rsid w:val="00CF0CB0"/>
    <w:rsid w:val="00D00AC5"/>
    <w:rsid w:val="00D0395C"/>
    <w:rsid w:val="00D05A03"/>
    <w:rsid w:val="00D14F76"/>
    <w:rsid w:val="00D16176"/>
    <w:rsid w:val="00D2592C"/>
    <w:rsid w:val="00D41092"/>
    <w:rsid w:val="00D50FB1"/>
    <w:rsid w:val="00D72C12"/>
    <w:rsid w:val="00D9506B"/>
    <w:rsid w:val="00DA42EC"/>
    <w:rsid w:val="00DB2DC9"/>
    <w:rsid w:val="00DB58A6"/>
    <w:rsid w:val="00DC0B7D"/>
    <w:rsid w:val="00DC5147"/>
    <w:rsid w:val="00DD5251"/>
    <w:rsid w:val="00E0438C"/>
    <w:rsid w:val="00E0632A"/>
    <w:rsid w:val="00E06364"/>
    <w:rsid w:val="00E117DB"/>
    <w:rsid w:val="00E437CF"/>
    <w:rsid w:val="00E47418"/>
    <w:rsid w:val="00E75A08"/>
    <w:rsid w:val="00E93D00"/>
    <w:rsid w:val="00EC1D49"/>
    <w:rsid w:val="00EC6EE3"/>
    <w:rsid w:val="00ED30F7"/>
    <w:rsid w:val="00EE1B35"/>
    <w:rsid w:val="00F66EA5"/>
    <w:rsid w:val="00F76CDF"/>
    <w:rsid w:val="00F77826"/>
    <w:rsid w:val="00F94469"/>
    <w:rsid w:val="00F956BE"/>
    <w:rsid w:val="00FA2AB8"/>
    <w:rsid w:val="00FA61D0"/>
    <w:rsid w:val="00FC572A"/>
    <w:rsid w:val="00FD49E2"/>
    <w:rsid w:val="00FD71CA"/>
    <w:rsid w:val="00FE06D8"/>
    <w:rsid w:val="00FE2288"/>
    <w:rsid w:val="00FF4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EAE8E"/>
  <w15:chartTrackingRefBased/>
  <w15:docId w15:val="{CDBE340E-61EF-E744-BBB1-36D8E5329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00D7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1FB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1FB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1FB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E1FB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1FB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1FB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1FB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1FB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1FB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1F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1F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1F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E1F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1F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1F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1F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1F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1F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1FB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E1F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1FB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E1F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1FB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E1FBD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2E1FB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E1F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1F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1F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1FBD"/>
    <w:rPr>
      <w:b/>
      <w:bCs/>
      <w:smallCaps/>
      <w:color w:val="0F4761" w:themeColor="accent1" w:themeShade="BF"/>
      <w:spacing w:val="5"/>
    </w:rPr>
  </w:style>
  <w:style w:type="character" w:customStyle="1" w:styleId="sym">
    <w:name w:val="sym"/>
    <w:basedOn w:val="DefaultParagraphFont"/>
    <w:rsid w:val="00654F35"/>
  </w:style>
  <w:style w:type="character" w:customStyle="1" w:styleId="meaning">
    <w:name w:val="meaning"/>
    <w:basedOn w:val="DefaultParagraphFont"/>
    <w:rsid w:val="00654F35"/>
  </w:style>
  <w:style w:type="character" w:styleId="Strong">
    <w:name w:val="Strong"/>
    <w:basedOn w:val="DefaultParagraphFont"/>
    <w:uiPriority w:val="22"/>
    <w:qFormat/>
    <w:rsid w:val="00654F35"/>
    <w:rPr>
      <w:b/>
      <w:bCs/>
    </w:rPr>
  </w:style>
  <w:style w:type="character" w:customStyle="1" w:styleId="comment">
    <w:name w:val="comment"/>
    <w:basedOn w:val="DefaultParagraphFont"/>
    <w:rsid w:val="00654F35"/>
  </w:style>
  <w:style w:type="paragraph" w:styleId="NormalWeb">
    <w:name w:val="Normal (Web)"/>
    <w:basedOn w:val="Normal"/>
    <w:uiPriority w:val="99"/>
    <w:semiHidden/>
    <w:unhideWhenUsed/>
    <w:rsid w:val="00654F35"/>
    <w:pPr>
      <w:spacing w:before="100" w:beforeAutospacing="1" w:after="100" w:afterAutospacing="1"/>
    </w:pPr>
  </w:style>
  <w:style w:type="character" w:customStyle="1" w:styleId="chain-node">
    <w:name w:val="chain-node"/>
    <w:basedOn w:val="DefaultParagraphFont"/>
    <w:rsid w:val="00654F35"/>
  </w:style>
  <w:style w:type="character" w:customStyle="1" w:styleId="chain-arrow">
    <w:name w:val="chain-arrow"/>
    <w:basedOn w:val="DefaultParagraphFont"/>
    <w:rsid w:val="00654F35"/>
  </w:style>
  <w:style w:type="character" w:customStyle="1" w:styleId="w-pill">
    <w:name w:val="w-pill"/>
    <w:basedOn w:val="DefaultParagraphFont"/>
    <w:rsid w:val="00654F35"/>
  </w:style>
  <w:style w:type="character" w:customStyle="1" w:styleId="wval">
    <w:name w:val="wval"/>
    <w:basedOn w:val="DefaultParagraphFont"/>
    <w:rsid w:val="00654F35"/>
  </w:style>
  <w:style w:type="character" w:customStyle="1" w:styleId="badge">
    <w:name w:val="badge"/>
    <w:basedOn w:val="DefaultParagraphFont"/>
    <w:rsid w:val="00654F35"/>
  </w:style>
  <w:style w:type="character" w:customStyle="1" w:styleId="step">
    <w:name w:val="step"/>
    <w:basedOn w:val="DefaultParagraphFont"/>
    <w:rsid w:val="00654F35"/>
  </w:style>
  <w:style w:type="character" w:customStyle="1" w:styleId="kk">
    <w:name w:val="kk"/>
    <w:basedOn w:val="DefaultParagraphFont"/>
    <w:rsid w:val="00E117DB"/>
  </w:style>
  <w:style w:type="character" w:customStyle="1" w:styleId="vv">
    <w:name w:val="vv"/>
    <w:basedOn w:val="DefaultParagraphFont"/>
    <w:rsid w:val="00E117DB"/>
  </w:style>
  <w:style w:type="character" w:customStyle="1" w:styleId="mono">
    <w:name w:val="mono"/>
    <w:basedOn w:val="DefaultParagraphFont"/>
    <w:rsid w:val="00E117DB"/>
  </w:style>
  <w:style w:type="character" w:customStyle="1" w:styleId="cm">
    <w:name w:val="cm"/>
    <w:basedOn w:val="DefaultParagraphFont"/>
    <w:rsid w:val="00E117DB"/>
  </w:style>
  <w:style w:type="character" w:customStyle="1" w:styleId="lbl">
    <w:name w:val="lbl"/>
    <w:basedOn w:val="DefaultParagraphFont"/>
    <w:rsid w:val="00E117DB"/>
  </w:style>
  <w:style w:type="paragraph" w:customStyle="1" w:styleId="msonormal0">
    <w:name w:val="msonormal"/>
    <w:basedOn w:val="Normal"/>
    <w:rsid w:val="007967CA"/>
    <w:pPr>
      <w:spacing w:before="100" w:beforeAutospacing="1" w:after="100" w:afterAutospacing="1"/>
    </w:pPr>
  </w:style>
  <w:style w:type="paragraph" w:customStyle="1" w:styleId="font-claude-response-body">
    <w:name w:val="font-claude-response-body"/>
    <w:basedOn w:val="Normal"/>
    <w:rsid w:val="007967CA"/>
    <w:pPr>
      <w:spacing w:before="100" w:beforeAutospacing="1" w:after="100" w:afterAutospacing="1"/>
    </w:pPr>
  </w:style>
  <w:style w:type="character" w:customStyle="1" w:styleId="katex-display">
    <w:name w:val="katex-display"/>
    <w:basedOn w:val="DefaultParagraphFont"/>
    <w:rsid w:val="007967CA"/>
  </w:style>
  <w:style w:type="character" w:customStyle="1" w:styleId="katex">
    <w:name w:val="katex"/>
    <w:basedOn w:val="DefaultParagraphFont"/>
    <w:rsid w:val="007967CA"/>
  </w:style>
  <w:style w:type="character" w:customStyle="1" w:styleId="katex-mathml">
    <w:name w:val="katex-mathml"/>
    <w:basedOn w:val="DefaultParagraphFont"/>
    <w:rsid w:val="007967CA"/>
  </w:style>
  <w:style w:type="character" w:customStyle="1" w:styleId="katex-html">
    <w:name w:val="katex-html"/>
    <w:basedOn w:val="DefaultParagraphFont"/>
    <w:rsid w:val="007967CA"/>
  </w:style>
  <w:style w:type="character" w:customStyle="1" w:styleId="base">
    <w:name w:val="base"/>
    <w:basedOn w:val="DefaultParagraphFont"/>
    <w:rsid w:val="007967CA"/>
  </w:style>
  <w:style w:type="character" w:customStyle="1" w:styleId="strut">
    <w:name w:val="strut"/>
    <w:basedOn w:val="DefaultParagraphFont"/>
    <w:rsid w:val="007967CA"/>
  </w:style>
  <w:style w:type="character" w:customStyle="1" w:styleId="mord">
    <w:name w:val="mord"/>
    <w:basedOn w:val="DefaultParagraphFont"/>
    <w:rsid w:val="007967CA"/>
  </w:style>
  <w:style w:type="character" w:customStyle="1" w:styleId="msupsub">
    <w:name w:val="msupsub"/>
    <w:basedOn w:val="DefaultParagraphFont"/>
    <w:rsid w:val="007967CA"/>
  </w:style>
  <w:style w:type="character" w:customStyle="1" w:styleId="vlist-t">
    <w:name w:val="vlist-t"/>
    <w:basedOn w:val="DefaultParagraphFont"/>
    <w:rsid w:val="007967CA"/>
  </w:style>
  <w:style w:type="character" w:customStyle="1" w:styleId="vlist-r">
    <w:name w:val="vlist-r"/>
    <w:basedOn w:val="DefaultParagraphFont"/>
    <w:rsid w:val="007967CA"/>
  </w:style>
  <w:style w:type="character" w:customStyle="1" w:styleId="vlist">
    <w:name w:val="vlist"/>
    <w:basedOn w:val="DefaultParagraphFont"/>
    <w:rsid w:val="007967CA"/>
  </w:style>
  <w:style w:type="character" w:customStyle="1" w:styleId="pstrut">
    <w:name w:val="pstrut"/>
    <w:basedOn w:val="DefaultParagraphFont"/>
    <w:rsid w:val="007967CA"/>
  </w:style>
  <w:style w:type="character" w:customStyle="1" w:styleId="sizing">
    <w:name w:val="sizing"/>
    <w:basedOn w:val="DefaultParagraphFont"/>
    <w:rsid w:val="007967CA"/>
  </w:style>
  <w:style w:type="character" w:customStyle="1" w:styleId="mbin">
    <w:name w:val="mbin"/>
    <w:basedOn w:val="DefaultParagraphFont"/>
    <w:rsid w:val="007967CA"/>
  </w:style>
  <w:style w:type="character" w:customStyle="1" w:styleId="mspace">
    <w:name w:val="mspace"/>
    <w:basedOn w:val="DefaultParagraphFont"/>
    <w:rsid w:val="007967CA"/>
  </w:style>
  <w:style w:type="character" w:customStyle="1" w:styleId="mrel">
    <w:name w:val="mrel"/>
    <w:basedOn w:val="DefaultParagraphFont"/>
    <w:rsid w:val="007967CA"/>
  </w:style>
  <w:style w:type="character" w:customStyle="1" w:styleId="mopen">
    <w:name w:val="mopen"/>
    <w:basedOn w:val="DefaultParagraphFont"/>
    <w:rsid w:val="007967CA"/>
  </w:style>
  <w:style w:type="character" w:customStyle="1" w:styleId="mpunct">
    <w:name w:val="mpunct"/>
    <w:basedOn w:val="DefaultParagraphFont"/>
    <w:rsid w:val="007967CA"/>
  </w:style>
  <w:style w:type="character" w:customStyle="1" w:styleId="vlist-s">
    <w:name w:val="vlist-s"/>
    <w:basedOn w:val="DefaultParagraphFont"/>
    <w:rsid w:val="007967CA"/>
  </w:style>
  <w:style w:type="character" w:customStyle="1" w:styleId="mclose">
    <w:name w:val="mclose"/>
    <w:basedOn w:val="DefaultParagraphFont"/>
    <w:rsid w:val="007967CA"/>
  </w:style>
  <w:style w:type="character" w:customStyle="1" w:styleId="minner">
    <w:name w:val="minner"/>
    <w:basedOn w:val="DefaultParagraphFont"/>
    <w:rsid w:val="007967CA"/>
  </w:style>
  <w:style w:type="character" w:styleId="HTMLCode">
    <w:name w:val="HTML Code"/>
    <w:basedOn w:val="DefaultParagraphFont"/>
    <w:uiPriority w:val="99"/>
    <w:semiHidden/>
    <w:unhideWhenUsed/>
    <w:rsid w:val="007967CA"/>
    <w:rPr>
      <w:rFonts w:ascii="Courier New" w:eastAsia="Times New Roman" w:hAnsi="Courier New" w:cs="Courier New"/>
      <w:sz w:val="20"/>
      <w:szCs w:val="20"/>
    </w:rPr>
  </w:style>
  <w:style w:type="character" w:customStyle="1" w:styleId="svg-align">
    <w:name w:val="svg-align"/>
    <w:basedOn w:val="DefaultParagraphFont"/>
    <w:rsid w:val="007967CA"/>
  </w:style>
  <w:style w:type="character" w:customStyle="1" w:styleId="accent-body">
    <w:name w:val="accent-body"/>
    <w:basedOn w:val="DefaultParagraphFont"/>
    <w:rsid w:val="007967CA"/>
  </w:style>
  <w:style w:type="character" w:customStyle="1" w:styleId="mfrac">
    <w:name w:val="mfrac"/>
    <w:basedOn w:val="DefaultParagraphFont"/>
    <w:rsid w:val="007967CA"/>
  </w:style>
  <w:style w:type="character" w:customStyle="1" w:styleId="frac-line">
    <w:name w:val="frac-line"/>
    <w:basedOn w:val="DefaultParagraphFont"/>
    <w:rsid w:val="007967CA"/>
  </w:style>
  <w:style w:type="character" w:customStyle="1" w:styleId="tag">
    <w:name w:val="tag"/>
    <w:basedOn w:val="DefaultParagraphFont"/>
    <w:rsid w:val="007967CA"/>
  </w:style>
  <w:style w:type="character" w:customStyle="1" w:styleId="stretchy">
    <w:name w:val="stretchy"/>
    <w:basedOn w:val="DefaultParagraphFont"/>
    <w:rsid w:val="007967CA"/>
  </w:style>
  <w:style w:type="character" w:customStyle="1" w:styleId="brace-left">
    <w:name w:val="brace-left"/>
    <w:basedOn w:val="DefaultParagraphFont"/>
    <w:rsid w:val="007967CA"/>
  </w:style>
  <w:style w:type="character" w:customStyle="1" w:styleId="brace-center">
    <w:name w:val="brace-center"/>
    <w:basedOn w:val="DefaultParagraphFont"/>
    <w:rsid w:val="007967CA"/>
  </w:style>
  <w:style w:type="character" w:customStyle="1" w:styleId="brace-right">
    <w:name w:val="brace-right"/>
    <w:basedOn w:val="DefaultParagraphFont"/>
    <w:rsid w:val="007967CA"/>
  </w:style>
  <w:style w:type="character" w:customStyle="1" w:styleId="mop">
    <w:name w:val="mop"/>
    <w:basedOn w:val="DefaultParagraphFont"/>
    <w:rsid w:val="007967CA"/>
  </w:style>
  <w:style w:type="character" w:styleId="Emphasis">
    <w:name w:val="Emphasis"/>
    <w:basedOn w:val="DefaultParagraphFont"/>
    <w:uiPriority w:val="20"/>
    <w:qFormat/>
    <w:rsid w:val="007967CA"/>
    <w:rPr>
      <w:i/>
      <w:iCs/>
    </w:rPr>
  </w:style>
  <w:style w:type="paragraph" w:customStyle="1" w:styleId="Strong1">
    <w:name w:val="Strong1"/>
    <w:qFormat/>
    <w:rsid w:val="000C25CD"/>
    <w:pPr>
      <w:spacing w:after="0" w:line="240" w:lineRule="auto"/>
    </w:pPr>
    <w:rPr>
      <w:rFonts w:ascii="Calibri" w:eastAsia="Calibri" w:hAnsi="Calibri" w:cs="Calibri"/>
      <w:b/>
      <w:bCs/>
      <w:kern w:val="0"/>
      <w:sz w:val="20"/>
      <w:szCs w:val="20"/>
      <w14:ligatures w14:val="none"/>
    </w:rPr>
  </w:style>
  <w:style w:type="character" w:styleId="Hyperlink">
    <w:name w:val="Hyperlink"/>
    <w:uiPriority w:val="99"/>
    <w:unhideWhenUsed/>
    <w:rsid w:val="000C25CD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0C25CD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0C25CD"/>
    <w:pPr>
      <w:spacing w:after="0" w:line="240" w:lineRule="auto"/>
    </w:pPr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C25CD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uiPriority w:val="99"/>
    <w:semiHidden/>
    <w:unhideWhenUsed/>
    <w:rsid w:val="000C25CD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0C25CD"/>
    <w:pPr>
      <w:spacing w:after="0" w:line="240" w:lineRule="auto"/>
    </w:pPr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C25CD"/>
    <w:rPr>
      <w:rFonts w:ascii="Calibri" w:eastAsia="Calibri" w:hAnsi="Calibri" w:cs="Calibri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B60D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B60DE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B60D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B60DE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36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36D11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14</Pages>
  <Words>5748</Words>
  <Characters>30527</Characters>
  <Application>Microsoft Office Word</Application>
  <DocSecurity>0</DocSecurity>
  <Lines>847</Lines>
  <Paragraphs>604</Paragraphs>
  <ScaleCrop>false</ScaleCrop>
  <Company/>
  <LinksUpToDate>false</LinksUpToDate>
  <CharactersWithSpaces>35671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Tu</dc:creator>
  <cp:keywords/>
  <dc:description/>
  <cp:lastModifiedBy>Nguyen, Tu</cp:lastModifiedBy>
  <cp:revision>195</cp:revision>
  <dcterms:created xsi:type="dcterms:W3CDTF">2026-06-04T23:59:00Z</dcterms:created>
  <dcterms:modified xsi:type="dcterms:W3CDTF">2026-06-05T17:30:00Z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ec73f6c-70eb-4b84-9ffa-39fe698bd292_Enabled">
    <vt:lpwstr>true</vt:lpwstr>
  </property>
  <property fmtid="{D5CDD505-2E9C-101B-9397-08002B2CF9AE}" pid="3" name="MSIP_Label_7ec73f6c-70eb-4b84-9ffa-39fe698bd292_SetDate">
    <vt:lpwstr>2026-05-16T20:19:47Z</vt:lpwstr>
  </property>
  <property fmtid="{D5CDD505-2E9C-101B-9397-08002B2CF9AE}" pid="4" name="MSIP_Label_7ec73f6c-70eb-4b84-9ffa-39fe698bd292_Method">
    <vt:lpwstr>Privileged</vt:lpwstr>
  </property>
  <property fmtid="{D5CDD505-2E9C-101B-9397-08002B2CF9AE}" pid="5" name="MSIP_Label_7ec73f6c-70eb-4b84-9ffa-39fe698bd292_Name">
    <vt:lpwstr>Non-Business Information (NB)</vt:lpwstr>
  </property>
  <property fmtid="{D5CDD505-2E9C-101B-9397-08002B2CF9AE}" pid="6" name="MSIP_Label_7ec73f6c-70eb-4b84-9ffa-39fe698bd292_SiteId">
    <vt:lpwstr>906aefe9-76a7-4f65-b82d-5ec20775d5aa</vt:lpwstr>
  </property>
  <property fmtid="{D5CDD505-2E9C-101B-9397-08002B2CF9AE}" pid="7" name="MSIP_Label_7ec73f6c-70eb-4b84-9ffa-39fe698bd292_ActionId">
    <vt:lpwstr>fdaffb0d-a2ae-4b8c-a69e-6879ed07193c</vt:lpwstr>
  </property>
  <property fmtid="{D5CDD505-2E9C-101B-9397-08002B2CF9AE}" pid="8" name="MSIP_Label_7ec73f6c-70eb-4b84-9ffa-39fe698bd292_ContentBits">
    <vt:lpwstr>0</vt:lpwstr>
  </property>
  <property fmtid="{D5CDD505-2E9C-101B-9397-08002B2CF9AE}" pid="9" name="MSIP_Label_7ec73f6c-70eb-4b84-9ffa-39fe698bd292_Tag">
    <vt:lpwstr>50, 0, 1, 1</vt:lpwstr>
  </property>
</Properties>
</file>