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2F9765" w14:textId="77777777" w:rsidR="00D85BBA" w:rsidRDefault="00000000">
      <w:pPr>
        <w:spacing w:after="40"/>
      </w:pPr>
      <w:r>
        <w:rPr>
          <w:b/>
          <w:bCs/>
          <w:color w:val="1F4E79"/>
          <w:sz w:val="30"/>
          <w:szCs w:val="30"/>
        </w:rPr>
        <w:t>Feedback Item 6 — Revise the framing and citation support</w:t>
      </w:r>
    </w:p>
    <w:p w14:paraId="11CFDF07" w14:textId="77777777" w:rsidR="00D85BBA" w:rsidRDefault="00000000">
      <w:pPr>
        <w:spacing w:after="140"/>
      </w:pPr>
      <w:r>
        <w:rPr>
          <w:color w:val="595959"/>
          <w:sz w:val="18"/>
          <w:szCs w:val="18"/>
        </w:rPr>
        <w:t>Results from the new pipeline (</w:t>
      </w:r>
      <w:proofErr w:type="spellStart"/>
      <w:proofErr w:type="gramStart"/>
      <w:r>
        <w:rPr>
          <w:color w:val="595959"/>
          <w:sz w:val="18"/>
          <w:szCs w:val="18"/>
        </w:rPr>
        <w:t>results.json</w:t>
      </w:r>
      <w:proofErr w:type="spellEnd"/>
      <w:proofErr w:type="gramEnd"/>
      <w:r>
        <w:rPr>
          <w:color w:val="595959"/>
          <w:sz w:val="18"/>
          <w:szCs w:val="18"/>
        </w:rPr>
        <w:t>, code 3bd3a071f2d1, instance 5cb2c5f369c5); citations checked online on September 27, 2026</w:t>
      </w:r>
    </w:p>
    <w:p w14:paraId="6EABC125" w14:textId="77777777" w:rsidR="00D85BBA" w:rsidRDefault="00000000">
      <w:pPr>
        <w:spacing w:after="70"/>
      </w:pPr>
      <w:r>
        <w:rPr>
          <w:b/>
          <w:bCs/>
          <w:sz w:val="20"/>
          <w:szCs w:val="20"/>
        </w:rPr>
        <w:t>In short.</w:t>
      </w:r>
      <w:r>
        <w:rPr>
          <w:sz w:val="20"/>
          <w:szCs w:val="20"/>
        </w:rPr>
        <w:t xml:space="preserve"> Each of the four over-broad claims is replaced by a narrower claim backed by a number from the new pipeline. The contribution statement adopts the reviewer’s wording. Every reference in the introduction and related work was checked: six were wrong or unverifiable and are replaced with verified papers or reworded, and the unresolved placeholders are removed.</w:t>
      </w:r>
    </w:p>
    <w:p w14:paraId="4E1D8BB9" w14:textId="77777777" w:rsidR="00D85BBA" w:rsidRDefault="00000000">
      <w:pPr>
        <w:keepNext/>
        <w:spacing w:before="160" w:after="60"/>
      </w:pPr>
      <w:r>
        <w:rPr>
          <w:b/>
          <w:bCs/>
          <w:color w:val="1F4E79"/>
        </w:rPr>
        <w:t>1. Claims, revised to match the evidence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3"/>
        <w:gridCol w:w="6667"/>
      </w:tblGrid>
      <w:tr w:rsidR="00D85BBA" w14:paraId="39B6EA72"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E86059B" w14:textId="77777777" w:rsidR="00D85BBA" w:rsidRDefault="00000000">
            <w:r>
              <w:rPr>
                <w:b/>
                <w:bCs/>
                <w:color w:val="FFFFFF"/>
                <w:sz w:val="16"/>
                <w:szCs w:val="16"/>
              </w:rPr>
              <w:t>Current claim</w:t>
            </w:r>
          </w:p>
        </w:tc>
        <w:tc>
          <w:tcPr>
            <w:tcW w:w="702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691FD80" w14:textId="77777777" w:rsidR="00D85BBA" w:rsidRDefault="00000000">
            <w:r>
              <w:rPr>
                <w:b/>
                <w:bCs/>
                <w:color w:val="FFFFFF"/>
                <w:sz w:val="16"/>
                <w:szCs w:val="16"/>
              </w:rPr>
              <w:t>Revised claim (new pipeline)</w:t>
            </w:r>
          </w:p>
        </w:tc>
      </w:tr>
      <w:tr w:rsidR="00D85BBA" w14:paraId="329417A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4CF42D" w14:textId="77777777" w:rsidR="00D85BBA" w:rsidRDefault="00000000">
            <w:r>
              <w:rPr>
                <w:sz w:val="16"/>
                <w:szCs w:val="16"/>
              </w:rPr>
              <w:t>Every existing honeypot schedule collapses.</w:t>
            </w:r>
          </w:p>
        </w:tc>
        <w:tc>
          <w:tcPr>
            <w:tcW w:w="70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40373E" w14:textId="77777777" w:rsidR="00D85BBA" w:rsidRDefault="00000000">
            <w:r>
              <w:rPr>
                <w:sz w:val="16"/>
                <w:szCs w:val="16"/>
              </w:rPr>
              <w:t>None of the ten evaluated baselines collapses under our burn rule (a honeypot is recognized only when it repeats the previous slot). Their worst-case scores range 1,341.25 (Greedy-</w:t>
            </w:r>
            <w:proofErr w:type="spellStart"/>
            <w:r>
              <w:rPr>
                <w:sz w:val="16"/>
                <w:szCs w:val="16"/>
              </w:rPr>
              <w:t>HighRho</w:t>
            </w:r>
            <w:proofErr w:type="spellEnd"/>
            <w:r>
              <w:rPr>
                <w:sz w:val="16"/>
                <w:szCs w:val="16"/>
              </w:rPr>
              <w:t>) to 4,822.52 (Greedy-Diverse), and they lose 50–75% of their honeypots to recognition by the burst attacker. The robust RC2 schedule scores 7,052.62, 1.46× the best baseline. Under a stricter rule where a honeypot is recognized on first sight, every schedule, RC2 included, scores 0.</w:t>
            </w:r>
          </w:p>
        </w:tc>
      </w:tr>
      <w:tr w:rsidR="00D85BBA" w14:paraId="6D853B8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5BF1C6" w14:textId="77777777" w:rsidR="00D85BBA" w:rsidRDefault="00000000">
            <w:r>
              <w:rPr>
                <w:sz w:val="16"/>
                <w:szCs w:val="16"/>
              </w:rPr>
              <w:t>Greedy methods cannot enforce all hard constraints.</w:t>
            </w:r>
          </w:p>
        </w:tc>
        <w:tc>
          <w:tcPr>
            <w:tcW w:w="70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573B28" w14:textId="77777777" w:rsidR="00D85BBA" w:rsidRDefault="00000000">
            <w:r>
              <w:rPr>
                <w:sz w:val="16"/>
                <w:szCs w:val="16"/>
              </w:rPr>
              <w:t>All ten evaluated baselines break at least one hard rule (Section 3 lists which). All three RC2 schedules follow every rule. Following the rules (feasibility) and being provably best (the optimality certificate) are reported as two separate properties.</w:t>
            </w:r>
          </w:p>
        </w:tc>
      </w:tr>
      <w:tr w:rsidR="00D85BBA" w14:paraId="57BD586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49AD9E" w14:textId="77777777" w:rsidR="00D85BBA" w:rsidRDefault="00000000">
            <w:r>
              <w:rPr>
                <w:sz w:val="16"/>
                <w:szCs w:val="16"/>
              </w:rPr>
              <w:t>The result establishes robustness against nation-state adversaries generally.</w:t>
            </w:r>
          </w:p>
        </w:tc>
        <w:tc>
          <w:tcPr>
            <w:tcW w:w="70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965EBD" w14:textId="77777777" w:rsidR="00D85BBA" w:rsidRDefault="00000000">
            <w:r>
              <w:rPr>
                <w:sz w:val="16"/>
                <w:szCs w:val="16"/>
              </w:rPr>
              <w:t>The guarantee covers only the four modeled attacker types. The strongest, “burst”, probes with strength 0.85 and recognizes a repeated trap type or identity after one slot. It says nothing about attackers outside this set.</w:t>
            </w:r>
          </w:p>
        </w:tc>
      </w:tr>
      <w:tr w:rsidR="00D85BBA" w14:paraId="7960981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F5DFF5" w14:textId="77777777" w:rsidR="00D85BBA" w:rsidRDefault="00000000">
            <w:proofErr w:type="spellStart"/>
            <w:r>
              <w:rPr>
                <w:sz w:val="16"/>
                <w:szCs w:val="16"/>
              </w:rPr>
              <w:t>MaxSAT</w:t>
            </w:r>
            <w:proofErr w:type="spellEnd"/>
            <w:r>
              <w:rPr>
                <w:sz w:val="16"/>
                <w:szCs w:val="16"/>
              </w:rPr>
              <w:t xml:space="preserve"> certification establishes real-world security.</w:t>
            </w:r>
          </w:p>
        </w:tc>
        <w:tc>
          <w:tcPr>
            <w:tcW w:w="70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9D80BD" w14:textId="77777777" w:rsidR="00D85BBA" w:rsidRDefault="00000000">
            <w:r>
              <w:rPr>
                <w:sz w:val="16"/>
                <w:szCs w:val="16"/>
              </w:rPr>
              <w:t xml:space="preserve">The certificate proves the result is the best possible for the encoded model on this test network. </w:t>
            </w:r>
            <w:proofErr w:type="spellStart"/>
            <w:r>
              <w:rPr>
                <w:sz w:val="16"/>
                <w:szCs w:val="16"/>
              </w:rPr>
              <w:t>Behaviour</w:t>
            </w:r>
            <w:proofErr w:type="spellEnd"/>
            <w:r>
              <w:rPr>
                <w:sz w:val="16"/>
                <w:szCs w:val="16"/>
              </w:rPr>
              <w:t xml:space="preserve"> was checked with L2 emulation (real network connections, simulated attackers). Replayed step by step, it reproduces every score exactly. Over 100 random episodes, the robust RC2 schedule had the highest average worst-case score of all 13 schedules (2,038), with a </w:t>
            </w:r>
            <w:proofErr w:type="gramStart"/>
            <w:r>
              <w:rPr>
                <w:sz w:val="16"/>
                <w:szCs w:val="16"/>
              </w:rPr>
              <w:t>wide spread</w:t>
            </w:r>
            <w:proofErr w:type="gramEnd"/>
            <w:r>
              <w:rPr>
                <w:sz w:val="16"/>
                <w:szCs w:val="16"/>
              </w:rPr>
              <w:t xml:space="preserve"> between episodes. There is no routed-network or VM test (L3).</w:t>
            </w:r>
          </w:p>
        </w:tc>
      </w:tr>
    </w:tbl>
    <w:p w14:paraId="09B89F5A" w14:textId="77777777" w:rsidR="00D85BBA" w:rsidRDefault="00000000">
      <w:pPr>
        <w:keepNext/>
        <w:spacing w:before="160" w:after="60"/>
      </w:pPr>
      <w:r>
        <w:rPr>
          <w:b/>
          <w:bCs/>
          <w:color w:val="1F4E79"/>
        </w:rPr>
        <w:t>2. Revised contribution statement</w:t>
      </w:r>
    </w:p>
    <w:p w14:paraId="0AC5FB1E" w14:textId="77777777" w:rsidR="00D85BBA" w:rsidRDefault="00000000">
      <w:pPr>
        <w:spacing w:after="70"/>
      </w:pPr>
      <w:r>
        <w:rPr>
          <w:sz w:val="20"/>
          <w:szCs w:val="20"/>
        </w:rPr>
        <w:t>“Under the modeled discovery dynamics and four evaluated attacker profiles, ZSTP jointly enforces deployment constraints and optimizes worst-case detection utility, with a checkable optimality certificate for the encoded model. We evaluate its schedules against ten specified baselines using a common feasibility check and scoring procedure.”</w:t>
      </w:r>
    </w:p>
    <w:p w14:paraId="683F62F2" w14:textId="77777777" w:rsidR="00D85BBA" w:rsidRDefault="00000000">
      <w:pPr>
        <w:keepNext/>
        <w:spacing w:before="160" w:after="60"/>
      </w:pPr>
      <w:r>
        <w:rPr>
          <w:b/>
          <w:bCs/>
          <w:color w:val="1F4E79"/>
        </w:rPr>
        <w:t>3. Which baselines break which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4"/>
        <w:gridCol w:w="3784"/>
        <w:gridCol w:w="1540"/>
        <w:gridCol w:w="1832"/>
      </w:tblGrid>
      <w:tr w:rsidR="00D85BBA" w14:paraId="6B2F17EA"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2C3CED4" w14:textId="77777777" w:rsidR="00D85BBA" w:rsidRDefault="00000000">
            <w:r>
              <w:rPr>
                <w:b/>
                <w:bCs/>
                <w:color w:val="FFFFFF"/>
                <w:sz w:val="16"/>
                <w:szCs w:val="16"/>
              </w:rPr>
              <w:t>Baseline</w:t>
            </w:r>
          </w:p>
        </w:tc>
        <w:tc>
          <w:tcPr>
            <w:tcW w:w="402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CE290F5" w14:textId="77777777" w:rsidR="00D85BBA" w:rsidRDefault="00000000">
            <w:r>
              <w:rPr>
                <w:b/>
                <w:bCs/>
                <w:color w:val="FFFFFF"/>
                <w:sz w:val="16"/>
                <w:szCs w:val="16"/>
              </w:rPr>
              <w:t>Rules broken (times)</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ADFB6BB" w14:textId="77777777" w:rsidR="00D85BBA" w:rsidRDefault="00000000">
            <w:r>
              <w:rPr>
                <w:b/>
                <w:bCs/>
                <w:color w:val="FFFFFF"/>
                <w:sz w:val="16"/>
                <w:szCs w:val="16"/>
              </w:rPr>
              <w:t>Worst-case</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37218D3" w14:textId="77777777" w:rsidR="00D85BBA" w:rsidRDefault="00000000">
            <w:r>
              <w:rPr>
                <w:b/>
                <w:bCs/>
                <w:color w:val="FFFFFF"/>
                <w:sz w:val="16"/>
                <w:szCs w:val="16"/>
              </w:rPr>
              <w:t>Recognized by burst attacker</w:t>
            </w:r>
          </w:p>
        </w:tc>
      </w:tr>
      <w:tr w:rsidR="00D85BBA" w14:paraId="7046A86A"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B54DDE" w14:textId="77777777" w:rsidR="00D85BBA" w:rsidRDefault="00000000">
            <w:r>
              <w:rPr>
                <w:sz w:val="16"/>
                <w:szCs w:val="16"/>
              </w:rPr>
              <w:t>Greedy-Diverse</w:t>
            </w:r>
          </w:p>
        </w:tc>
        <w:tc>
          <w:tcPr>
            <w:tcW w:w="40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78F9AB" w14:textId="77777777" w:rsidR="00D85BBA" w:rsidRDefault="00000000">
            <w:r>
              <w:rPr>
                <w:sz w:val="16"/>
                <w:szCs w:val="16"/>
              </w:rPr>
              <w:t>C12×2, C14×3</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0EDB8D" w14:textId="77777777" w:rsidR="00D85BBA" w:rsidRDefault="00000000">
            <w:r>
              <w:rPr>
                <w:sz w:val="16"/>
                <w:szCs w:val="16"/>
              </w:rPr>
              <w:t>4,822.52</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09A689" w14:textId="77777777" w:rsidR="00D85BBA" w:rsidRDefault="00000000">
            <w:r>
              <w:rPr>
                <w:sz w:val="16"/>
                <w:szCs w:val="16"/>
              </w:rPr>
              <w:t>56%</w:t>
            </w:r>
          </w:p>
        </w:tc>
      </w:tr>
      <w:tr w:rsidR="00D85BBA" w14:paraId="09720169"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B7D1C2" w14:textId="77777777" w:rsidR="00D85BBA" w:rsidRDefault="00000000">
            <w:r>
              <w:rPr>
                <w:sz w:val="16"/>
                <w:szCs w:val="16"/>
              </w:rPr>
              <w:t>Random</w:t>
            </w:r>
          </w:p>
        </w:tc>
        <w:tc>
          <w:tcPr>
            <w:tcW w:w="40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F6E4DA" w14:textId="77777777" w:rsidR="00D85BBA" w:rsidRDefault="00000000">
            <w:r>
              <w:rPr>
                <w:sz w:val="16"/>
                <w:szCs w:val="16"/>
              </w:rPr>
              <w:t>C10a×1, C10b×6, C12×1, C14×4, C3×2, C4×1, C8×1</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B6762F" w14:textId="77777777" w:rsidR="00D85BBA" w:rsidRDefault="00000000">
            <w:r>
              <w:rPr>
                <w:sz w:val="16"/>
                <w:szCs w:val="16"/>
              </w:rPr>
              <w:t>3,770.69</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E0ADA3" w14:textId="77777777" w:rsidR="00D85BBA" w:rsidRDefault="00000000">
            <w:r>
              <w:rPr>
                <w:sz w:val="16"/>
                <w:szCs w:val="16"/>
              </w:rPr>
              <w:t>50%</w:t>
            </w:r>
          </w:p>
        </w:tc>
      </w:tr>
      <w:tr w:rsidR="00D85BBA" w14:paraId="17B1053C"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ACDFA6" w14:textId="77777777" w:rsidR="00D85BBA" w:rsidRDefault="00000000">
            <w:r>
              <w:rPr>
                <w:sz w:val="16"/>
                <w:szCs w:val="16"/>
              </w:rPr>
              <w:t>Greedy-</w:t>
            </w:r>
            <w:proofErr w:type="spellStart"/>
            <w:r>
              <w:rPr>
                <w:sz w:val="16"/>
                <w:szCs w:val="16"/>
              </w:rPr>
              <w:t>BiDir</w:t>
            </w:r>
            <w:proofErr w:type="spellEnd"/>
          </w:p>
        </w:tc>
        <w:tc>
          <w:tcPr>
            <w:tcW w:w="40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0CE097" w14:textId="77777777" w:rsidR="00D85BBA" w:rsidRDefault="00000000">
            <w:r>
              <w:rPr>
                <w:sz w:val="16"/>
                <w:szCs w:val="16"/>
              </w:rPr>
              <w:t>C14×4</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10A8F0" w14:textId="77777777" w:rsidR="00D85BBA" w:rsidRDefault="00000000">
            <w:r>
              <w:rPr>
                <w:sz w:val="16"/>
                <w:szCs w:val="16"/>
              </w:rPr>
              <w:t>3,093.19</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2E0636" w14:textId="77777777" w:rsidR="00D85BBA" w:rsidRDefault="00000000">
            <w:r>
              <w:rPr>
                <w:sz w:val="16"/>
                <w:szCs w:val="16"/>
              </w:rPr>
              <w:t>75%</w:t>
            </w:r>
          </w:p>
        </w:tc>
      </w:tr>
      <w:tr w:rsidR="00D85BBA" w14:paraId="6EAAB550"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228A70" w14:textId="77777777" w:rsidR="00D85BBA" w:rsidRDefault="00000000">
            <w:r>
              <w:rPr>
                <w:sz w:val="16"/>
                <w:szCs w:val="16"/>
              </w:rPr>
              <w:t>Static-Best</w:t>
            </w:r>
          </w:p>
        </w:tc>
        <w:tc>
          <w:tcPr>
            <w:tcW w:w="40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25F202" w14:textId="77777777" w:rsidR="00D85BBA" w:rsidRDefault="00000000">
            <w:r>
              <w:rPr>
                <w:sz w:val="16"/>
                <w:szCs w:val="16"/>
              </w:rPr>
              <w:t>C14×4</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C21237" w14:textId="77777777" w:rsidR="00D85BBA" w:rsidRDefault="00000000">
            <w:r>
              <w:rPr>
                <w:sz w:val="16"/>
                <w:szCs w:val="16"/>
              </w:rPr>
              <w:t>3,093.19</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419982" w14:textId="77777777" w:rsidR="00D85BBA" w:rsidRDefault="00000000">
            <w:r>
              <w:rPr>
                <w:sz w:val="16"/>
                <w:szCs w:val="16"/>
              </w:rPr>
              <w:t>75%</w:t>
            </w:r>
          </w:p>
        </w:tc>
      </w:tr>
      <w:tr w:rsidR="00D85BBA" w14:paraId="24D1249C"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FABAE5" w14:textId="77777777" w:rsidR="00D85BBA" w:rsidRDefault="00000000">
            <w:r>
              <w:rPr>
                <w:sz w:val="16"/>
                <w:szCs w:val="16"/>
              </w:rPr>
              <w:t>LP-Relaxation</w:t>
            </w:r>
          </w:p>
        </w:tc>
        <w:tc>
          <w:tcPr>
            <w:tcW w:w="40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E0AE32" w14:textId="77777777" w:rsidR="00D85BBA" w:rsidRDefault="00000000">
            <w:r>
              <w:rPr>
                <w:sz w:val="16"/>
                <w:szCs w:val="16"/>
              </w:rPr>
              <w:t>C10a×1, C10b×3</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878730" w14:textId="77777777" w:rsidR="00D85BBA" w:rsidRDefault="00000000">
            <w:r>
              <w:rPr>
                <w:sz w:val="16"/>
                <w:szCs w:val="16"/>
              </w:rPr>
              <w:t>2,849.21</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59F9CD" w14:textId="77777777" w:rsidR="00D85BBA" w:rsidRDefault="00000000">
            <w:r>
              <w:rPr>
                <w:sz w:val="16"/>
                <w:szCs w:val="16"/>
              </w:rPr>
              <w:t>75%</w:t>
            </w:r>
          </w:p>
        </w:tc>
      </w:tr>
      <w:tr w:rsidR="00D85BBA" w14:paraId="50CEC17D"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76472C" w14:textId="77777777" w:rsidR="00D85BBA" w:rsidRDefault="00000000">
            <w:r>
              <w:rPr>
                <w:sz w:val="16"/>
                <w:szCs w:val="16"/>
              </w:rPr>
              <w:t>Max-</w:t>
            </w:r>
            <w:proofErr w:type="spellStart"/>
            <w:r>
              <w:rPr>
                <w:sz w:val="16"/>
                <w:szCs w:val="16"/>
              </w:rPr>
              <w:t>PathCov</w:t>
            </w:r>
            <w:proofErr w:type="spellEnd"/>
          </w:p>
        </w:tc>
        <w:tc>
          <w:tcPr>
            <w:tcW w:w="40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9515F1" w14:textId="77777777" w:rsidR="00D85BBA" w:rsidRDefault="00000000">
            <w:r>
              <w:rPr>
                <w:sz w:val="16"/>
                <w:szCs w:val="16"/>
              </w:rPr>
              <w:t>C10a×1, C10b×3</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775F72" w14:textId="77777777" w:rsidR="00D85BBA" w:rsidRDefault="00000000">
            <w:r>
              <w:rPr>
                <w:sz w:val="16"/>
                <w:szCs w:val="16"/>
              </w:rPr>
              <w:t>2,782.72</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956849" w14:textId="77777777" w:rsidR="00D85BBA" w:rsidRDefault="00000000">
            <w:r>
              <w:rPr>
                <w:sz w:val="16"/>
                <w:szCs w:val="16"/>
              </w:rPr>
              <w:t>75%</w:t>
            </w:r>
          </w:p>
        </w:tc>
      </w:tr>
      <w:tr w:rsidR="00D85BBA" w14:paraId="19DF6855"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E1B3C0" w14:textId="77777777" w:rsidR="00D85BBA" w:rsidRDefault="00000000">
            <w:r>
              <w:rPr>
                <w:sz w:val="16"/>
                <w:szCs w:val="16"/>
              </w:rPr>
              <w:t>Round-Robin</w:t>
            </w:r>
          </w:p>
        </w:tc>
        <w:tc>
          <w:tcPr>
            <w:tcW w:w="40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B99056" w14:textId="77777777" w:rsidR="00D85BBA" w:rsidRDefault="00000000">
            <w:r>
              <w:rPr>
                <w:sz w:val="16"/>
                <w:szCs w:val="16"/>
              </w:rPr>
              <w:t>C10b×2, C12×1, C14×3, C8×3</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E306F0" w14:textId="77777777" w:rsidR="00D85BBA" w:rsidRDefault="00000000">
            <w:r>
              <w:rPr>
                <w:sz w:val="16"/>
                <w:szCs w:val="16"/>
              </w:rPr>
              <w:t>2,776.85</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8DFAE8" w14:textId="77777777" w:rsidR="00D85BBA" w:rsidRDefault="00000000">
            <w:r>
              <w:rPr>
                <w:sz w:val="16"/>
                <w:szCs w:val="16"/>
              </w:rPr>
              <w:t>63%</w:t>
            </w:r>
          </w:p>
        </w:tc>
      </w:tr>
      <w:tr w:rsidR="00D85BBA" w14:paraId="12145783"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23463" w14:textId="77777777" w:rsidR="00D85BBA" w:rsidRDefault="00000000">
            <w:r>
              <w:rPr>
                <w:sz w:val="16"/>
                <w:szCs w:val="16"/>
              </w:rPr>
              <w:t>Single-Zone</w:t>
            </w:r>
          </w:p>
        </w:tc>
        <w:tc>
          <w:tcPr>
            <w:tcW w:w="40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907396" w14:textId="77777777" w:rsidR="00D85BBA" w:rsidRDefault="00000000">
            <w:r>
              <w:rPr>
                <w:sz w:val="16"/>
                <w:szCs w:val="16"/>
              </w:rPr>
              <w:t>C10a×2, C10b×6, C12×2, C3×4</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AF0F1E" w14:textId="77777777" w:rsidR="00D85BBA" w:rsidRDefault="00000000">
            <w:r>
              <w:rPr>
                <w:sz w:val="16"/>
                <w:szCs w:val="16"/>
              </w:rPr>
              <w:t>2,376.09</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E3D2A1" w14:textId="77777777" w:rsidR="00D85BBA" w:rsidRDefault="00000000">
            <w:r>
              <w:rPr>
                <w:sz w:val="16"/>
                <w:szCs w:val="16"/>
              </w:rPr>
              <w:t>69%</w:t>
            </w:r>
          </w:p>
        </w:tc>
      </w:tr>
      <w:tr w:rsidR="00D85BBA" w14:paraId="2E48A631"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6DFB28" w14:textId="77777777" w:rsidR="00D85BBA" w:rsidRDefault="00000000">
            <w:proofErr w:type="spellStart"/>
            <w:r>
              <w:rPr>
                <w:sz w:val="16"/>
                <w:szCs w:val="16"/>
              </w:rPr>
              <w:t>ThreatIntel</w:t>
            </w:r>
            <w:proofErr w:type="spellEnd"/>
            <w:r>
              <w:rPr>
                <w:sz w:val="16"/>
                <w:szCs w:val="16"/>
              </w:rPr>
              <w:t>-Only</w:t>
            </w:r>
          </w:p>
        </w:tc>
        <w:tc>
          <w:tcPr>
            <w:tcW w:w="40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48FAB5" w14:textId="77777777" w:rsidR="00D85BBA" w:rsidRDefault="00000000">
            <w:r>
              <w:rPr>
                <w:sz w:val="16"/>
                <w:szCs w:val="16"/>
              </w:rPr>
              <w:t>C10a×3, C10b×9</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C6CF0B" w14:textId="77777777" w:rsidR="00D85BBA" w:rsidRDefault="00000000">
            <w:r>
              <w:rPr>
                <w:sz w:val="16"/>
                <w:szCs w:val="16"/>
              </w:rPr>
              <w:t>2,090.52</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0191F1" w14:textId="77777777" w:rsidR="00D85BBA" w:rsidRDefault="00000000">
            <w:r>
              <w:rPr>
                <w:sz w:val="16"/>
                <w:szCs w:val="16"/>
              </w:rPr>
              <w:t>75%</w:t>
            </w:r>
          </w:p>
        </w:tc>
      </w:tr>
      <w:tr w:rsidR="00D85BBA" w14:paraId="6BC6219E"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1C75E6" w14:textId="77777777" w:rsidR="00D85BBA" w:rsidRDefault="00000000">
            <w:r>
              <w:rPr>
                <w:sz w:val="16"/>
                <w:szCs w:val="16"/>
              </w:rPr>
              <w:t>Greedy-</w:t>
            </w:r>
            <w:proofErr w:type="spellStart"/>
            <w:r>
              <w:rPr>
                <w:sz w:val="16"/>
                <w:szCs w:val="16"/>
              </w:rPr>
              <w:t>HighRho</w:t>
            </w:r>
            <w:proofErr w:type="spellEnd"/>
          </w:p>
        </w:tc>
        <w:tc>
          <w:tcPr>
            <w:tcW w:w="40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E3D910" w14:textId="77777777" w:rsidR="00D85BBA" w:rsidRDefault="00000000">
            <w:r>
              <w:rPr>
                <w:sz w:val="16"/>
                <w:szCs w:val="16"/>
              </w:rPr>
              <w:t>C10a×2, C10b×6, C14×4</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0B12DB" w14:textId="77777777" w:rsidR="00D85BBA" w:rsidRDefault="00000000">
            <w:r>
              <w:rPr>
                <w:sz w:val="16"/>
                <w:szCs w:val="16"/>
              </w:rPr>
              <w:t>1,341.25</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DF1F71" w14:textId="77777777" w:rsidR="00D85BBA" w:rsidRDefault="00000000">
            <w:r>
              <w:rPr>
                <w:sz w:val="16"/>
                <w:szCs w:val="16"/>
              </w:rPr>
              <w:t>75%</w:t>
            </w:r>
          </w:p>
        </w:tc>
      </w:tr>
    </w:tbl>
    <w:p w14:paraId="2B0495FF" w14:textId="77777777" w:rsidR="00D85BBA" w:rsidRDefault="00000000">
      <w:pPr>
        <w:spacing w:before="40" w:after="60"/>
      </w:pPr>
      <w:r>
        <w:rPr>
          <w:color w:val="404040"/>
          <w:sz w:val="16"/>
          <w:szCs w:val="16"/>
        </w:rPr>
        <w:t>C3: too many honeypots in a zone. C4: conflicting trap types together. C8: too many swaps. C10a: critical step covered too few times. C10b: critical step uncovered two slots in a row. C12/C14: identity reused in one zone / in two zones at once.</w:t>
      </w:r>
    </w:p>
    <w:p w14:paraId="69FB2B2E" w14:textId="77777777" w:rsidR="00D85BBA" w:rsidRDefault="00000000">
      <w:pPr>
        <w:keepNext/>
        <w:spacing w:before="160" w:after="60"/>
      </w:pPr>
      <w:r>
        <w:rPr>
          <w:b/>
          <w:bCs/>
          <w:color w:val="1F4E79"/>
        </w:rPr>
        <w:t>4. Citation audit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4"/>
        <w:gridCol w:w="1922"/>
        <w:gridCol w:w="2744"/>
        <w:gridCol w:w="3700"/>
      </w:tblGrid>
      <w:tr w:rsidR="00D85BBA" w14:paraId="4C9C66CF" w14:textId="77777777">
        <w:tblPrEx>
          <w:tblCellMar>
            <w:top w:w="0" w:type="dxa"/>
            <w:bottom w:w="0" w:type="dxa"/>
          </w:tblCellMar>
        </w:tblPrEx>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3B471DB" w14:textId="77777777" w:rsidR="00D85BBA" w:rsidRDefault="00000000">
            <w:r>
              <w:rPr>
                <w:b/>
                <w:bCs/>
                <w:color w:val="FFFFFF"/>
                <w:sz w:val="15"/>
                <w:szCs w:val="15"/>
              </w:rPr>
              <w:t>Ref</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C80B8DA" w14:textId="77777777" w:rsidR="00D85BBA" w:rsidRDefault="00000000">
            <w:r>
              <w:rPr>
                <w:b/>
                <w:bCs/>
                <w:color w:val="FFFFFF"/>
                <w:sz w:val="15"/>
                <w:szCs w:val="15"/>
              </w:rPr>
              <w:t>Used in the text for</w:t>
            </w:r>
          </w:p>
        </w:tc>
        <w:tc>
          <w:tcPr>
            <w:tcW w:w="2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14031F4" w14:textId="77777777" w:rsidR="00D85BBA" w:rsidRDefault="00000000">
            <w:r>
              <w:rPr>
                <w:b/>
                <w:bCs/>
                <w:color w:val="FFFFFF"/>
                <w:sz w:val="15"/>
                <w:szCs w:val="15"/>
              </w:rPr>
              <w:t>Problem</w:t>
            </w:r>
          </w:p>
        </w:tc>
        <w:tc>
          <w:tcPr>
            <w:tcW w:w="392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6C91E4D" w14:textId="77777777" w:rsidR="00D85BBA" w:rsidRDefault="00000000">
            <w:r>
              <w:rPr>
                <w:b/>
                <w:bCs/>
                <w:color w:val="FFFFFF"/>
                <w:sz w:val="15"/>
                <w:szCs w:val="15"/>
              </w:rPr>
              <w:t>Action (verified)</w:t>
            </w:r>
          </w:p>
        </w:tc>
      </w:tr>
      <w:tr w:rsidR="00D85BBA" w14:paraId="7E382F5C"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20F030" w14:textId="77777777" w:rsidR="00D85BBA" w:rsidRDefault="00000000">
            <w:r>
              <w:rPr>
                <w:sz w:val="15"/>
                <w:szCs w:val="15"/>
              </w:rPr>
              <w:t>[12]</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AB24E0" w14:textId="77777777" w:rsidR="00D85BBA" w:rsidRDefault="00000000">
            <w:r>
              <w:rPr>
                <w:sz w:val="15"/>
                <w:szCs w:val="15"/>
              </w:rPr>
              <w:t>RL-based deception</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B26B23" w14:textId="77777777" w:rsidR="00D85BBA" w:rsidRDefault="00000000">
            <w:r>
              <w:rPr>
                <w:sz w:val="15"/>
                <w:szCs w:val="15"/>
              </w:rPr>
              <w:t>V3 cites an attack-graph paper (Ou et al.)</w:t>
            </w:r>
          </w:p>
        </w:tc>
        <w:tc>
          <w:tcPr>
            <w:tcW w:w="3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C4D550" w14:textId="77777777" w:rsidR="00D85BBA" w:rsidRDefault="00000000">
            <w:r>
              <w:rPr>
                <w:sz w:val="15"/>
                <w:szCs w:val="15"/>
              </w:rPr>
              <w:t xml:space="preserve">Huang &amp; Zhu, “Adaptive honeypot engagement through reinforcement learning of semi-Markov decision processes,” </w:t>
            </w:r>
            <w:proofErr w:type="spellStart"/>
            <w:r>
              <w:rPr>
                <w:sz w:val="15"/>
                <w:szCs w:val="15"/>
              </w:rPr>
              <w:t>GameSec</w:t>
            </w:r>
            <w:proofErr w:type="spellEnd"/>
            <w:r>
              <w:rPr>
                <w:sz w:val="15"/>
                <w:szCs w:val="15"/>
              </w:rPr>
              <w:t xml:space="preserve"> 2019</w:t>
            </w:r>
          </w:p>
        </w:tc>
      </w:tr>
      <w:tr w:rsidR="00D85BBA" w14:paraId="5F1C2502"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7DD056" w14:textId="77777777" w:rsidR="00D85BBA" w:rsidRDefault="00000000">
            <w:r>
              <w:rPr>
                <w:sz w:val="15"/>
                <w:szCs w:val="15"/>
              </w:rPr>
              <w:lastRenderedPageBreak/>
              <w:t>[20]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AE4D16" w14:textId="77777777" w:rsidR="00D85BBA" w:rsidRDefault="00000000">
            <w:r>
              <w:rPr>
                <w:sz w:val="15"/>
                <w:szCs w:val="15"/>
              </w:rPr>
              <w:t>Optimal sensor placement</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CFF04C" w14:textId="77777777" w:rsidR="00D85BBA" w:rsidRDefault="00000000">
            <w:r>
              <w:rPr>
                <w:sz w:val="15"/>
                <w:szCs w:val="15"/>
              </w:rPr>
              <w:t>V3 cites the 1999 DARPA evaluation; the Saha &amp; Gera paper from V6/V7 could not be found</w:t>
            </w:r>
          </w:p>
        </w:tc>
        <w:tc>
          <w:tcPr>
            <w:tcW w:w="3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42935C" w14:textId="77777777" w:rsidR="00D85BBA" w:rsidRDefault="00000000">
            <w:r>
              <w:rPr>
                <w:sz w:val="15"/>
                <w:szCs w:val="15"/>
              </w:rPr>
              <w:t xml:space="preserve">Noel &amp; </w:t>
            </w:r>
            <w:proofErr w:type="spellStart"/>
            <w:r>
              <w:rPr>
                <w:sz w:val="15"/>
                <w:szCs w:val="15"/>
              </w:rPr>
              <w:t>Jajodia</w:t>
            </w:r>
            <w:proofErr w:type="spellEnd"/>
            <w:r>
              <w:rPr>
                <w:sz w:val="15"/>
                <w:szCs w:val="15"/>
              </w:rPr>
              <w:t>, “Optimal IDS sensor placement and alert prioritization using attack graphs,” J. Network and Systems Management, 2008. Text reworded from “ILP-based” to “attack-graph-based”.</w:t>
            </w:r>
          </w:p>
        </w:tc>
      </w:tr>
      <w:tr w:rsidR="00D85BBA" w14:paraId="7502D680"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C4AFD7" w14:textId="77777777" w:rsidR="00D85BBA" w:rsidRDefault="00000000">
            <w:r>
              <w:rPr>
                <w:sz w:val="15"/>
                <w:szCs w:val="15"/>
              </w:rPr>
              <w:t>[19]</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9ABD71" w14:textId="77777777" w:rsidR="00D85BBA" w:rsidRDefault="00000000">
            <w:r>
              <w:rPr>
                <w:sz w:val="15"/>
                <w:szCs w:val="15"/>
              </w:rPr>
              <w:t>Runtime enforcement</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629F4C" w14:textId="77777777" w:rsidR="00D85BBA" w:rsidRDefault="00000000">
            <w:r>
              <w:rPr>
                <w:sz w:val="15"/>
                <w:szCs w:val="15"/>
              </w:rPr>
              <w:t xml:space="preserve">Title given as “…using </w:t>
            </w:r>
            <w:proofErr w:type="spellStart"/>
            <w:r>
              <w:rPr>
                <w:sz w:val="15"/>
                <w:szCs w:val="15"/>
              </w:rPr>
              <w:t>MaxSAT</w:t>
            </w:r>
            <w:proofErr w:type="spellEnd"/>
            <w:r>
              <w:rPr>
                <w:sz w:val="15"/>
                <w:szCs w:val="15"/>
              </w:rPr>
              <w:t xml:space="preserve">”; the paper does not use </w:t>
            </w:r>
            <w:proofErr w:type="spellStart"/>
            <w:r>
              <w:rPr>
                <w:sz w:val="15"/>
                <w:szCs w:val="15"/>
              </w:rPr>
              <w:t>MaxSAT</w:t>
            </w:r>
            <w:proofErr w:type="spellEnd"/>
          </w:p>
        </w:tc>
        <w:tc>
          <w:tcPr>
            <w:tcW w:w="3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85FB33" w14:textId="77777777" w:rsidR="00D85BBA" w:rsidRDefault="00000000">
            <w:proofErr w:type="spellStart"/>
            <w:r>
              <w:rPr>
                <w:sz w:val="15"/>
                <w:szCs w:val="15"/>
              </w:rPr>
              <w:t>Pinisetty</w:t>
            </w:r>
            <w:proofErr w:type="spellEnd"/>
            <w:r>
              <w:rPr>
                <w:sz w:val="15"/>
                <w:szCs w:val="15"/>
              </w:rPr>
              <w:t xml:space="preserve"> et al., “Runtime enforcement of cyber-physical systems,” ACM TECS 16(5s), 2017. Text reworded to “formal runtime enforcement”.</w:t>
            </w:r>
          </w:p>
        </w:tc>
      </w:tr>
      <w:tr w:rsidR="00D85BBA" w14:paraId="22A548DE"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EBD9D3" w14:textId="77777777" w:rsidR="00D85BBA" w:rsidRDefault="00000000">
            <w:r>
              <w:rPr>
                <w:sz w:val="15"/>
                <w:szCs w:val="15"/>
              </w:rPr>
              <w:t>[8], [11], [23]</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1027BA" w14:textId="77777777" w:rsidR="00D85BBA" w:rsidRDefault="00000000">
            <w:r>
              <w:rPr>
                <w:sz w:val="15"/>
                <w:szCs w:val="15"/>
              </w:rPr>
              <w:t>Game-theoretic deception</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D0EDA1" w14:textId="77777777" w:rsidR="00D85BBA" w:rsidRDefault="00000000">
            <w:r>
              <w:rPr>
                <w:sz w:val="15"/>
                <w:szCs w:val="15"/>
              </w:rPr>
              <w:t>V3 cites unrelated works (MTD book, control systems, epidemics)</w:t>
            </w:r>
          </w:p>
        </w:tc>
        <w:tc>
          <w:tcPr>
            <w:tcW w:w="3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38F1EA" w14:textId="77777777" w:rsidR="00D85BBA" w:rsidRDefault="00000000">
            <w:proofErr w:type="spellStart"/>
            <w:r>
              <w:rPr>
                <w:sz w:val="15"/>
                <w:szCs w:val="15"/>
              </w:rPr>
              <w:t>Kiekintveld</w:t>
            </w:r>
            <w:proofErr w:type="spellEnd"/>
            <w:r>
              <w:rPr>
                <w:sz w:val="15"/>
                <w:szCs w:val="15"/>
              </w:rPr>
              <w:t xml:space="preserve">, </w:t>
            </w:r>
            <w:proofErr w:type="spellStart"/>
            <w:r>
              <w:rPr>
                <w:sz w:val="15"/>
                <w:szCs w:val="15"/>
              </w:rPr>
              <w:t>Lisý</w:t>
            </w:r>
            <w:proofErr w:type="spellEnd"/>
            <w:r>
              <w:rPr>
                <w:sz w:val="15"/>
                <w:szCs w:val="15"/>
              </w:rPr>
              <w:t xml:space="preserve"> &amp; </w:t>
            </w:r>
            <w:proofErr w:type="spellStart"/>
            <w:r>
              <w:rPr>
                <w:sz w:val="15"/>
                <w:szCs w:val="15"/>
              </w:rPr>
              <w:t>Píbil</w:t>
            </w:r>
            <w:proofErr w:type="spellEnd"/>
            <w:r>
              <w:rPr>
                <w:sz w:val="15"/>
                <w:szCs w:val="15"/>
              </w:rPr>
              <w:t xml:space="preserve">, Cyber Warfare (Springer), 2015; Pawlick, Colbert &amp; Zhu, ACM Computing Surveys, 2019; Zhu &amp; Başar, </w:t>
            </w:r>
            <w:proofErr w:type="spellStart"/>
            <w:r>
              <w:rPr>
                <w:sz w:val="15"/>
                <w:szCs w:val="15"/>
              </w:rPr>
              <w:t>GameSec</w:t>
            </w:r>
            <w:proofErr w:type="spellEnd"/>
            <w:r>
              <w:rPr>
                <w:sz w:val="15"/>
                <w:szCs w:val="15"/>
              </w:rPr>
              <w:t xml:space="preserve"> 2013</w:t>
            </w:r>
          </w:p>
        </w:tc>
      </w:tr>
      <w:tr w:rsidR="00D85BBA" w14:paraId="30976690"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E94298" w14:textId="77777777" w:rsidR="00D85BBA" w:rsidRDefault="00000000">
            <w:r>
              <w:rPr>
                <w:sz w:val="15"/>
                <w:szCs w:val="15"/>
              </w:rPr>
              <w:t>[25]</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AC81CF" w14:textId="77777777" w:rsidR="00D85BBA" w:rsidRDefault="00000000">
            <w:r>
              <w:rPr>
                <w:sz w:val="15"/>
                <w:szCs w:val="15"/>
              </w:rPr>
              <w:t>Adaptive honeypots</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FCABB5" w14:textId="77777777" w:rsidR="00D85BBA" w:rsidRDefault="00000000">
            <w:r>
              <w:rPr>
                <w:sz w:val="15"/>
                <w:szCs w:val="15"/>
              </w:rPr>
              <w:t>V3 cites a GSM DoS paper; V6/V7 give the wrong year</w:t>
            </w:r>
          </w:p>
        </w:tc>
        <w:tc>
          <w:tcPr>
            <w:tcW w:w="3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53F980" w14:textId="77777777" w:rsidR="00D85BBA" w:rsidRDefault="00000000">
            <w:r>
              <w:rPr>
                <w:sz w:val="15"/>
                <w:szCs w:val="15"/>
              </w:rPr>
              <w:t xml:space="preserve">Wagener, State &amp; </w:t>
            </w:r>
            <w:proofErr w:type="spellStart"/>
            <w:r>
              <w:rPr>
                <w:sz w:val="15"/>
                <w:szCs w:val="15"/>
              </w:rPr>
              <w:t>Dulaunoy</w:t>
            </w:r>
            <w:proofErr w:type="spellEnd"/>
            <w:r>
              <w:rPr>
                <w:sz w:val="15"/>
                <w:szCs w:val="15"/>
              </w:rPr>
              <w:t>, “Adaptive and self-configurable honeypots,” IFIP/IEEE IM 2011</w:t>
            </w:r>
          </w:p>
        </w:tc>
      </w:tr>
      <w:tr w:rsidR="00D85BBA" w14:paraId="619595EB"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466B98" w14:textId="77777777" w:rsidR="00D85BBA" w:rsidRDefault="00000000">
            <w:r>
              <w:rPr>
                <w:sz w:val="15"/>
                <w:szCs w:val="15"/>
              </w:rPr>
              <w:t>RC2</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9A80CF" w14:textId="77777777" w:rsidR="00D85BBA" w:rsidRDefault="00000000">
            <w:r>
              <w:rPr>
                <w:sz w:val="15"/>
                <w:szCs w:val="15"/>
              </w:rPr>
              <w:t>The solver</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4C4FD5" w14:textId="77777777" w:rsidR="00D85BBA" w:rsidRDefault="00000000">
            <w:r>
              <w:rPr>
                <w:sz w:val="15"/>
                <w:szCs w:val="15"/>
              </w:rPr>
              <w:t>Cited as [6, 5], neither of which is the RC2 paper</w:t>
            </w:r>
          </w:p>
        </w:tc>
        <w:tc>
          <w:tcPr>
            <w:tcW w:w="3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9F4E90" w14:textId="77777777" w:rsidR="00D85BBA" w:rsidRDefault="00000000">
            <w:r>
              <w:rPr>
                <w:sz w:val="15"/>
                <w:szCs w:val="15"/>
              </w:rPr>
              <w:t xml:space="preserve">Ignatiev, Morgado &amp; Marques-Silva, “RC2: an efficient </w:t>
            </w:r>
            <w:proofErr w:type="spellStart"/>
            <w:r>
              <w:rPr>
                <w:sz w:val="15"/>
                <w:szCs w:val="15"/>
              </w:rPr>
              <w:t>MaxSAT</w:t>
            </w:r>
            <w:proofErr w:type="spellEnd"/>
            <w:r>
              <w:rPr>
                <w:sz w:val="15"/>
                <w:szCs w:val="15"/>
              </w:rPr>
              <w:t xml:space="preserve"> solver,” JSAT 11(1), 2019</w:t>
            </w:r>
          </w:p>
        </w:tc>
      </w:tr>
      <w:tr w:rsidR="00D85BBA" w14:paraId="6C19EFD5"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A54DA2" w14:textId="77777777" w:rsidR="00D85BBA" w:rsidRDefault="00000000">
            <w:r>
              <w:rPr>
                <w:sz w:val="15"/>
                <w:szCs w:val="15"/>
              </w:rPr>
              <w:t>New</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A023F4" w14:textId="77777777" w:rsidR="00D85BBA" w:rsidRDefault="00000000">
            <w:r>
              <w:rPr>
                <w:sz w:val="15"/>
                <w:szCs w:val="15"/>
              </w:rPr>
              <w:t>Proof checker</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903B41" w14:textId="77777777" w:rsidR="00D85BBA" w:rsidRDefault="00000000">
            <w:r>
              <w:rPr>
                <w:sz w:val="15"/>
                <w:szCs w:val="15"/>
              </w:rPr>
              <w:t>Not cited</w:t>
            </w:r>
          </w:p>
        </w:tc>
        <w:tc>
          <w:tcPr>
            <w:tcW w:w="3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3E10DE" w14:textId="77777777" w:rsidR="00D85BBA" w:rsidRDefault="00000000">
            <w:r>
              <w:rPr>
                <w:sz w:val="15"/>
                <w:szCs w:val="15"/>
              </w:rPr>
              <w:t>Wetzler, Heule &amp; Hunt, “DRAT-trim: efficient checking and trimming using expressive clausal proofs,” SAT 2014</w:t>
            </w:r>
          </w:p>
        </w:tc>
      </w:tr>
      <w:tr w:rsidR="00D85BBA" w14:paraId="69A83F0A"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12C0C1" w14:textId="77777777" w:rsidR="00D85BBA" w:rsidRDefault="00000000">
            <w:r>
              <w:rPr>
                <w:sz w:val="15"/>
                <w:szCs w:val="15"/>
              </w:rPr>
              <w:t>Placeholder</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79880C" w14:textId="77777777" w:rsidR="00D85BBA" w:rsidRDefault="00000000">
            <w:r>
              <w:rPr>
                <w:sz w:val="15"/>
                <w:szCs w:val="15"/>
              </w:rPr>
              <w:t>“[cite Hammar &amp; Stadler]”</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652FB1" w14:textId="77777777" w:rsidR="00D85BBA" w:rsidRDefault="00000000">
            <w:r>
              <w:rPr>
                <w:sz w:val="15"/>
                <w:szCs w:val="15"/>
              </w:rPr>
              <w:t>Unresolved</w:t>
            </w:r>
          </w:p>
        </w:tc>
        <w:tc>
          <w:tcPr>
            <w:tcW w:w="3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E37265" w14:textId="77777777" w:rsidR="00D85BBA" w:rsidRDefault="00000000">
            <w:r>
              <w:rPr>
                <w:sz w:val="15"/>
                <w:szCs w:val="15"/>
              </w:rPr>
              <w:t>Hammar &amp; Stadler, “Finding effective security strategies through reinforcement learning and self-play,” CNSM 2020</w:t>
            </w:r>
          </w:p>
        </w:tc>
      </w:tr>
      <w:tr w:rsidR="00D85BBA" w14:paraId="077B0538"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87653B" w14:textId="77777777" w:rsidR="00D85BBA" w:rsidRDefault="00000000">
            <w:r>
              <w:rPr>
                <w:sz w:val="15"/>
                <w:szCs w:val="15"/>
              </w:rPr>
              <w:t>Other</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437947" w14:textId="77777777" w:rsidR="00D85BBA" w:rsidRDefault="00000000">
            <w:r>
              <w:rPr>
                <w:sz w:val="15"/>
                <w:szCs w:val="15"/>
              </w:rPr>
              <w:t>“[cite 2024 USENIX work]”, “[cite MIRAGE-class work]”, “[cite ACSAC/RAID work]”</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906167" w14:textId="77777777" w:rsidR="00D85BBA" w:rsidRDefault="00000000">
            <w:r>
              <w:rPr>
                <w:sz w:val="15"/>
                <w:szCs w:val="15"/>
              </w:rPr>
              <w:t>No specific paper identified</w:t>
            </w:r>
          </w:p>
        </w:tc>
        <w:tc>
          <w:tcPr>
            <w:tcW w:w="3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F56044" w14:textId="77777777" w:rsidR="00D85BBA" w:rsidRDefault="00000000">
            <w:r>
              <w:rPr>
                <w:sz w:val="15"/>
                <w:szCs w:val="15"/>
              </w:rPr>
              <w:t>Sentences removed unless a verified paper is supplied</w:t>
            </w:r>
          </w:p>
        </w:tc>
      </w:tr>
    </w:tbl>
    <w:p w14:paraId="1583FA21" w14:textId="77777777" w:rsidR="00D85BBA" w:rsidRDefault="00000000">
      <w:pPr>
        <w:spacing w:after="70"/>
      </w:pPr>
      <w:r>
        <w:rPr>
          <w:b/>
          <w:bCs/>
          <w:sz w:val="20"/>
          <w:szCs w:val="20"/>
        </w:rPr>
        <w:t>Novelty statements.</w:t>
      </w:r>
      <w:r>
        <w:rPr>
          <w:sz w:val="20"/>
          <w:szCs w:val="20"/>
        </w:rPr>
        <w:t xml:space="preserve"> “The first </w:t>
      </w:r>
      <w:proofErr w:type="spellStart"/>
      <w:r>
        <w:rPr>
          <w:sz w:val="20"/>
          <w:szCs w:val="20"/>
        </w:rPr>
        <w:t>MaxSAT</w:t>
      </w:r>
      <w:proofErr w:type="spellEnd"/>
      <w:r>
        <w:rPr>
          <w:sz w:val="20"/>
          <w:szCs w:val="20"/>
        </w:rPr>
        <w:t xml:space="preserve"> formulation …” becomes “to our knowledge, the first …”, and is placed against the verified game-theoretic ([8], [11], [23]), learning-based ([12], Hammar &amp; Stadler), sensor-placement ([20]) and adaptive-honeypot ([25]) works above.</w:t>
      </w:r>
    </w:p>
    <w:p w14:paraId="031F9417" w14:textId="77777777" w:rsidR="00D85BBA" w:rsidRDefault="00000000">
      <w:pPr>
        <w:spacing w:before="120" w:after="40"/>
      </w:pPr>
      <w:r>
        <w:rPr>
          <w:b/>
          <w:bCs/>
          <w:color w:val="404040"/>
          <w:sz w:val="18"/>
          <w:szCs w:val="18"/>
        </w:rPr>
        <w:t>Sources checked</w:t>
      </w:r>
    </w:p>
    <w:p w14:paraId="6D80F07F" w14:textId="77777777" w:rsidR="00D85BBA" w:rsidRDefault="00000000">
      <w:pPr>
        <w:spacing w:after="10"/>
      </w:pPr>
      <w:r>
        <w:rPr>
          <w:color w:val="404040"/>
          <w:sz w:val="15"/>
          <w:szCs w:val="15"/>
        </w:rPr>
        <w:t xml:space="preserve">Huang &amp; Zhu, </w:t>
      </w:r>
      <w:proofErr w:type="spellStart"/>
      <w:r>
        <w:rPr>
          <w:color w:val="404040"/>
          <w:sz w:val="15"/>
          <w:szCs w:val="15"/>
        </w:rPr>
        <w:t>GameSec</w:t>
      </w:r>
      <w:proofErr w:type="spellEnd"/>
      <w:r>
        <w:rPr>
          <w:color w:val="404040"/>
          <w:sz w:val="15"/>
          <w:szCs w:val="15"/>
        </w:rPr>
        <w:t xml:space="preserve"> 2019: </w:t>
      </w:r>
      <w:hyperlink r:id="rId7" w:history="1">
        <w:r>
          <w:rPr>
            <w:rStyle w:val="Hyperlink"/>
            <w:color w:val="1F4E79"/>
            <w:sz w:val="15"/>
            <w:szCs w:val="15"/>
          </w:rPr>
          <w:t>https://link.springer.com/chapter/10.1007/978-3-030-32430-8_13</w:t>
        </w:r>
      </w:hyperlink>
    </w:p>
    <w:p w14:paraId="0697368C" w14:textId="77777777" w:rsidR="00D85BBA" w:rsidRDefault="00000000">
      <w:pPr>
        <w:spacing w:after="10"/>
      </w:pPr>
      <w:r>
        <w:rPr>
          <w:color w:val="404040"/>
          <w:sz w:val="15"/>
          <w:szCs w:val="15"/>
        </w:rPr>
        <w:t xml:space="preserve">Noel &amp; </w:t>
      </w:r>
      <w:proofErr w:type="spellStart"/>
      <w:r>
        <w:rPr>
          <w:color w:val="404040"/>
          <w:sz w:val="15"/>
          <w:szCs w:val="15"/>
        </w:rPr>
        <w:t>Jajodia</w:t>
      </w:r>
      <w:proofErr w:type="spellEnd"/>
      <w:r>
        <w:rPr>
          <w:color w:val="404040"/>
          <w:sz w:val="15"/>
          <w:szCs w:val="15"/>
        </w:rPr>
        <w:t xml:space="preserve">, JNSM 2008: </w:t>
      </w:r>
      <w:hyperlink r:id="rId8" w:history="1">
        <w:r>
          <w:rPr>
            <w:rStyle w:val="Hyperlink"/>
            <w:color w:val="1F4E79"/>
            <w:sz w:val="15"/>
            <w:szCs w:val="15"/>
          </w:rPr>
          <w:t>https://link.springer.com/article/10.1007/s10922-008-9109-x</w:t>
        </w:r>
      </w:hyperlink>
    </w:p>
    <w:p w14:paraId="72144D62" w14:textId="77777777" w:rsidR="00D85BBA" w:rsidRDefault="00000000">
      <w:pPr>
        <w:spacing w:after="10"/>
      </w:pPr>
      <w:proofErr w:type="spellStart"/>
      <w:r>
        <w:rPr>
          <w:color w:val="404040"/>
          <w:sz w:val="15"/>
          <w:szCs w:val="15"/>
        </w:rPr>
        <w:t>Pinisetty</w:t>
      </w:r>
      <w:proofErr w:type="spellEnd"/>
      <w:r>
        <w:rPr>
          <w:color w:val="404040"/>
          <w:sz w:val="15"/>
          <w:szCs w:val="15"/>
        </w:rPr>
        <w:t xml:space="preserve"> et al., ACM TECS 2017: </w:t>
      </w:r>
      <w:hyperlink r:id="rId9" w:history="1">
        <w:r>
          <w:rPr>
            <w:rStyle w:val="Hyperlink"/>
            <w:color w:val="1F4E79"/>
            <w:sz w:val="15"/>
            <w:szCs w:val="15"/>
          </w:rPr>
          <w:t>https://dl.acm.org/doi/10.1145/3126500</w:t>
        </w:r>
      </w:hyperlink>
    </w:p>
    <w:p w14:paraId="0FE98F1B" w14:textId="77777777" w:rsidR="00D85BBA" w:rsidRDefault="00000000">
      <w:pPr>
        <w:spacing w:after="10"/>
      </w:pPr>
      <w:proofErr w:type="spellStart"/>
      <w:r>
        <w:rPr>
          <w:color w:val="404040"/>
          <w:sz w:val="15"/>
          <w:szCs w:val="15"/>
        </w:rPr>
        <w:t>Kiekintveld</w:t>
      </w:r>
      <w:proofErr w:type="spellEnd"/>
      <w:r>
        <w:rPr>
          <w:color w:val="404040"/>
          <w:sz w:val="15"/>
          <w:szCs w:val="15"/>
        </w:rPr>
        <w:t xml:space="preserve">, </w:t>
      </w:r>
      <w:proofErr w:type="spellStart"/>
      <w:r>
        <w:rPr>
          <w:color w:val="404040"/>
          <w:sz w:val="15"/>
          <w:szCs w:val="15"/>
        </w:rPr>
        <w:t>Lisý</w:t>
      </w:r>
      <w:proofErr w:type="spellEnd"/>
      <w:r>
        <w:rPr>
          <w:color w:val="404040"/>
          <w:sz w:val="15"/>
          <w:szCs w:val="15"/>
        </w:rPr>
        <w:t xml:space="preserve"> &amp; </w:t>
      </w:r>
      <w:proofErr w:type="spellStart"/>
      <w:r>
        <w:rPr>
          <w:color w:val="404040"/>
          <w:sz w:val="15"/>
          <w:szCs w:val="15"/>
        </w:rPr>
        <w:t>Píbil</w:t>
      </w:r>
      <w:proofErr w:type="spellEnd"/>
      <w:r>
        <w:rPr>
          <w:color w:val="404040"/>
          <w:sz w:val="15"/>
          <w:szCs w:val="15"/>
        </w:rPr>
        <w:t xml:space="preserve">, 2015: </w:t>
      </w:r>
      <w:hyperlink r:id="rId10" w:history="1">
        <w:r>
          <w:rPr>
            <w:rStyle w:val="Hyperlink"/>
            <w:color w:val="1F4E79"/>
            <w:sz w:val="15"/>
            <w:szCs w:val="15"/>
          </w:rPr>
          <w:t>https://link.springer.com/chapter/10.1007/978-3-319-14039-1_5</w:t>
        </w:r>
      </w:hyperlink>
    </w:p>
    <w:p w14:paraId="0E23C4DF" w14:textId="77777777" w:rsidR="00D85BBA" w:rsidRDefault="00000000">
      <w:pPr>
        <w:spacing w:after="10"/>
      </w:pPr>
      <w:r>
        <w:rPr>
          <w:color w:val="404040"/>
          <w:sz w:val="15"/>
          <w:szCs w:val="15"/>
        </w:rPr>
        <w:t xml:space="preserve">Pawlick, Colbert &amp; Zhu, ACM CSUR 2019: </w:t>
      </w:r>
      <w:hyperlink r:id="rId11" w:history="1">
        <w:r>
          <w:rPr>
            <w:rStyle w:val="Hyperlink"/>
            <w:color w:val="1F4E79"/>
            <w:sz w:val="15"/>
            <w:szCs w:val="15"/>
          </w:rPr>
          <w:t>https://dl.acm.org/doi/10.1145/3337772</w:t>
        </w:r>
      </w:hyperlink>
    </w:p>
    <w:p w14:paraId="0D444C1F" w14:textId="77777777" w:rsidR="00D85BBA" w:rsidRDefault="00000000">
      <w:pPr>
        <w:spacing w:after="10"/>
      </w:pPr>
      <w:r>
        <w:rPr>
          <w:color w:val="404040"/>
          <w:sz w:val="15"/>
          <w:szCs w:val="15"/>
        </w:rPr>
        <w:t xml:space="preserve">Zhu &amp; Başar, </w:t>
      </w:r>
      <w:proofErr w:type="spellStart"/>
      <w:r>
        <w:rPr>
          <w:color w:val="404040"/>
          <w:sz w:val="15"/>
          <w:szCs w:val="15"/>
        </w:rPr>
        <w:t>GameSec</w:t>
      </w:r>
      <w:proofErr w:type="spellEnd"/>
      <w:r>
        <w:rPr>
          <w:color w:val="404040"/>
          <w:sz w:val="15"/>
          <w:szCs w:val="15"/>
        </w:rPr>
        <w:t xml:space="preserve"> 2013: </w:t>
      </w:r>
      <w:hyperlink r:id="rId12" w:history="1">
        <w:r>
          <w:rPr>
            <w:rStyle w:val="Hyperlink"/>
            <w:color w:val="1F4E79"/>
            <w:sz w:val="15"/>
            <w:szCs w:val="15"/>
          </w:rPr>
          <w:t>https://link.springer.com/chapter/10.1007/978-3-319-02786-9_15</w:t>
        </w:r>
      </w:hyperlink>
    </w:p>
    <w:p w14:paraId="10290214" w14:textId="77777777" w:rsidR="00D85BBA" w:rsidRDefault="00000000">
      <w:pPr>
        <w:spacing w:after="10"/>
      </w:pPr>
      <w:r>
        <w:rPr>
          <w:color w:val="404040"/>
          <w:sz w:val="15"/>
          <w:szCs w:val="15"/>
        </w:rPr>
        <w:t xml:space="preserve">Wagener, State &amp; </w:t>
      </w:r>
      <w:proofErr w:type="spellStart"/>
      <w:r>
        <w:rPr>
          <w:color w:val="404040"/>
          <w:sz w:val="15"/>
          <w:szCs w:val="15"/>
        </w:rPr>
        <w:t>Dulaunoy</w:t>
      </w:r>
      <w:proofErr w:type="spellEnd"/>
      <w:r>
        <w:rPr>
          <w:color w:val="404040"/>
          <w:sz w:val="15"/>
          <w:szCs w:val="15"/>
        </w:rPr>
        <w:t xml:space="preserve">, IM 2011: </w:t>
      </w:r>
      <w:hyperlink r:id="rId13" w:history="1">
        <w:r>
          <w:rPr>
            <w:rStyle w:val="Hyperlink"/>
            <w:color w:val="1F4E79"/>
            <w:sz w:val="15"/>
            <w:szCs w:val="15"/>
          </w:rPr>
          <w:t>https://ieeexplore.ieee.org/document/5990710/</w:t>
        </w:r>
      </w:hyperlink>
    </w:p>
    <w:p w14:paraId="10417151" w14:textId="77777777" w:rsidR="00D85BBA" w:rsidRDefault="00000000">
      <w:pPr>
        <w:spacing w:after="10"/>
      </w:pPr>
      <w:r>
        <w:rPr>
          <w:color w:val="404040"/>
          <w:sz w:val="15"/>
          <w:szCs w:val="15"/>
        </w:rPr>
        <w:t xml:space="preserve">Ignatiev, Morgado &amp; Marques-Silva, JSAT 2019: </w:t>
      </w:r>
      <w:hyperlink r:id="rId14" w:history="1">
        <w:r>
          <w:rPr>
            <w:rStyle w:val="Hyperlink"/>
            <w:color w:val="1F4E79"/>
            <w:sz w:val="15"/>
            <w:szCs w:val="15"/>
          </w:rPr>
          <w:t>https://journals.sagepub.com/doi/abs/10.3233/SAT190116</w:t>
        </w:r>
      </w:hyperlink>
    </w:p>
    <w:p w14:paraId="39A4DECF" w14:textId="77777777" w:rsidR="00D85BBA" w:rsidRDefault="00000000">
      <w:pPr>
        <w:spacing w:after="10"/>
      </w:pPr>
      <w:r>
        <w:rPr>
          <w:color w:val="404040"/>
          <w:sz w:val="15"/>
          <w:szCs w:val="15"/>
        </w:rPr>
        <w:t xml:space="preserve">Wetzler, Heule &amp; Hunt, SAT 2014: </w:t>
      </w:r>
      <w:hyperlink r:id="rId15" w:history="1">
        <w:r>
          <w:rPr>
            <w:rStyle w:val="Hyperlink"/>
            <w:color w:val="1F4E79"/>
            <w:sz w:val="15"/>
            <w:szCs w:val="15"/>
          </w:rPr>
          <w:t>https://link.springer.com/chapter/10.1007/978-3-319-09284-3_31</w:t>
        </w:r>
      </w:hyperlink>
    </w:p>
    <w:p w14:paraId="05046F63" w14:textId="77777777" w:rsidR="00D85BBA" w:rsidRDefault="00000000">
      <w:pPr>
        <w:spacing w:after="10"/>
      </w:pPr>
      <w:r>
        <w:rPr>
          <w:color w:val="404040"/>
          <w:sz w:val="15"/>
          <w:szCs w:val="15"/>
        </w:rPr>
        <w:t xml:space="preserve">Hammar &amp; Stadler, CNSM 2020: </w:t>
      </w:r>
      <w:hyperlink r:id="rId16" w:history="1">
        <w:r>
          <w:rPr>
            <w:rStyle w:val="Hyperlink"/>
            <w:color w:val="1F4E79"/>
            <w:sz w:val="15"/>
            <w:szCs w:val="15"/>
          </w:rPr>
          <w:t>https://ieeexplore.ieee.org/abstract/document/9269092/</w:t>
        </w:r>
      </w:hyperlink>
    </w:p>
    <w:sectPr w:rsidR="00D85BBA">
      <w:footerReference w:type="default" r:id="rId17"/>
      <w:pgSz w:w="12240" w:h="15840"/>
      <w:pgMar w:top="900" w:right="1200" w:bottom="9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391DE9" w14:textId="77777777" w:rsidR="006A6D97" w:rsidRDefault="006A6D97">
      <w:r>
        <w:separator/>
      </w:r>
    </w:p>
  </w:endnote>
  <w:endnote w:type="continuationSeparator" w:id="0">
    <w:p w14:paraId="604C1F58" w14:textId="77777777" w:rsidR="006A6D97" w:rsidRDefault="006A6D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05490F" w14:textId="77777777" w:rsidR="00D85BBA" w:rsidRDefault="00000000">
    <w:pPr>
      <w:jc w:val="right"/>
    </w:pPr>
    <w:r>
      <w:rPr>
        <w:color w:val="808080"/>
        <w:sz w:val="18"/>
        <w:szCs w:val="18"/>
      </w:rPr>
      <w:t xml:space="preserve">ZSTP Item </w:t>
    </w:r>
    <w:proofErr w:type="gramStart"/>
    <w:r>
      <w:rPr>
        <w:color w:val="808080"/>
        <w:sz w:val="18"/>
        <w:szCs w:val="18"/>
      </w:rPr>
      <w:t>6  ·</w:t>
    </w:r>
    <w:proofErr w:type="gramEnd"/>
    <w:r>
      <w:rPr>
        <w:color w:val="808080"/>
        <w:sz w:val="18"/>
        <w:szCs w:val="18"/>
      </w:rPr>
      <w:t xml:space="preserve">  page </w:t>
    </w:r>
    <w:r>
      <w:rPr>
        <w:color w:val="808080"/>
        <w:sz w:val="18"/>
        <w:szCs w:val="18"/>
      </w:rPr>
      <w:fldChar w:fldCharType="begin"/>
    </w:r>
    <w:r>
      <w:rPr>
        <w:color w:val="808080"/>
        <w:sz w:val="18"/>
        <w:szCs w:val="18"/>
      </w:rPr>
      <w:instrText>PAGE</w:instrText>
    </w:r>
    <w:r>
      <w:rPr>
        <w:color w:val="808080"/>
        <w:sz w:val="18"/>
        <w:szCs w:val="18"/>
      </w:rPr>
      <w:fldChar w:fldCharType="separate"/>
    </w:r>
    <w:r w:rsidR="00654DEE">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E24228" w14:textId="77777777" w:rsidR="006A6D97" w:rsidRDefault="006A6D97">
      <w:r>
        <w:separator/>
      </w:r>
    </w:p>
  </w:footnote>
  <w:footnote w:type="continuationSeparator" w:id="0">
    <w:p w14:paraId="6719A09B" w14:textId="77777777" w:rsidR="006A6D97" w:rsidRDefault="006A6D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ECE7E2E"/>
    <w:multiLevelType w:val="hybridMultilevel"/>
    <w:tmpl w:val="D8B2D060"/>
    <w:lvl w:ilvl="0" w:tplc="72A6E5D8">
      <w:start w:val="1"/>
      <w:numFmt w:val="decimal"/>
      <w:lvlText w:val="%1."/>
      <w:lvlJc w:val="left"/>
      <w:pPr>
        <w:ind w:left="720" w:hanging="360"/>
      </w:pPr>
    </w:lvl>
    <w:lvl w:ilvl="1" w:tplc="21400BBC">
      <w:numFmt w:val="decimal"/>
      <w:lvlText w:val=""/>
      <w:lvlJc w:val="left"/>
    </w:lvl>
    <w:lvl w:ilvl="2" w:tplc="7B448334">
      <w:numFmt w:val="decimal"/>
      <w:lvlText w:val=""/>
      <w:lvlJc w:val="left"/>
    </w:lvl>
    <w:lvl w:ilvl="3" w:tplc="F85ECA76">
      <w:numFmt w:val="decimal"/>
      <w:lvlText w:val=""/>
      <w:lvlJc w:val="left"/>
    </w:lvl>
    <w:lvl w:ilvl="4" w:tplc="984E84FA">
      <w:numFmt w:val="decimal"/>
      <w:lvlText w:val=""/>
      <w:lvlJc w:val="left"/>
    </w:lvl>
    <w:lvl w:ilvl="5" w:tplc="FE6C2D70">
      <w:numFmt w:val="decimal"/>
      <w:lvlText w:val=""/>
      <w:lvlJc w:val="left"/>
    </w:lvl>
    <w:lvl w:ilvl="6" w:tplc="A2844F7C">
      <w:numFmt w:val="decimal"/>
      <w:lvlText w:val=""/>
      <w:lvlJc w:val="left"/>
    </w:lvl>
    <w:lvl w:ilvl="7" w:tplc="A6E29E1E">
      <w:numFmt w:val="decimal"/>
      <w:lvlText w:val=""/>
      <w:lvlJc w:val="left"/>
    </w:lvl>
    <w:lvl w:ilvl="8" w:tplc="885A4A58">
      <w:numFmt w:val="decimal"/>
      <w:lvlText w:val=""/>
      <w:lvlJc w:val="left"/>
    </w:lvl>
  </w:abstractNum>
  <w:abstractNum w:abstractNumId="1" w15:restartNumberingAfterBreak="0">
    <w:nsid w:val="204C47A3"/>
    <w:multiLevelType w:val="hybridMultilevel"/>
    <w:tmpl w:val="18F25FE6"/>
    <w:lvl w:ilvl="0" w:tplc="90E04B7A">
      <w:start w:val="1"/>
      <w:numFmt w:val="bullet"/>
      <w:lvlText w:val="●"/>
      <w:lvlJc w:val="left"/>
      <w:pPr>
        <w:ind w:left="720" w:hanging="360"/>
      </w:pPr>
    </w:lvl>
    <w:lvl w:ilvl="1" w:tplc="F3DC07CE">
      <w:start w:val="1"/>
      <w:numFmt w:val="bullet"/>
      <w:lvlText w:val="○"/>
      <w:lvlJc w:val="left"/>
      <w:pPr>
        <w:ind w:left="1440" w:hanging="360"/>
      </w:pPr>
    </w:lvl>
    <w:lvl w:ilvl="2" w:tplc="E8DA9A48">
      <w:start w:val="1"/>
      <w:numFmt w:val="bullet"/>
      <w:lvlText w:val="■"/>
      <w:lvlJc w:val="left"/>
      <w:pPr>
        <w:ind w:left="2160" w:hanging="360"/>
      </w:pPr>
    </w:lvl>
    <w:lvl w:ilvl="3" w:tplc="5A5A8F22">
      <w:start w:val="1"/>
      <w:numFmt w:val="bullet"/>
      <w:lvlText w:val="●"/>
      <w:lvlJc w:val="left"/>
      <w:pPr>
        <w:ind w:left="2880" w:hanging="360"/>
      </w:pPr>
    </w:lvl>
    <w:lvl w:ilvl="4" w:tplc="A142CA04">
      <w:start w:val="1"/>
      <w:numFmt w:val="bullet"/>
      <w:lvlText w:val="○"/>
      <w:lvlJc w:val="left"/>
      <w:pPr>
        <w:ind w:left="3600" w:hanging="360"/>
      </w:pPr>
    </w:lvl>
    <w:lvl w:ilvl="5" w:tplc="84E4BE4E">
      <w:start w:val="1"/>
      <w:numFmt w:val="bullet"/>
      <w:lvlText w:val="■"/>
      <w:lvlJc w:val="left"/>
      <w:pPr>
        <w:ind w:left="4320" w:hanging="360"/>
      </w:pPr>
    </w:lvl>
    <w:lvl w:ilvl="6" w:tplc="5030C5B6">
      <w:start w:val="1"/>
      <w:numFmt w:val="bullet"/>
      <w:lvlText w:val="●"/>
      <w:lvlJc w:val="left"/>
      <w:pPr>
        <w:ind w:left="5040" w:hanging="360"/>
      </w:pPr>
    </w:lvl>
    <w:lvl w:ilvl="7" w:tplc="747C1D9C">
      <w:start w:val="1"/>
      <w:numFmt w:val="bullet"/>
      <w:lvlText w:val="●"/>
      <w:lvlJc w:val="left"/>
      <w:pPr>
        <w:ind w:left="5760" w:hanging="360"/>
      </w:pPr>
    </w:lvl>
    <w:lvl w:ilvl="8" w:tplc="750CAF9A">
      <w:start w:val="1"/>
      <w:numFmt w:val="bullet"/>
      <w:lvlText w:val="●"/>
      <w:lvlJc w:val="left"/>
      <w:pPr>
        <w:ind w:left="6480" w:hanging="360"/>
      </w:pPr>
    </w:lvl>
  </w:abstractNum>
  <w:abstractNum w:abstractNumId="2" w15:restartNumberingAfterBreak="0">
    <w:nsid w:val="2467364F"/>
    <w:multiLevelType w:val="hybridMultilevel"/>
    <w:tmpl w:val="44747EA6"/>
    <w:lvl w:ilvl="0" w:tplc="3DEAA3B4">
      <w:start w:val="1"/>
      <w:numFmt w:val="bullet"/>
      <w:lvlText w:val="•"/>
      <w:lvlJc w:val="left"/>
      <w:pPr>
        <w:ind w:left="720" w:hanging="360"/>
      </w:pPr>
    </w:lvl>
    <w:lvl w:ilvl="1" w:tplc="A43871A8">
      <w:numFmt w:val="decimal"/>
      <w:lvlText w:val=""/>
      <w:lvlJc w:val="left"/>
    </w:lvl>
    <w:lvl w:ilvl="2" w:tplc="D0EEE932">
      <w:numFmt w:val="decimal"/>
      <w:lvlText w:val=""/>
      <w:lvlJc w:val="left"/>
    </w:lvl>
    <w:lvl w:ilvl="3" w:tplc="E4AAD134">
      <w:numFmt w:val="decimal"/>
      <w:lvlText w:val=""/>
      <w:lvlJc w:val="left"/>
    </w:lvl>
    <w:lvl w:ilvl="4" w:tplc="6F8CB19C">
      <w:numFmt w:val="decimal"/>
      <w:lvlText w:val=""/>
      <w:lvlJc w:val="left"/>
    </w:lvl>
    <w:lvl w:ilvl="5" w:tplc="3C6C7E48">
      <w:numFmt w:val="decimal"/>
      <w:lvlText w:val=""/>
      <w:lvlJc w:val="left"/>
    </w:lvl>
    <w:lvl w:ilvl="6" w:tplc="ED9C24BE">
      <w:numFmt w:val="decimal"/>
      <w:lvlText w:val=""/>
      <w:lvlJc w:val="left"/>
    </w:lvl>
    <w:lvl w:ilvl="7" w:tplc="E14819E6">
      <w:numFmt w:val="decimal"/>
      <w:lvlText w:val=""/>
      <w:lvlJc w:val="left"/>
    </w:lvl>
    <w:lvl w:ilvl="8" w:tplc="D0FE27EA">
      <w:numFmt w:val="decimal"/>
      <w:lvlText w:val=""/>
      <w:lvlJc w:val="left"/>
    </w:lvl>
  </w:abstractNum>
  <w:abstractNum w:abstractNumId="3" w15:restartNumberingAfterBreak="0">
    <w:nsid w:val="3B421A01"/>
    <w:multiLevelType w:val="hybridMultilevel"/>
    <w:tmpl w:val="A1F2629E"/>
    <w:lvl w:ilvl="0" w:tplc="D0C8438A">
      <w:start w:val="1"/>
      <w:numFmt w:val="decimal"/>
      <w:lvlText w:val="%1."/>
      <w:lvlJc w:val="left"/>
      <w:pPr>
        <w:ind w:left="720" w:hanging="360"/>
      </w:pPr>
    </w:lvl>
    <w:lvl w:ilvl="1" w:tplc="75FA8624">
      <w:numFmt w:val="decimal"/>
      <w:lvlText w:val=""/>
      <w:lvlJc w:val="left"/>
    </w:lvl>
    <w:lvl w:ilvl="2" w:tplc="8BE2D06E">
      <w:numFmt w:val="decimal"/>
      <w:lvlText w:val=""/>
      <w:lvlJc w:val="left"/>
    </w:lvl>
    <w:lvl w:ilvl="3" w:tplc="B0564CFE">
      <w:numFmt w:val="decimal"/>
      <w:lvlText w:val=""/>
      <w:lvlJc w:val="left"/>
    </w:lvl>
    <w:lvl w:ilvl="4" w:tplc="3BEACF6E">
      <w:numFmt w:val="decimal"/>
      <w:lvlText w:val=""/>
      <w:lvlJc w:val="left"/>
    </w:lvl>
    <w:lvl w:ilvl="5" w:tplc="647A05E2">
      <w:numFmt w:val="decimal"/>
      <w:lvlText w:val=""/>
      <w:lvlJc w:val="left"/>
    </w:lvl>
    <w:lvl w:ilvl="6" w:tplc="F45ADE42">
      <w:numFmt w:val="decimal"/>
      <w:lvlText w:val=""/>
      <w:lvlJc w:val="left"/>
    </w:lvl>
    <w:lvl w:ilvl="7" w:tplc="3BA44D02">
      <w:numFmt w:val="decimal"/>
      <w:lvlText w:val=""/>
      <w:lvlJc w:val="left"/>
    </w:lvl>
    <w:lvl w:ilvl="8" w:tplc="CD70E9DE">
      <w:numFmt w:val="decimal"/>
      <w:lvlText w:val=""/>
      <w:lvlJc w:val="left"/>
    </w:lvl>
  </w:abstractNum>
  <w:abstractNum w:abstractNumId="4" w15:restartNumberingAfterBreak="0">
    <w:nsid w:val="5EA06343"/>
    <w:multiLevelType w:val="hybridMultilevel"/>
    <w:tmpl w:val="A0F20B9A"/>
    <w:lvl w:ilvl="0" w:tplc="8B2EE6D8">
      <w:start w:val="1"/>
      <w:numFmt w:val="decimal"/>
      <w:lvlText w:val="%1."/>
      <w:lvlJc w:val="left"/>
      <w:pPr>
        <w:ind w:left="720" w:hanging="360"/>
      </w:pPr>
    </w:lvl>
    <w:lvl w:ilvl="1" w:tplc="9BBE6D38">
      <w:numFmt w:val="decimal"/>
      <w:lvlText w:val=""/>
      <w:lvlJc w:val="left"/>
    </w:lvl>
    <w:lvl w:ilvl="2" w:tplc="7A882B82">
      <w:numFmt w:val="decimal"/>
      <w:lvlText w:val=""/>
      <w:lvlJc w:val="left"/>
    </w:lvl>
    <w:lvl w:ilvl="3" w:tplc="70AE4066">
      <w:numFmt w:val="decimal"/>
      <w:lvlText w:val=""/>
      <w:lvlJc w:val="left"/>
    </w:lvl>
    <w:lvl w:ilvl="4" w:tplc="E8BC3806">
      <w:numFmt w:val="decimal"/>
      <w:lvlText w:val=""/>
      <w:lvlJc w:val="left"/>
    </w:lvl>
    <w:lvl w:ilvl="5" w:tplc="8BAA7B1C">
      <w:numFmt w:val="decimal"/>
      <w:lvlText w:val=""/>
      <w:lvlJc w:val="left"/>
    </w:lvl>
    <w:lvl w:ilvl="6" w:tplc="76AC0ABA">
      <w:numFmt w:val="decimal"/>
      <w:lvlText w:val=""/>
      <w:lvlJc w:val="left"/>
    </w:lvl>
    <w:lvl w:ilvl="7" w:tplc="D67006A2">
      <w:numFmt w:val="decimal"/>
      <w:lvlText w:val=""/>
      <w:lvlJc w:val="left"/>
    </w:lvl>
    <w:lvl w:ilvl="8" w:tplc="E31C5B4E">
      <w:numFmt w:val="decimal"/>
      <w:lvlText w:val=""/>
      <w:lvlJc w:val="left"/>
    </w:lvl>
  </w:abstractNum>
  <w:num w:numId="1" w16cid:durableId="521864329">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BBA"/>
    <w:rsid w:val="00654DEE"/>
    <w:rsid w:val="006A6D97"/>
    <w:rsid w:val="00D85BBA"/>
    <w:rsid w:val="00FF63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DF4961"/>
  <w15:docId w15:val="{265D3D40-6539-934E-ADFB-2D0035AE2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0"/>
      <w:szCs w:val="30"/>
    </w:rPr>
  </w:style>
  <w:style w:type="paragraph" w:styleId="Heading2">
    <w:name w:val="heading 2"/>
    <w:uiPriority w:val="9"/>
    <w:semiHidden/>
    <w:unhideWhenUsed/>
    <w:qFormat/>
    <w:pPr>
      <w:outlineLvl w:val="1"/>
    </w:pPr>
    <w:rPr>
      <w:b/>
      <w:bCs/>
      <w:color w:val="2E74B5"/>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ink.springer.com/article/10.1007/s10922-008-9109-x" TargetMode="External"/><Relationship Id="rId13" Type="http://schemas.openxmlformats.org/officeDocument/2006/relationships/hyperlink" Target="https://ieeexplore.ieee.org/document/5990710/"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ink.springer.com/chapter/10.1007/978-3-030-32430-8_13" TargetMode="External"/><Relationship Id="rId12" Type="http://schemas.openxmlformats.org/officeDocument/2006/relationships/hyperlink" Target="https://link.springer.com/chapter/10.1007/978-3-319-02786-9_15"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ieeexplore.ieee.org/abstract/document/926909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l.acm.org/doi/10.1145/3337772" TargetMode="External"/><Relationship Id="rId5" Type="http://schemas.openxmlformats.org/officeDocument/2006/relationships/footnotes" Target="footnotes.xml"/><Relationship Id="rId15" Type="http://schemas.openxmlformats.org/officeDocument/2006/relationships/hyperlink" Target="https://link.springer.com/chapter/10.1007/978-3-319-09284-3_31" TargetMode="External"/><Relationship Id="rId10" Type="http://schemas.openxmlformats.org/officeDocument/2006/relationships/hyperlink" Target="https://link.springer.com/chapter/10.1007/978-3-319-14039-1_5"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l.acm.org/doi/10.1145/3126500" TargetMode="External"/><Relationship Id="rId14" Type="http://schemas.openxmlformats.org/officeDocument/2006/relationships/hyperlink" Target="https://journals.sagepub.com/doi/abs/10.3233/SAT1901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873</Words>
  <Characters>5562</Characters>
  <Application>Microsoft Office Word</Application>
  <DocSecurity>0</DocSecurity>
  <Lines>165</Lines>
  <Paragraphs>115</Paragraphs>
  <ScaleCrop>false</ScaleCrop>
  <Company/>
  <LinksUpToDate>false</LinksUpToDate>
  <CharactersWithSpaces>6320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ZSTP — Feedback Item 6</dc:title>
  <dc:creator>ZSTP authors</dc:creator>
  <cp:lastModifiedBy>Nguyen, Tu</cp:lastModifiedBy>
  <cp:revision>2</cp:revision>
  <dcterms:created xsi:type="dcterms:W3CDTF">2026-09-28T01:31:00Z</dcterms:created>
  <dcterms:modified xsi:type="dcterms:W3CDTF">2026-09-28T01:33:00Z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c73f6c-70eb-4b84-9ffa-39fe698bd292_Enabled">
    <vt:lpwstr>true</vt:lpwstr>
  </property>
  <property fmtid="{D5CDD505-2E9C-101B-9397-08002B2CF9AE}" pid="3" name="MSIP_Label_7ec73f6c-70eb-4b84-9ffa-39fe698bd292_SetDate">
    <vt:lpwstr>2026-09-28T01:31:48Z</vt:lpwstr>
  </property>
  <property fmtid="{D5CDD505-2E9C-101B-9397-08002B2CF9AE}" pid="4" name="MSIP_Label_7ec73f6c-70eb-4b84-9ffa-39fe698bd292_Method">
    <vt:lpwstr>Privileged</vt:lpwstr>
  </property>
  <property fmtid="{D5CDD505-2E9C-101B-9397-08002B2CF9AE}" pid="5" name="MSIP_Label_7ec73f6c-70eb-4b84-9ffa-39fe698bd292_Name">
    <vt:lpwstr>Non-Business Information (NB)</vt:lpwstr>
  </property>
  <property fmtid="{D5CDD505-2E9C-101B-9397-08002B2CF9AE}" pid="6" name="MSIP_Label_7ec73f6c-70eb-4b84-9ffa-39fe698bd292_SiteId">
    <vt:lpwstr>906aefe9-76a7-4f65-b82d-5ec20775d5aa</vt:lpwstr>
  </property>
  <property fmtid="{D5CDD505-2E9C-101B-9397-08002B2CF9AE}" pid="7" name="MSIP_Label_7ec73f6c-70eb-4b84-9ffa-39fe698bd292_ActionId">
    <vt:lpwstr>9ae2e2ed-3f88-472c-a3e3-db796824e667</vt:lpwstr>
  </property>
  <property fmtid="{D5CDD505-2E9C-101B-9397-08002B2CF9AE}" pid="8" name="MSIP_Label_7ec73f6c-70eb-4b84-9ffa-39fe698bd292_ContentBits">
    <vt:lpwstr>0</vt:lpwstr>
  </property>
  <property fmtid="{D5CDD505-2E9C-101B-9397-08002B2CF9AE}" pid="9" name="MSIP_Label_7ec73f6c-70eb-4b84-9ffa-39fe698bd292_Tag">
    <vt:lpwstr>50, 0, 1, 1</vt:lpwstr>
  </property>
</Properties>
</file>