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olor w:val="1F3864"/>
          <w:sz w:val="96"/>
          <w:szCs w:val="96"/>
        </w:rPr>
        <w:t xml:space="preserve">RC2</w:t>
      </w:r>
    </w:p>
    <w:p>
      <w:pPr>
        <w:spacing w:after="60" w:before="120"/>
        <w:jc w:val="center"/>
      </w:pPr>
      <w:r>
        <w:rPr>
          <w:b/>
          <w:bCs/>
          <w:color w:val="2E74B5"/>
          <w:sz w:val="40"/>
          <w:szCs w:val="40"/>
        </w:rPr>
        <w:t xml:space="preserve">MaxSAT Honeypot Placement Optimizer</w:t>
      </w:r>
    </w:p>
    <w:p>
      <w:pPr>
        <w:spacing w:after="600" w:before="40"/>
        <w:jc w:val="center"/>
      </w:pPr>
      <w:r>
        <w:rPr>
          <w:color w:val="595959"/>
          <w:sz w:val="28"/>
          <w:szCs w:val="28"/>
        </w:rPr>
        <w:t xml:space="preserve">Formulation, Attributes &amp; Analysis Reference</w:t>
      </w:r>
    </w:p>
    <w:p>
      <w:pPr>
        <w:pBdr>
          <w:bottom w:val="single" w:color="2E74B5" w:sz="12"/>
        </w:pBdr>
        <w:spacing w:after="400" w:before="0"/>
      </w:pPr>
    </w:p>
    <w:p>
      <w:pPr>
        <w:spacing w:after="120" w:before="0"/>
        <w:jc w:val="center"/>
      </w:pPr>
      <w:r>
        <w:rPr>
          <w:i/>
          <w:iCs/>
          <w:color w:val="595959"/>
          <w:sz w:val="24"/>
          <w:szCs w:val="24"/>
        </w:rPr>
        <w:t xml:space="preserve">Technical Reference Document</w:t>
      </w:r>
    </w:p>
    <w:p>
      <w:pPr>
        <w:spacing w:after="2880" w:before="0"/>
        <w:jc w:val="center"/>
      </w:pPr>
      <w:r>
        <w:rPr>
          <w:color w:val="595959"/>
          <w:sz w:val="22"/>
          <w:szCs w:val="22"/>
        </w:rPr>
        <w:t xml:space="preserve">July 2026</w:t>
      </w:r>
    </w:p>
    <w:p>
      <w:r>
        <w:br w:type="page"/>
      </w:r>
    </w:p>
    <w:p>
      <w:pPr>
        <w:pStyle w:val="Heading1"/>
        <w:spacing w:after="120" w:before="240"/>
      </w:pPr>
      <w:r>
        <w:t xml:space="preserve">Executive Summary</w:t>
      </w:r>
    </w:p>
    <w:p>
      <w:pPr>
        <w:pBdr>
          <w:bottom w:val="single" w:color="2E74B5" w:sz="6"/>
        </w:pBdr>
        <w:spacing w:after="200" w:before="200"/>
      </w:pPr>
    </w:p>
    <w:p>
      <w:pPr>
        <w:spacing w:after="60" w:before="60"/>
      </w:pPr>
      <w:r>
        <w:rPr>
          <w:color w:val="000000"/>
          <w:sz w:val="22"/>
          <w:szCs w:val="22"/>
        </w:rPr>
        <w:t xml:space="preserve">RC2 places fake safes like a chess grandmaster who simultaneously sees every thief route, rotates the pieces so thieves can never learn the pattern, maximizes credit by recognizing that the vault room catches all three thieves at once, and can hand you a signed certificate proving no better placement exists — </w:t>
      </w:r>
      <w:r>
        <w:rPr>
          <w:b/>
          <w:bCs/>
          <w:color w:val="000000"/>
          <w:sz w:val="22"/>
          <w:szCs w:val="22"/>
        </w:rPr>
        <w:t xml:space="preserve">while every other solver is just guessing.</w:t>
      </w:r>
    </w:p>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val="clear"/>
          </w:tcPr>
          <w:p>
            <w:pPr>
              <w:spacing w:after="60" w:before="60"/>
              <w:ind w:left="80"/>
            </w:pPr>
            <w:r>
              <w:rPr>
                <w:b/>
                <w:bCs/>
                <w:color w:val="FFFFFF"/>
                <w:sz w:val="20"/>
                <w:szCs w:val="20"/>
              </w:rPr>
              <w:t xml:space="preserve">Dimension</w:t>
            </w:r>
          </w:p>
        </w:tc>
        <w:tc>
          <w:tcPr>
            <w:tcW w:type="dxa" w:w="7000"/>
            <w:shd w:fill="1F3864" w:val="clear"/>
          </w:tcPr>
          <w:p>
            <w:pPr>
              <w:spacing w:after="60" w:before="60"/>
              <w:ind w:left="80"/>
            </w:pPr>
            <w:r>
              <w:rPr>
                <w:b/>
                <w:bCs/>
                <w:color w:val="FFFFFF"/>
                <w:sz w:val="20"/>
                <w:szCs w:val="20"/>
              </w:rPr>
              <w:t xml:space="preserve">What RC2 Optimizes</w:t>
            </w:r>
          </w:p>
        </w:tc>
      </w:tr>
      <w:tr>
        <w:trPr>
          <w:tblHeader w:val="false"/>
        </w:trPr>
        <w:tc>
          <w:tcPr>
            <w:tcW w:type="dxa" w:w="2200"/>
            <w:shd w:fill="FFFFFF" w:val="clear"/>
          </w:tcPr>
          <w:p>
            <w:pPr>
              <w:spacing w:after="60" w:before="60"/>
              <w:ind w:left="80"/>
            </w:pPr>
            <w:r>
              <w:rPr>
                <w:b w:val="false"/>
                <w:bCs w:val="false"/>
                <w:color w:val="000000"/>
                <w:sz w:val="20"/>
                <w:szCs w:val="20"/>
              </w:rPr>
              <w:t xml:space="preserve">Where</w:t>
            </w:r>
          </w:p>
        </w:tc>
        <w:tc>
          <w:tcPr>
            <w:tcW w:type="dxa" w:w="7000"/>
            <w:shd w:fill="FFFFFF" w:val="clear"/>
          </w:tcPr>
          <w:p>
            <w:pPr>
              <w:spacing w:after="60" w:before="60"/>
              <w:ind w:left="80"/>
            </w:pPr>
            <w:r>
              <w:rPr>
                <w:b w:val="false"/>
                <w:bCs w:val="false"/>
                <w:color w:val="000000"/>
                <w:sz w:val="20"/>
                <w:szCs w:val="20"/>
              </w:rPr>
              <w:t xml:space="preserve">Network zone placement across DMZ, Internal, Cloud, OT, Mgmt</w:t>
            </w:r>
          </w:p>
        </w:tc>
      </w:tr>
      <w:tr>
        <w:trPr>
          <w:tblHeader w:val="false"/>
        </w:trPr>
        <w:tc>
          <w:tcPr>
            <w:tcW w:type="dxa" w:w="2200"/>
            <w:shd w:fill="F2F2F2" w:val="clear"/>
          </w:tcPr>
          <w:p>
            <w:pPr>
              <w:spacing w:after="60" w:before="60"/>
              <w:ind w:left="80"/>
            </w:pPr>
            <w:r>
              <w:rPr>
                <w:b w:val="false"/>
                <w:bCs w:val="false"/>
                <w:color w:val="000000"/>
                <w:sz w:val="20"/>
                <w:szCs w:val="20"/>
              </w:rPr>
              <w:t xml:space="preserve">When</w:t>
            </w:r>
          </w:p>
        </w:tc>
        <w:tc>
          <w:tcPr>
            <w:tcW w:type="dxa" w:w="7000"/>
            <w:shd w:fill="F2F2F2" w:val="clear"/>
          </w:tcPr>
          <w:p>
            <w:pPr>
              <w:spacing w:after="60" w:before="60"/>
              <w:ind w:left="80"/>
            </w:pPr>
            <w:r>
              <w:rPr>
                <w:b w:val="false"/>
                <w:bCs w:val="false"/>
                <w:color w:val="000000"/>
                <w:sz w:val="20"/>
                <w:szCs w:val="20"/>
              </w:rPr>
              <w:t xml:space="preserve">Time slot scheduling across the planning horizon H</w:t>
            </w:r>
          </w:p>
        </w:tc>
      </w:tr>
      <w:tr>
        <w:trPr>
          <w:tblHeader w:val="false"/>
        </w:trPr>
        <w:tc>
          <w:tcPr>
            <w:tcW w:type="dxa" w:w="2200"/>
            <w:shd w:fill="FFFFFF" w:val="clear"/>
          </w:tcPr>
          <w:p>
            <w:pPr>
              <w:spacing w:after="60" w:before="60"/>
              <w:ind w:left="80"/>
            </w:pPr>
            <w:r>
              <w:rPr>
                <w:b w:val="false"/>
                <w:bCs w:val="false"/>
                <w:color w:val="000000"/>
                <w:sz w:val="20"/>
                <w:szCs w:val="20"/>
              </w:rPr>
              <w:t xml:space="preserve">As Whom</w:t>
            </w:r>
          </w:p>
        </w:tc>
        <w:tc>
          <w:tcPr>
            <w:tcW w:type="dxa" w:w="7000"/>
            <w:shd w:fill="FFFFFF" w:val="clear"/>
          </w:tcPr>
          <w:p>
            <w:pPr>
              <w:spacing w:after="60" w:before="60"/>
              <w:ind w:left="80"/>
            </w:pPr>
            <w:r>
              <w:rPr>
                <w:b w:val="false"/>
                <w:bCs w:val="false"/>
                <w:color w:val="000000"/>
                <w:sz w:val="20"/>
                <w:szCs w:val="20"/>
              </w:rPr>
              <w:t xml:space="preserve">Disguised persona assignment from persona catalogue P</w:t>
            </w:r>
          </w:p>
        </w:tc>
      </w:tr>
      <w:tr>
        <w:trPr>
          <w:tblHeader w:val="false"/>
        </w:trPr>
        <w:tc>
          <w:tcPr>
            <w:tcW w:type="dxa" w:w="2200"/>
            <w:shd w:fill="F2F2F2" w:val="clear"/>
          </w:tcPr>
          <w:p>
            <w:pPr>
              <w:spacing w:after="60" w:before="60"/>
              <w:ind w:left="80"/>
            </w:pPr>
            <w:r>
              <w:rPr>
                <w:b w:val="false"/>
                <w:bCs w:val="false"/>
                <w:color w:val="000000"/>
                <w:sz w:val="20"/>
                <w:szCs w:val="20"/>
              </w:rPr>
              <w:t xml:space="preserve">Against Whom</w:t>
            </w:r>
          </w:p>
        </w:tc>
        <w:tc>
          <w:tcPr>
            <w:tcW w:type="dxa" w:w="7000"/>
            <w:shd w:fill="F2F2F2" w:val="clear"/>
          </w:tcPr>
          <w:p>
            <w:pPr>
              <w:spacing w:after="60" w:before="60"/>
              <w:ind w:left="80"/>
            </w:pPr>
            <w:r>
              <w:rPr>
                <w:b w:val="false"/>
                <w:bCs w:val="false"/>
                <w:color w:val="000000"/>
                <w:sz w:val="20"/>
                <w:szCs w:val="20"/>
              </w:rPr>
              <w:t xml:space="preserve">Minimax over all four attacker profiles Θ</w:t>
            </w:r>
          </w:p>
        </w:tc>
      </w:tr>
      <w:tr>
        <w:trPr>
          <w:tblHeader w:val="false"/>
        </w:trPr>
        <w:tc>
          <w:tcPr>
            <w:tcW w:type="dxa" w:w="2200"/>
            <w:shd w:fill="FFFFFF" w:val="clear"/>
          </w:tcPr>
          <w:p>
            <w:pPr>
              <w:spacing w:after="60" w:before="60"/>
              <w:ind w:left="80"/>
            </w:pPr>
            <w:r>
              <w:rPr>
                <w:b w:val="false"/>
                <w:bCs w:val="false"/>
                <w:color w:val="000000"/>
                <w:sz w:val="20"/>
                <w:szCs w:val="20"/>
              </w:rPr>
              <w:t xml:space="preserve">Guaranteed</w:t>
            </w:r>
          </w:p>
        </w:tc>
        <w:tc>
          <w:tcPr>
            <w:tcW w:type="dxa" w:w="7000"/>
            <w:shd w:fill="FFFFFF" w:val="clear"/>
          </w:tcPr>
          <w:p>
            <w:pPr>
              <w:spacing w:after="60" w:before="60"/>
              <w:ind w:left="80"/>
            </w:pPr>
            <w:r>
              <w:rPr>
                <w:b w:val="false"/>
                <w:bCs w:val="false"/>
                <w:color w:val="000000"/>
                <w:sz w:val="20"/>
                <w:szCs w:val="20"/>
              </w:rPr>
              <w:t xml:space="preserve">Formal optimality certificate via MaxSAT core-guided proof</w:t>
            </w:r>
          </w:p>
        </w:tc>
      </w:tr>
    </w:tbl>
    <w:p>
      <w:pPr>
        <w:spacing w:before="200"/>
      </w:pPr>
    </w:p>
    <w:p>
      <w:r>
        <w:br w:type="page"/>
      </w:r>
    </w:p>
    <w:p>
      <w:pPr>
        <w:pStyle w:val="Heading1"/>
        <w:spacing w:after="120" w:before="240"/>
      </w:pPr>
      <w:r>
        <w:t xml:space="preserve">Instance Tuple Attributes — Eq. (1)</w:t>
      </w:r>
    </w:p>
    <w:p>
      <w:pPr>
        <w:pBdr>
          <w:bottom w:val="single" w:color="2E74B5" w:sz="6"/>
        </w:pBdr>
        <w:spacing w:after="200" w:before="200"/>
      </w:pPr>
    </w:p>
    <w:p>
      <w:pPr>
        <w:spacing w:after="60" w:before="60"/>
      </w:pPr>
      <w:r>
        <w:rPr>
          <w:color w:val="000000"/>
          <w:sz w:val="22"/>
          <w:szCs w:val="22"/>
        </w:rPr>
        <w:t xml:space="preserve">The 36-symbol instance tuple is the complete briefing document RC2 reads before solving. Every constraint and every credit in the objective references elements of this tuple. Attributes are organized across four conceptual categories.</w:t>
      </w:r>
    </w:p>
    <w:p>
      <w:pPr>
        <w:spacing w:before="160"/>
      </w:pPr>
    </w:p>
    <w:p>
      <w:pPr>
        <w:pStyle w:val="Heading2"/>
        <w:spacing w:after="120" w:before="240"/>
      </w:pPr>
      <w:r>
        <w:t xml:space="preserve">2.1  Spatial Attributes — Zone / Network</w:t>
      </w:r>
    </w:p>
    <w:p>
      <w:pPr>
        <w:spacing w:after="60" w:before="60"/>
      </w:pPr>
      <w:r>
        <w:rPr>
          <w:color w:val="000000"/>
          <w:sz w:val="22"/>
          <w:szCs w:val="22"/>
        </w:rPr>
        <w:t xml:space="preserve">Spatial attributes define what exists and where. K and Z are the deployment space. G encodes what the attacker does — the paths they walk and how often. C and I₂ encode physical constraints that RC2 can never violate.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400"/>
        <w:gridCol w:w="2800"/>
      </w:tblGrid>
      <w:tr>
        <w:trPr>
          <w:tblHeader/>
        </w:trPr>
        <w:tc>
          <w:tcPr>
            <w:tcW w:type="dxa" w:w="600"/>
            <w:shd w:fill="1F3864" w:val="clear"/>
          </w:tcPr>
          <w:p>
            <w:pPr>
              <w:spacing w:after="60" w:before="60"/>
              <w:ind w:left="80"/>
            </w:pPr>
            <w:r>
              <w:rPr>
                <w:b/>
                <w:bCs/>
                <w:color w:val="FFFFFF"/>
                <w:sz w:val="20"/>
                <w:szCs w:val="20"/>
              </w:rPr>
              <w:t xml:space="preserve">Symbol</w:t>
            </w:r>
          </w:p>
        </w:tc>
        <w:tc>
          <w:tcPr>
            <w:tcW w:type="dxa" w:w="1400"/>
            <w:shd w:fill="1F3864" w:val="clear"/>
          </w:tcPr>
          <w:p>
            <w:pPr>
              <w:spacing w:after="60" w:before="60"/>
              <w:ind w:left="80"/>
            </w:pPr>
            <w:r>
              <w:rPr>
                <w:b/>
                <w:bCs/>
                <w:color w:val="FFFFFF"/>
                <w:sz w:val="20"/>
                <w:szCs w:val="20"/>
              </w:rPr>
              <w:t xml:space="preserve">Name</w:t>
            </w:r>
          </w:p>
        </w:tc>
        <w:tc>
          <w:tcPr>
            <w:tcW w:type="dxa" w:w="4400"/>
            <w:shd w:fill="1F3864" w:val="clear"/>
          </w:tcPr>
          <w:p>
            <w:pPr>
              <w:spacing w:after="60" w:before="60"/>
              <w:ind w:left="80"/>
            </w:pPr>
            <w:r>
              <w:rPr>
                <w:b/>
                <w:bCs/>
                <w:color w:val="FFFFFF"/>
                <w:sz w:val="20"/>
                <w:szCs w:val="20"/>
              </w:rPr>
              <w:t xml:space="preserve">Description</w:t>
            </w:r>
          </w:p>
        </w:tc>
        <w:tc>
          <w:tcPr>
            <w:tcW w:type="dxa" w:w="2800"/>
            <w:shd w:fill="1F3864" w:val="clear"/>
          </w:tcPr>
          <w:p>
            <w:pPr>
              <w:spacing w:after="60" w:before="60"/>
              <w:ind w:left="80"/>
            </w:pPr>
            <w:r>
              <w:rPr>
                <w:b/>
                <w:bCs/>
                <w:color w:val="FFFFFF"/>
                <w:sz w:val="20"/>
                <w:szCs w:val="20"/>
              </w:rPr>
              <w:t xml:space="preserve">Example</w:t>
            </w:r>
          </w:p>
        </w:tc>
      </w:tr>
      <w:tr>
        <w:trPr>
          <w:tblHeader w:val="false"/>
        </w:trPr>
        <w:tc>
          <w:tcPr>
            <w:tcW w:type="dxa" w:w="600"/>
            <w:shd w:fill="FFFFFF" w:val="clear"/>
          </w:tcPr>
          <w:p>
            <w:pPr>
              <w:spacing w:after="60" w:before="60"/>
              <w:ind w:left="80"/>
            </w:pPr>
            <w:r>
              <w:rPr>
                <w:b w:val="false"/>
                <w:bCs w:val="false"/>
                <w:color w:val="000000"/>
                <w:sz w:val="20"/>
                <w:szCs w:val="20"/>
              </w:rPr>
              <w:t xml:space="preserve">K</w:t>
            </w:r>
          </w:p>
        </w:tc>
        <w:tc>
          <w:tcPr>
            <w:tcW w:type="dxa" w:w="1400"/>
            <w:shd w:fill="FFFFFF" w:val="clear"/>
          </w:tcPr>
          <w:p>
            <w:pPr>
              <w:spacing w:after="60" w:before="60"/>
              <w:ind w:left="80"/>
            </w:pPr>
            <w:r>
              <w:rPr>
                <w:b w:val="false"/>
                <w:bCs w:val="false"/>
                <w:color w:val="000000"/>
                <w:sz w:val="20"/>
                <w:szCs w:val="20"/>
              </w:rPr>
              <w:t xml:space="preserve">Trap-type set</w:t>
            </w:r>
          </w:p>
        </w:tc>
        <w:tc>
          <w:tcPr>
            <w:tcW w:type="dxa" w:w="4400"/>
            <w:shd w:fill="FFFFFF" w:val="clear"/>
          </w:tcPr>
          <w:p>
            <w:pPr>
              <w:spacing w:after="60" w:before="60"/>
              <w:ind w:left="80"/>
            </w:pPr>
            <w:r>
              <w:rPr>
                <w:b w:val="false"/>
                <w:bCs w:val="false"/>
                <w:color w:val="000000"/>
                <w:sz w:val="20"/>
                <w:szCs w:val="20"/>
              </w:rPr>
              <w:t xml:space="preserve">Finite set of honeypot types. Each type has a distinct service fingerprint. Conflict pairs C ⊆ K×K prevent coexistence in same zone/slot.</w:t>
            </w:r>
          </w:p>
        </w:tc>
        <w:tc>
          <w:tcPr>
            <w:tcW w:type="dxa" w:w="2800"/>
            <w:shd w:fill="FFFFFF" w:val="clear"/>
          </w:tcPr>
          <w:p>
            <w:pPr>
              <w:spacing w:after="60" w:before="60"/>
              <w:ind w:left="80"/>
            </w:pPr>
            <w:r>
              <w:rPr>
                <w:b w:val="false"/>
                <w:bCs w:val="false"/>
                <w:color w:val="000000"/>
                <w:sz w:val="20"/>
                <w:szCs w:val="20"/>
              </w:rPr>
              <w:t xml:space="preserve">|K|=8: db_trap, dns_trap, ssh_trap, http_trap, ftp_trap, smb_trap, ad_trap, generic_trap</w:t>
            </w:r>
          </w:p>
        </w:tc>
      </w:tr>
      <w:tr>
        <w:trPr>
          <w:tblHeader w:val="false"/>
        </w:trPr>
        <w:tc>
          <w:tcPr>
            <w:tcW w:type="dxa" w:w="600"/>
            <w:shd w:fill="F2F2F2" w:val="clear"/>
          </w:tcPr>
          <w:p>
            <w:pPr>
              <w:spacing w:after="60" w:before="60"/>
              <w:ind w:left="80"/>
            </w:pPr>
            <w:r>
              <w:rPr>
                <w:b w:val="false"/>
                <w:bCs w:val="false"/>
                <w:color w:val="000000"/>
                <w:sz w:val="20"/>
                <w:szCs w:val="20"/>
              </w:rPr>
              <w:t xml:space="preserve">Z</w:t>
            </w:r>
          </w:p>
        </w:tc>
        <w:tc>
          <w:tcPr>
            <w:tcW w:type="dxa" w:w="1400"/>
            <w:shd w:fill="F2F2F2" w:val="clear"/>
          </w:tcPr>
          <w:p>
            <w:pPr>
              <w:spacing w:after="60" w:before="60"/>
              <w:ind w:left="80"/>
            </w:pPr>
            <w:r>
              <w:rPr>
                <w:b w:val="false"/>
                <w:bCs w:val="false"/>
                <w:color w:val="000000"/>
                <w:sz w:val="20"/>
                <w:szCs w:val="20"/>
              </w:rPr>
              <w:t xml:space="preserve">Zone set</w:t>
            </w:r>
          </w:p>
        </w:tc>
        <w:tc>
          <w:tcPr>
            <w:tcW w:type="dxa" w:w="4400"/>
            <w:shd w:fill="F2F2F2" w:val="clear"/>
          </w:tcPr>
          <w:p>
            <w:pPr>
              <w:spacing w:after="60" w:before="60"/>
              <w:ind w:left="80"/>
            </w:pPr>
            <w:r>
              <w:rPr>
                <w:b w:val="false"/>
                <w:bCs w:val="false"/>
                <w:color w:val="000000"/>
                <w:sz w:val="20"/>
                <w:szCs w:val="20"/>
              </w:rPr>
              <w:t xml:space="preserve">Five network zones. Hop-distance h_d scales credit: DMZ (h_d=1) earns highest credit; OT (h_d=3) earns least.</w:t>
            </w:r>
          </w:p>
        </w:tc>
        <w:tc>
          <w:tcPr>
            <w:tcW w:type="dxa" w:w="2800"/>
            <w:shd w:fill="F2F2F2" w:val="clear"/>
          </w:tcPr>
          <w:p>
            <w:pPr>
              <w:spacing w:after="60" w:before="60"/>
              <w:ind w:left="80"/>
            </w:pPr>
            <w:r>
              <w:rPr>
                <w:b w:val="false"/>
                <w:bCs w:val="false"/>
                <w:color w:val="000000"/>
                <w:sz w:val="20"/>
                <w:szCs w:val="20"/>
              </w:rPr>
              <w:t xml:space="preserve">DMZ, Internal, Cloud, OT, Mgmt</w:t>
            </w:r>
          </w:p>
        </w:tc>
      </w:tr>
      <w:tr>
        <w:trPr>
          <w:tblHeader w:val="false"/>
        </w:trPr>
        <w:tc>
          <w:tcPr>
            <w:tcW w:type="dxa" w:w="600"/>
            <w:shd w:fill="FFFFFF" w:val="clear"/>
          </w:tcPr>
          <w:p>
            <w:pPr>
              <w:spacing w:after="60" w:before="60"/>
              <w:ind w:left="80"/>
            </w:pPr>
            <w:r>
              <w:rPr>
                <w:b w:val="false"/>
                <w:bCs w:val="false"/>
                <w:color w:val="000000"/>
                <w:sz w:val="20"/>
                <w:szCs w:val="20"/>
              </w:rPr>
              <w:t xml:space="preserve">A</w:t>
            </w:r>
          </w:p>
        </w:tc>
        <w:tc>
          <w:tcPr>
            <w:tcW w:type="dxa" w:w="1400"/>
            <w:shd w:fill="FFFFFF" w:val="clear"/>
          </w:tcPr>
          <w:p>
            <w:pPr>
              <w:spacing w:after="60" w:before="60"/>
              <w:ind w:left="80"/>
            </w:pPr>
            <w:r>
              <w:rPr>
                <w:b w:val="false"/>
                <w:bCs w:val="false"/>
                <w:color w:val="000000"/>
                <w:sz w:val="20"/>
                <w:szCs w:val="20"/>
              </w:rPr>
              <w:t xml:space="preserve">Asset set</w:t>
            </w:r>
          </w:p>
        </w:tc>
        <w:tc>
          <w:tcPr>
            <w:tcW w:type="dxa" w:w="4400"/>
            <w:shd w:fill="FFFFFF" w:val="clear"/>
          </w:tcPr>
          <w:p>
            <w:pPr>
              <w:spacing w:after="60" w:before="60"/>
              <w:ind w:left="80"/>
            </w:pPr>
            <w:r>
              <w:rPr>
                <w:b w:val="false"/>
                <w:bCs w:val="false"/>
                <w:color w:val="000000"/>
                <w:sz w:val="20"/>
                <w:szCs w:val="20"/>
              </w:rPr>
              <w:t xml:space="preserve">Assets the defender protects. Credit weights w_{j,a} measure detection value per technique-asset pair.</w:t>
            </w:r>
          </w:p>
        </w:tc>
        <w:tc>
          <w:tcPr>
            <w:tcW w:type="dxa" w:w="2800"/>
            <w:shd w:fill="FFFFFF" w:val="clear"/>
          </w:tcPr>
          <w:p>
            <w:pPr>
              <w:spacing w:after="60" w:before="60"/>
              <w:ind w:left="80"/>
            </w:pPr>
            <w:r>
              <w:rPr>
                <w:b w:val="false"/>
                <w:bCs w:val="false"/>
                <w:color w:val="000000"/>
                <w:sz w:val="20"/>
                <w:szCs w:val="20"/>
              </w:rPr>
              <w:t xml:space="preserve">|A|=500 at XLarge</w:t>
            </w:r>
          </w:p>
        </w:tc>
      </w:tr>
      <w:tr>
        <w:trPr>
          <w:tblHeader w:val="false"/>
        </w:trPr>
        <w:tc>
          <w:tcPr>
            <w:tcW w:type="dxa" w:w="600"/>
            <w:shd w:fill="F2F2F2" w:val="clear"/>
          </w:tcPr>
          <w:p>
            <w:pPr>
              <w:spacing w:after="60" w:before="60"/>
              <w:ind w:left="80"/>
            </w:pPr>
            <w:r>
              <w:rPr>
                <w:b w:val="false"/>
                <w:bCs w:val="false"/>
                <w:color w:val="000000"/>
                <w:sz w:val="20"/>
                <w:szCs w:val="20"/>
              </w:rPr>
              <w:t xml:space="preserve">G</w:t>
            </w:r>
          </w:p>
        </w:tc>
        <w:tc>
          <w:tcPr>
            <w:tcW w:type="dxa" w:w="1400"/>
            <w:shd w:fill="F2F2F2" w:val="clear"/>
          </w:tcPr>
          <w:p>
            <w:pPr>
              <w:spacing w:after="60" w:before="60"/>
              <w:ind w:left="80"/>
            </w:pPr>
            <w:r>
              <w:rPr>
                <w:b w:val="false"/>
                <w:bCs w:val="false"/>
                <w:color w:val="000000"/>
                <w:sz w:val="20"/>
                <w:szCs w:val="20"/>
              </w:rPr>
              <w:t xml:space="preserve">Attack path set</w:t>
            </w:r>
          </w:p>
        </w:tc>
        <w:tc>
          <w:tcPr>
            <w:tcW w:type="dxa" w:w="4400"/>
            <w:shd w:fill="F2F2F2" w:val="clear"/>
          </w:tcPr>
          <w:p>
            <w:pPr>
              <w:spacing w:after="60" w:before="60"/>
              <w:ind w:left="80"/>
            </w:pPr>
            <w:r>
              <w:rPr>
                <w:b w:val="false"/>
                <w:bCs w:val="false"/>
                <w:color w:val="000000"/>
                <w:sz w:val="20"/>
                <w:szCs w:val="20"/>
              </w:rPr>
              <w:t xml:space="preserve">G=(π₁,…,π_N): ordered sequences of (zone, technique, asset) hops. Path frequency ρ_π and hop-importance iv_{π,h} feed every soft clause.</w:t>
            </w:r>
          </w:p>
        </w:tc>
        <w:tc>
          <w:tcPr>
            <w:tcW w:type="dxa" w:w="2800"/>
            <w:shd w:fill="F2F2F2" w:val="clear"/>
          </w:tcPr>
          <w:p>
            <w:pPr>
              <w:spacing w:after="60" w:before="60"/>
              <w:ind w:left="80"/>
            </w:pPr>
            <w:r>
              <w:rPr>
                <w:b w:val="false"/>
                <w:bCs w:val="false"/>
                <w:color w:val="000000"/>
                <w:sz w:val="20"/>
                <w:szCs w:val="20"/>
              </w:rPr>
              <w:t xml:space="preserve">4 paths: web→db (ρ=0.30), OT infiltration (ρ=0.15), brute→AD (ρ=0.20), cloud pivot (ρ=0.10)</w:t>
            </w:r>
          </w:p>
        </w:tc>
      </w:tr>
      <w:tr>
        <w:trPr>
          <w:tblHeader w:val="false"/>
        </w:trPr>
        <w:tc>
          <w:tcPr>
            <w:tcW w:type="dxa" w:w="600"/>
            <w:shd w:fill="FFFFFF" w:val="clear"/>
          </w:tcPr>
          <w:p>
            <w:pPr>
              <w:spacing w:after="60" w:before="60"/>
              <w:ind w:left="80"/>
            </w:pPr>
            <w:r>
              <w:rPr>
                <w:b w:val="false"/>
                <w:bCs w:val="false"/>
                <w:color w:val="000000"/>
                <w:sz w:val="20"/>
                <w:szCs w:val="20"/>
              </w:rPr>
              <w:t xml:space="preserve">C</w:t>
            </w:r>
          </w:p>
        </w:tc>
        <w:tc>
          <w:tcPr>
            <w:tcW w:type="dxa" w:w="1400"/>
            <w:shd w:fill="FFFFFF" w:val="clear"/>
          </w:tcPr>
          <w:p>
            <w:pPr>
              <w:spacing w:after="60" w:before="60"/>
              <w:ind w:left="80"/>
            </w:pPr>
            <w:r>
              <w:rPr>
                <w:b w:val="false"/>
                <w:bCs w:val="false"/>
                <w:color w:val="000000"/>
                <w:sz w:val="20"/>
                <w:szCs w:val="20"/>
              </w:rPr>
              <w:t xml:space="preserve">Type-conflict set</w:t>
            </w:r>
          </w:p>
        </w:tc>
        <w:tc>
          <w:tcPr>
            <w:tcW w:type="dxa" w:w="4400"/>
            <w:shd w:fill="FFFFFF" w:val="clear"/>
          </w:tcPr>
          <w:p>
            <w:pPr>
              <w:spacing w:after="60" w:before="60"/>
              <w:ind w:left="80"/>
            </w:pPr>
            <w:r>
              <w:rPr>
                <w:b w:val="false"/>
                <w:bCs w:val="false"/>
                <w:color w:val="000000"/>
                <w:sz w:val="20"/>
                <w:szCs w:val="20"/>
              </w:rPr>
              <w:t xml:space="preserve">C ⊆ K×K pairs that cannot coexist in same zone+slot. Enforced by hard constraint C4 to prevent fingerprint collision.</w:t>
            </w:r>
          </w:p>
        </w:tc>
        <w:tc>
          <w:tcPr>
            <w:tcW w:type="dxa" w:w="2800"/>
            <w:shd w:fill="FFFFFF" w:val="clear"/>
          </w:tcPr>
          <w:p>
            <w:pPr>
              <w:spacing w:after="60" w:before="60"/>
              <w:ind w:left="80"/>
            </w:pPr>
            <w:r>
              <w:rPr>
                <w:b w:val="false"/>
                <w:bCs w:val="false"/>
                <w:color w:val="000000"/>
                <w:sz w:val="20"/>
                <w:szCs w:val="20"/>
              </w:rPr>
              <w:t xml:space="preserve">(dns_trap, generic_trap)</w:t>
            </w:r>
          </w:p>
        </w:tc>
      </w:tr>
      <w:tr>
        <w:trPr>
          <w:tblHeader w:val="false"/>
        </w:trPr>
        <w:tc>
          <w:tcPr>
            <w:tcW w:type="dxa" w:w="600"/>
            <w:shd w:fill="F2F2F2" w:val="clear"/>
          </w:tcPr>
          <w:p>
            <w:pPr>
              <w:spacing w:after="60" w:before="60"/>
              <w:ind w:left="80"/>
            </w:pPr>
            <w:r>
              <w:rPr>
                <w:b w:val="false"/>
                <w:bCs w:val="false"/>
                <w:color w:val="000000"/>
                <w:sz w:val="20"/>
                <w:szCs w:val="20"/>
              </w:rPr>
              <w:t xml:space="preserve">I₂</w:t>
            </w:r>
          </w:p>
        </w:tc>
        <w:tc>
          <w:tcPr>
            <w:tcW w:type="dxa" w:w="1400"/>
            <w:shd w:fill="F2F2F2" w:val="clear"/>
          </w:tcPr>
          <w:p>
            <w:pPr>
              <w:spacing w:after="60" w:before="60"/>
              <w:ind w:left="80"/>
            </w:pPr>
            <w:r>
              <w:rPr>
                <w:b w:val="false"/>
                <w:bCs w:val="false"/>
                <w:color w:val="000000"/>
                <w:sz w:val="20"/>
                <w:szCs w:val="20"/>
              </w:rPr>
              <w:t xml:space="preserve">Air-gap pairs</w:t>
            </w:r>
          </w:p>
        </w:tc>
        <w:tc>
          <w:tcPr>
            <w:tcW w:type="dxa" w:w="4400"/>
            <w:shd w:fill="F2F2F2" w:val="clear"/>
          </w:tcPr>
          <w:p>
            <w:pPr>
              <w:spacing w:after="60" w:before="60"/>
              <w:ind w:left="80"/>
            </w:pPr>
            <w:r>
              <w:rPr>
                <w:b w:val="false"/>
                <w:bCs w:val="false"/>
                <w:color w:val="000000"/>
                <w:sz w:val="20"/>
                <w:szCs w:val="20"/>
              </w:rPr>
              <w:t xml:space="preserve">I₂ ⊆ Z×Z zone pairs forbidden from sharing certain trap types. Models OT/IT segmentation. Enforced by C5.</w:t>
            </w:r>
          </w:p>
        </w:tc>
        <w:tc>
          <w:tcPr>
            <w:tcW w:type="dxa" w:w="2800"/>
            <w:shd w:fill="F2F2F2" w:val="clear"/>
          </w:tcPr>
          <w:p>
            <w:pPr>
              <w:spacing w:after="60" w:before="60"/>
              <w:ind w:left="80"/>
            </w:pPr>
            <w:r>
              <w:rPr>
                <w:b w:val="false"/>
                <w:bCs w:val="false"/>
                <w:color w:val="000000"/>
                <w:sz w:val="20"/>
                <w:szCs w:val="20"/>
              </w:rPr>
              <w:t xml:space="preserve">(OT, DMZ)</w:t>
            </w:r>
          </w:p>
        </w:tc>
      </w:tr>
      <w:tr>
        <w:trPr>
          <w:tblHeader w:val="false"/>
        </w:trPr>
        <w:tc>
          <w:tcPr>
            <w:tcW w:type="dxa" w:w="600"/>
            <w:shd w:fill="FFFFFF" w:val="clear"/>
          </w:tcPr>
          <w:p>
            <w:pPr>
              <w:spacing w:after="60" w:before="60"/>
              <w:ind w:left="80"/>
            </w:pPr>
            <w:r>
              <w:rPr>
                <w:b w:val="false"/>
                <w:bCs w:val="false"/>
                <w:color w:val="000000"/>
                <w:sz w:val="20"/>
                <w:szCs w:val="20"/>
              </w:rPr>
              <w:t xml:space="preserve">⋄</w:t>
            </w:r>
          </w:p>
        </w:tc>
        <w:tc>
          <w:tcPr>
            <w:tcW w:type="dxa" w:w="1400"/>
            <w:shd w:fill="FFFFFF" w:val="clear"/>
          </w:tcPr>
          <w:p>
            <w:pPr>
              <w:spacing w:after="60" w:before="60"/>
              <w:ind w:left="80"/>
            </w:pPr>
            <w:r>
              <w:rPr>
                <w:b w:val="false"/>
                <w:bCs w:val="false"/>
                <w:color w:val="000000"/>
                <w:sz w:val="20"/>
                <w:szCs w:val="20"/>
              </w:rPr>
              <w:t xml:space="preserve">Tech-type compat.</w:t>
            </w:r>
          </w:p>
        </w:tc>
        <w:tc>
          <w:tcPr>
            <w:tcW w:type="dxa" w:w="4400"/>
            <w:shd w:fill="FFFFFF" w:val="clear"/>
          </w:tcPr>
          <w:p>
            <w:pPr>
              <w:spacing w:after="60" w:before="60"/>
              <w:ind w:left="80"/>
            </w:pPr>
            <w:r>
              <w:rPr>
                <w:b w:val="false"/>
                <w:bCs w:val="false"/>
                <w:color w:val="000000"/>
                <w:sz w:val="20"/>
                <w:szCs w:val="20"/>
              </w:rPr>
              <w:t xml:space="preserve">Binary: ⋄_{j,i}=1 if trap type i can detect technique j. Core capability mapping. Only ⋄=1 deployments earn credit.</w:t>
            </w:r>
          </w:p>
        </w:tc>
        <w:tc>
          <w:tcPr>
            <w:tcW w:type="dxa" w:w="2800"/>
            <w:shd w:fill="FFFFFF" w:val="clear"/>
          </w:tcPr>
          <w:p>
            <w:pPr>
              <w:spacing w:after="60" w:before="60"/>
              <w:ind w:left="80"/>
            </w:pPr>
            <w:r>
              <w:rPr>
                <w:b w:val="false"/>
                <w:bCs w:val="false"/>
                <w:color w:val="000000"/>
                <w:sz w:val="20"/>
                <w:szCs w:val="20"/>
              </w:rPr>
              <w:t xml:space="preserve">db_trap detects credential access and lateral movement</w:t>
            </w:r>
          </w:p>
        </w:tc>
      </w:tr>
      <w:tr>
        <w:trPr>
          <w:tblHeader w:val="false"/>
        </w:trPr>
        <w:tc>
          <w:tcPr>
            <w:tcW w:type="dxa" w:w="600"/>
            <w:shd w:fill="F2F2F2" w:val="clear"/>
          </w:tcPr>
          <w:p>
            <w:pPr>
              <w:spacing w:after="60" w:before="60"/>
              <w:ind w:left="80"/>
            </w:pPr>
            <w:r>
              <w:rPr>
                <w:b w:val="false"/>
                <w:bCs w:val="false"/>
                <w:color w:val="000000"/>
                <w:sz w:val="20"/>
                <w:szCs w:val="20"/>
              </w:rPr>
              <w:t xml:space="preserve">cost</w:t>
            </w:r>
          </w:p>
        </w:tc>
        <w:tc>
          <w:tcPr>
            <w:tcW w:type="dxa" w:w="1400"/>
            <w:shd w:fill="F2F2F2" w:val="clear"/>
          </w:tcPr>
          <w:p>
            <w:pPr>
              <w:spacing w:after="60" w:before="60"/>
              <w:ind w:left="80"/>
            </w:pPr>
            <w:r>
              <w:rPr>
                <w:b w:val="false"/>
                <w:bCs w:val="false"/>
                <w:color w:val="000000"/>
                <w:sz w:val="20"/>
                <w:szCs w:val="20"/>
              </w:rPr>
              <w:t xml:space="preserve">Deployment cost</w:t>
            </w:r>
          </w:p>
        </w:tc>
        <w:tc>
          <w:tcPr>
            <w:tcW w:type="dxa" w:w="4400"/>
            <w:shd w:fill="F2F2F2" w:val="clear"/>
          </w:tcPr>
          <w:p>
            <w:pPr>
              <w:spacing w:after="60" w:before="60"/>
              <w:ind w:left="80"/>
            </w:pPr>
            <w:r>
              <w:rPr>
                <w:b w:val="false"/>
                <w:bCs w:val="false"/>
                <w:color w:val="000000"/>
                <w:sz w:val="20"/>
                <w:szCs w:val="20"/>
              </w:rPr>
              <w:t xml:space="preserve">cost(i,z): per-slot resource cost. Used in global budget C2 and per-zone budget C3.</w:t>
            </w:r>
          </w:p>
        </w:tc>
        <w:tc>
          <w:tcPr>
            <w:tcW w:type="dxa" w:w="2800"/>
            <w:shd w:fill="F2F2F2" w:val="clear"/>
          </w:tcPr>
          <w:p>
            <w:pPr>
              <w:spacing w:after="60" w:before="60"/>
              <w:ind w:left="80"/>
            </w:pPr>
            <w:r>
              <w:rPr>
                <w:b w:val="false"/>
                <w:bCs w:val="false"/>
                <w:color w:val="000000"/>
                <w:sz w:val="20"/>
                <w:szCs w:val="20"/>
              </w:rPr>
              <w:t xml:space="preserve">OT sensors typically cost more than DMZ web traps</w:t>
            </w:r>
          </w:p>
        </w:tc>
      </w:tr>
      <w:tr>
        <w:trPr>
          <w:tblHeader w:val="false"/>
        </w:trPr>
        <w:tc>
          <w:tcPr>
            <w:tcW w:type="dxa" w:w="600"/>
            <w:shd w:fill="FFFFFF" w:val="clear"/>
          </w:tcPr>
          <w:p>
            <w:pPr>
              <w:spacing w:after="60" w:before="60"/>
              <w:ind w:left="80"/>
            </w:pPr>
            <w:r>
              <w:rPr>
                <w:b w:val="false"/>
                <w:bCs w:val="false"/>
                <w:color w:val="000000"/>
                <w:sz w:val="20"/>
                <w:szCs w:val="20"/>
              </w:rPr>
              <w:t xml:space="preserve">B</w:t>
            </w:r>
          </w:p>
        </w:tc>
        <w:tc>
          <w:tcPr>
            <w:tcW w:type="dxa" w:w="1400"/>
            <w:shd w:fill="FFFFFF" w:val="clear"/>
          </w:tcPr>
          <w:p>
            <w:pPr>
              <w:spacing w:after="60" w:before="60"/>
              <w:ind w:left="80"/>
            </w:pPr>
            <w:r>
              <w:rPr>
                <w:b w:val="false"/>
                <w:bCs w:val="false"/>
                <w:color w:val="000000"/>
                <w:sz w:val="20"/>
                <w:szCs w:val="20"/>
              </w:rPr>
              <w:t xml:space="preserve">Global budget</w:t>
            </w:r>
          </w:p>
        </w:tc>
        <w:tc>
          <w:tcPr>
            <w:tcW w:type="dxa" w:w="4400"/>
            <w:shd w:fill="FFFFFF" w:val="clear"/>
          </w:tcPr>
          <w:p>
            <w:pPr>
              <w:spacing w:after="60" w:before="60"/>
              <w:ind w:left="80"/>
            </w:pPr>
            <w:r>
              <w:rPr>
                <w:b w:val="false"/>
                <w:bCs w:val="false"/>
                <w:color w:val="000000"/>
                <w:sz w:val="20"/>
                <w:szCs w:val="20"/>
              </w:rPr>
              <w:t xml:space="preserve">Total resource budget per slot. C2: Σ x_{i,z,t,p}×cost(i,z) ≤ B for every slot t.</w:t>
            </w:r>
          </w:p>
        </w:tc>
        <w:tc>
          <w:tcPr>
            <w:tcW w:type="dxa" w:w="2800"/>
            <w:shd w:fill="FFFFFF" w:val="clear"/>
          </w:tcPr>
          <w:p>
            <w:pPr>
              <w:spacing w:after="60" w:before="60"/>
              <w:ind w:left="80"/>
            </w:pPr>
            <w:r>
              <w:rPr>
                <w:b w:val="false"/>
                <w:bCs w:val="false"/>
                <w:color w:val="000000"/>
                <w:sz w:val="20"/>
                <w:szCs w:val="20"/>
              </w:rPr>
              <w:t xml:space="preserve">Primary capacity constraint across all 5 zones</w:t>
            </w:r>
          </w:p>
        </w:tc>
      </w:tr>
      <w:tr>
        <w:trPr>
          <w:tblHeader w:val="false"/>
        </w:trPr>
        <w:tc>
          <w:tcPr>
            <w:tcW w:type="dxa" w:w="600"/>
            <w:shd w:fill="F2F2F2" w:val="clear"/>
          </w:tcPr>
          <w:p>
            <w:pPr>
              <w:spacing w:after="60" w:before="60"/>
              <w:ind w:left="80"/>
            </w:pPr>
            <w:r>
              <w:rPr>
                <w:b w:val="false"/>
                <w:bCs w:val="false"/>
                <w:color w:val="000000"/>
                <w:sz w:val="20"/>
                <w:szCs w:val="20"/>
              </w:rPr>
              <w:t xml:space="preserve">B₂</w:t>
            </w:r>
          </w:p>
        </w:tc>
        <w:tc>
          <w:tcPr>
            <w:tcW w:type="dxa" w:w="1400"/>
            <w:shd w:fill="F2F2F2" w:val="clear"/>
          </w:tcPr>
          <w:p>
            <w:pPr>
              <w:spacing w:after="60" w:before="60"/>
              <w:ind w:left="80"/>
            </w:pPr>
            <w:r>
              <w:rPr>
                <w:b w:val="false"/>
                <w:bCs w:val="false"/>
                <w:color w:val="000000"/>
                <w:sz w:val="20"/>
                <w:szCs w:val="20"/>
              </w:rPr>
              <w:t xml:space="preserve">Per-zone budget</w:t>
            </w:r>
          </w:p>
        </w:tc>
        <w:tc>
          <w:tcPr>
            <w:tcW w:type="dxa" w:w="4400"/>
            <w:shd w:fill="F2F2F2" w:val="clear"/>
          </w:tcPr>
          <w:p>
            <w:pPr>
              <w:spacing w:after="60" w:before="60"/>
              <w:ind w:left="80"/>
            </w:pPr>
            <w:r>
              <w:rPr>
                <w:b w:val="false"/>
                <w:bCs w:val="false"/>
                <w:color w:val="000000"/>
                <w:sz w:val="20"/>
                <w:szCs w:val="20"/>
              </w:rPr>
              <w:t xml:space="preserve">Stricter zone-level capacity, enforced by C3 independently of B. Prevents zone saturation.</w:t>
            </w:r>
          </w:p>
        </w:tc>
        <w:tc>
          <w:tcPr>
            <w:tcW w:type="dxa" w:w="2800"/>
            <w:shd w:fill="F2F2F2" w:val="clear"/>
          </w:tcPr>
          <w:p>
            <w:pPr>
              <w:spacing w:after="60" w:before="60"/>
              <w:ind w:left="80"/>
            </w:pPr>
            <w:r>
              <w:rPr>
                <w:b w:val="false"/>
                <w:bCs w:val="false"/>
                <w:color w:val="000000"/>
                <w:sz w:val="20"/>
                <w:szCs w:val="20"/>
              </w:rPr>
              <w:t xml:space="preserve">OT budget typically tighter than DMZ</w:t>
            </w:r>
          </w:p>
        </w:tc>
      </w:tr>
    </w:tbl>
    <w:p>
      <w:pPr>
        <w:spacing w:before="240"/>
      </w:pPr>
    </w:p>
    <w:p>
      <w:pPr>
        <w:pStyle w:val="Heading2"/>
        <w:spacing w:after="120" w:before="240"/>
      </w:pPr>
      <w:r>
        <w:t xml:space="preserve">2.2  Temporal Attributes — Time / Burn</w:t>
      </w:r>
    </w:p>
    <w:p>
      <w:pPr>
        <w:spacing w:after="60" w:before="60"/>
      </w:pPr>
      <w:r>
        <w:rPr>
          <w:color w:val="000000"/>
          <w:sz w:val="22"/>
          <w:szCs w:val="22"/>
        </w:rPr>
        <w:t xml:space="preserve">Temporal attributes define how long deployments last and when they expire. The burn thresholds τ_d and τ_dp are the most consequential — when either flips, the dual discovery guard D zeros all credit on that deployment.</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4300"/>
        <w:gridCol w:w="2800"/>
      </w:tblGrid>
      <w:tr>
        <w:trPr>
          <w:tblHeader/>
        </w:trPr>
        <w:tc>
          <w:tcPr>
            <w:tcW w:type="dxa" w:w="700"/>
            <w:shd w:fill="1F3864" w:val="clear"/>
          </w:tcPr>
          <w:p>
            <w:pPr>
              <w:spacing w:after="60" w:before="60"/>
              <w:ind w:left="80"/>
            </w:pPr>
            <w:r>
              <w:rPr>
                <w:b/>
                <w:bCs/>
                <w:color w:val="FFFFFF"/>
                <w:sz w:val="20"/>
                <w:szCs w:val="20"/>
              </w:rPr>
              <w:t xml:space="preserve">Symbol</w:t>
            </w:r>
          </w:p>
        </w:tc>
        <w:tc>
          <w:tcPr>
            <w:tcW w:type="dxa" w:w="1400"/>
            <w:shd w:fill="1F3864" w:val="clear"/>
          </w:tcPr>
          <w:p>
            <w:pPr>
              <w:spacing w:after="60" w:before="60"/>
              <w:ind w:left="80"/>
            </w:pPr>
            <w:r>
              <w:rPr>
                <w:b/>
                <w:bCs/>
                <w:color w:val="FFFFFF"/>
                <w:sz w:val="20"/>
                <w:szCs w:val="20"/>
              </w:rPr>
              <w:t xml:space="preserve">Name</w:t>
            </w:r>
          </w:p>
        </w:tc>
        <w:tc>
          <w:tcPr>
            <w:tcW w:type="dxa" w:w="4300"/>
            <w:shd w:fill="1F3864" w:val="clear"/>
          </w:tcPr>
          <w:p>
            <w:pPr>
              <w:spacing w:after="60" w:before="60"/>
              <w:ind w:left="80"/>
            </w:pPr>
            <w:r>
              <w:rPr>
                <w:b/>
                <w:bCs/>
                <w:color w:val="FFFFFF"/>
                <w:sz w:val="20"/>
                <w:szCs w:val="20"/>
              </w:rPr>
              <w:t xml:space="preserve">Description</w:t>
            </w:r>
          </w:p>
        </w:tc>
        <w:tc>
          <w:tcPr>
            <w:tcW w:type="dxa" w:w="2800"/>
            <w:shd w:fill="1F3864" w:val="clear"/>
          </w:tcPr>
          <w:p>
            <w:pPr>
              <w:spacing w:after="60" w:before="60"/>
              <w:ind w:left="80"/>
            </w:pPr>
            <w:r>
              <w:rPr>
                <w:b/>
                <w:bCs/>
                <w:color w:val="FFFFFF"/>
                <w:sz w:val="20"/>
                <w:szCs w:val="20"/>
              </w:rPr>
              <w:t xml:space="preserve">Example</w:t>
            </w:r>
          </w:p>
        </w:tc>
      </w:tr>
      <w:tr>
        <w:trPr>
          <w:tblHeader w:val="false"/>
        </w:trPr>
        <w:tc>
          <w:tcPr>
            <w:tcW w:type="dxa" w:w="700"/>
            <w:shd w:fill="FFFFFF" w:val="clear"/>
          </w:tcPr>
          <w:p>
            <w:pPr>
              <w:spacing w:after="60" w:before="60"/>
              <w:ind w:left="80"/>
            </w:pPr>
            <w:r>
              <w:rPr>
                <w:b w:val="false"/>
                <w:bCs w:val="false"/>
                <w:color w:val="000000"/>
                <w:sz w:val="20"/>
                <w:szCs w:val="20"/>
              </w:rPr>
              <w:t xml:space="preserve">H</w:t>
            </w:r>
          </w:p>
        </w:tc>
        <w:tc>
          <w:tcPr>
            <w:tcW w:type="dxa" w:w="1400"/>
            <w:shd w:fill="FFFFFF" w:val="clear"/>
          </w:tcPr>
          <w:p>
            <w:pPr>
              <w:spacing w:after="60" w:before="60"/>
              <w:ind w:left="80"/>
            </w:pPr>
            <w:r>
              <w:rPr>
                <w:b w:val="false"/>
                <w:bCs w:val="false"/>
                <w:color w:val="000000"/>
                <w:sz w:val="20"/>
                <w:szCs w:val="20"/>
              </w:rPr>
              <w:t xml:space="preserve">Planning horizon</w:t>
            </w:r>
          </w:p>
        </w:tc>
        <w:tc>
          <w:tcPr>
            <w:tcW w:type="dxa" w:w="4300"/>
            <w:shd w:fill="FFFFFF" w:val="clear"/>
          </w:tcPr>
          <w:p>
            <w:pPr>
              <w:spacing w:after="60" w:before="60"/>
              <w:ind w:left="80"/>
            </w:pPr>
            <w:r>
              <w:rPr>
                <w:b w:val="false"/>
                <w:bCs w:val="false"/>
                <w:color w:val="000000"/>
                <w:sz w:val="20"/>
                <w:szCs w:val="20"/>
              </w:rPr>
              <w:t xml:space="preserve">Total time slots. Decision variable x_{i,z,t,p} ranges over t=1,…,H. Longer H increases flexibility but grows variable space as |K|×|Z|×H×|P|.</w:t>
            </w:r>
          </w:p>
        </w:tc>
        <w:tc>
          <w:tcPr>
            <w:tcW w:type="dxa" w:w="2800"/>
            <w:shd w:fill="FFFFFF" w:val="clear"/>
          </w:tcPr>
          <w:p>
            <w:pPr>
              <w:spacing w:after="60" w:before="60"/>
              <w:ind w:left="80"/>
            </w:pPr>
            <w:r>
              <w:rPr>
                <w:b w:val="false"/>
                <w:bCs w:val="false"/>
                <w:color w:val="000000"/>
                <w:sz w:val="20"/>
                <w:szCs w:val="20"/>
              </w:rPr>
              <w:t xml:space="preserve">H=4 → 640 binary decisions at XLarge</w:t>
            </w:r>
          </w:p>
        </w:tc>
      </w:tr>
      <w:tr>
        <w:trPr>
          <w:tblHeader w:val="false"/>
        </w:trPr>
        <w:tc>
          <w:tcPr>
            <w:tcW w:type="dxa" w:w="700"/>
            <w:shd w:fill="F2F2F2" w:val="clear"/>
          </w:tcPr>
          <w:p>
            <w:pPr>
              <w:spacing w:after="60" w:before="60"/>
              <w:ind w:left="80"/>
            </w:pPr>
            <w:r>
              <w:rPr>
                <w:b w:val="false"/>
                <w:bCs w:val="false"/>
                <w:color w:val="000000"/>
                <w:sz w:val="20"/>
                <w:szCs w:val="20"/>
              </w:rPr>
              <w:t xml:space="preserve">τ_d / τ_d0</w:t>
            </w:r>
          </w:p>
        </w:tc>
        <w:tc>
          <w:tcPr>
            <w:tcW w:type="dxa" w:w="1400"/>
            <w:shd w:fill="F2F2F2" w:val="clear"/>
          </w:tcPr>
          <w:p>
            <w:pPr>
              <w:spacing w:after="60" w:before="60"/>
              <w:ind w:left="80"/>
            </w:pPr>
            <w:r>
              <w:rPr>
                <w:b w:val="false"/>
                <w:bCs w:val="false"/>
                <w:color w:val="000000"/>
                <w:sz w:val="20"/>
                <w:szCs w:val="20"/>
              </w:rPr>
              <w:t xml:space="preserve">Type-burn threshold</w:t>
            </w:r>
          </w:p>
        </w:tc>
        <w:tc>
          <w:tcPr>
            <w:tcW w:type="dxa" w:w="4300"/>
            <w:shd w:fill="F2F2F2" w:val="clear"/>
          </w:tcPr>
          <w:p>
            <w:pPr>
              <w:spacing w:after="60" w:before="60"/>
              <w:ind w:left="80"/>
            </w:pPr>
            <w:r>
              <w:rPr>
                <w:b w:val="false"/>
                <w:bCs w:val="false"/>
                <w:color w:val="000000"/>
                <w:sz w:val="20"/>
                <w:szCs w:val="20"/>
              </w:rPr>
              <w:t xml:space="preserve">τ_d0: baseline consecutive slots before type is fingerprinted. Dynamically tightens via Eq. 6: τ_d = max{1, τ_d0×(1−ρ/ρ_max)×γⁿ}. At ρ=0.85 collapses to 1.</w:t>
            </w:r>
          </w:p>
        </w:tc>
        <w:tc>
          <w:tcPr>
            <w:tcW w:type="dxa" w:w="2800"/>
            <w:shd w:fill="F2F2F2" w:val="clear"/>
          </w:tcPr>
          <w:p>
            <w:pPr>
              <w:spacing w:after="60" w:before="60"/>
              <w:ind w:left="80"/>
            </w:pPr>
            <w:r>
              <w:rPr>
                <w:b w:val="false"/>
                <w:bCs w:val="false"/>
                <w:color w:val="000000"/>
                <w:sz w:val="20"/>
                <w:szCs w:val="20"/>
              </w:rPr>
              <w:t xml:space="preserve">τ_d0=3; at ρ=0.30 → τ_d≈2.1; at ρ=0.85 → τ_d=1</w:t>
            </w:r>
          </w:p>
        </w:tc>
      </w:tr>
      <w:tr>
        <w:trPr>
          <w:tblHeader w:val="false"/>
        </w:trPr>
        <w:tc>
          <w:tcPr>
            <w:tcW w:type="dxa" w:w="700"/>
            <w:shd w:fill="FFFFFF" w:val="clear"/>
          </w:tcPr>
          <w:p>
            <w:pPr>
              <w:spacing w:after="60" w:before="60"/>
              <w:ind w:left="80"/>
            </w:pPr>
            <w:r>
              <w:rPr>
                <w:b w:val="false"/>
                <w:bCs w:val="false"/>
                <w:color w:val="000000"/>
                <w:sz w:val="20"/>
                <w:szCs w:val="20"/>
              </w:rPr>
              <w:t xml:space="preserve">τ_dp</w:t>
            </w:r>
          </w:p>
        </w:tc>
        <w:tc>
          <w:tcPr>
            <w:tcW w:type="dxa" w:w="1400"/>
            <w:shd w:fill="FFFFFF" w:val="clear"/>
          </w:tcPr>
          <w:p>
            <w:pPr>
              <w:spacing w:after="60" w:before="60"/>
              <w:ind w:left="80"/>
            </w:pPr>
            <w:r>
              <w:rPr>
                <w:b w:val="false"/>
                <w:bCs w:val="false"/>
                <w:color w:val="000000"/>
                <w:sz w:val="20"/>
                <w:szCs w:val="20"/>
              </w:rPr>
              <w:t xml:space="preserve">Persona-burn threshold</w:t>
            </w:r>
          </w:p>
        </w:tc>
        <w:tc>
          <w:tcPr>
            <w:tcW w:type="dxa" w:w="4300"/>
            <w:shd w:fill="FFFFFF" w:val="clear"/>
          </w:tcPr>
          <w:p>
            <w:pPr>
              <w:spacing w:after="60" w:before="60"/>
              <w:ind w:left="80"/>
            </w:pPr>
            <w:r>
              <w:rPr>
                <w:b w:val="false"/>
                <w:bCs w:val="false"/>
                <w:color w:val="000000"/>
                <w:sz w:val="20"/>
                <w:szCs w:val="20"/>
              </w:rPr>
              <w:t xml:space="preserve">Baseline slots before persona identity is fingerprinted. Tracked independently of τ_d. Dynamic: τ_dp = max{1, τ_dp0×γⁿ} (Eq. 7). Clock runs regardless of ρ_π.</w:t>
            </w:r>
          </w:p>
        </w:tc>
        <w:tc>
          <w:tcPr>
            <w:tcW w:type="dxa" w:w="2800"/>
            <w:shd w:fill="FFFFFF" w:val="clear"/>
          </w:tcPr>
          <w:p>
            <w:pPr>
              <w:spacing w:after="60" w:before="60"/>
              <w:ind w:left="80"/>
            </w:pPr>
            <w:r>
              <w:rPr>
                <w:b w:val="false"/>
                <w:bCs w:val="false"/>
                <w:color w:val="000000"/>
                <w:sz w:val="20"/>
                <w:szCs w:val="20"/>
              </w:rPr>
              <w:t xml:space="preserve">τ_dp0=4: persona stays live 4 slots before forced rotation</w:t>
            </w:r>
          </w:p>
        </w:tc>
      </w:tr>
      <w:tr>
        <w:trPr>
          <w:tblHeader w:val="false"/>
        </w:trPr>
        <w:tc>
          <w:tcPr>
            <w:tcW w:type="dxa" w:w="700"/>
            <w:shd w:fill="F2F2F2" w:val="clear"/>
          </w:tcPr>
          <w:p>
            <w:pPr>
              <w:spacing w:after="60" w:before="60"/>
              <w:ind w:left="80"/>
            </w:pPr>
            <w:r>
              <w:rPr>
                <w:b w:val="false"/>
                <w:bCs w:val="false"/>
                <w:color w:val="000000"/>
                <w:sz w:val="20"/>
                <w:szCs w:val="20"/>
              </w:rPr>
              <w:t xml:space="preserve">Δ</w:t>
            </w:r>
          </w:p>
        </w:tc>
        <w:tc>
          <w:tcPr>
            <w:tcW w:type="dxa" w:w="1400"/>
            <w:shd w:fill="F2F2F2" w:val="clear"/>
          </w:tcPr>
          <w:p>
            <w:pPr>
              <w:spacing w:after="60" w:before="60"/>
              <w:ind w:left="80"/>
            </w:pPr>
            <w:r>
              <w:rPr>
                <w:b w:val="false"/>
                <w:bCs w:val="false"/>
                <w:color w:val="000000"/>
                <w:sz w:val="20"/>
                <w:szCs w:val="20"/>
              </w:rPr>
              <w:t xml:space="preserve">Type-rotation churn</w:t>
            </w:r>
          </w:p>
        </w:tc>
        <w:tc>
          <w:tcPr>
            <w:tcW w:type="dxa" w:w="4300"/>
            <w:shd w:fill="F2F2F2" w:val="clear"/>
          </w:tcPr>
          <w:p>
            <w:pPr>
              <w:spacing w:after="60" w:before="60"/>
              <w:ind w:left="80"/>
            </w:pPr>
            <w:r>
              <w:rPr>
                <w:b w:val="false"/>
                <w:bCs w:val="false"/>
                <w:color w:val="000000"/>
                <w:sz w:val="20"/>
                <w:szCs w:val="20"/>
              </w:rPr>
              <w:t xml:space="preserve">Max type-state changes per (type, zone, persona) across horizon. C8: Σ_t |x_{i,z,t,p}−x_{i,z,t−1,p}| ≤ Δ. Prevents excessive churn.</w:t>
            </w:r>
          </w:p>
        </w:tc>
        <w:tc>
          <w:tcPr>
            <w:tcW w:type="dxa" w:w="2800"/>
            <w:shd w:fill="F2F2F2" w:val="clear"/>
          </w:tcPr>
          <w:p>
            <w:pPr>
              <w:spacing w:after="60" w:before="60"/>
              <w:ind w:left="80"/>
            </w:pPr>
            <w:r>
              <w:rPr>
                <w:b w:val="false"/>
                <w:bCs w:val="false"/>
                <w:color w:val="000000"/>
                <w:sz w:val="20"/>
                <w:szCs w:val="20"/>
              </w:rPr>
              <w:t xml:space="preserve">Δ=2: at most 2 state changes over H=4 slots</w:t>
            </w:r>
          </w:p>
        </w:tc>
      </w:tr>
      <w:tr>
        <w:trPr>
          <w:tblHeader w:val="false"/>
        </w:trPr>
        <w:tc>
          <w:tcPr>
            <w:tcW w:type="dxa" w:w="700"/>
            <w:shd w:fill="FFFFFF" w:val="clear"/>
          </w:tcPr>
          <w:p>
            <w:pPr>
              <w:spacing w:after="60" w:before="60"/>
              <w:ind w:left="80"/>
            </w:pPr>
            <w:r>
              <w:rPr>
                <w:b w:val="false"/>
                <w:bCs w:val="false"/>
                <w:color w:val="000000"/>
                <w:sz w:val="20"/>
                <w:szCs w:val="20"/>
              </w:rPr>
              <w:t xml:space="preserve">γ</w:t>
            </w:r>
          </w:p>
        </w:tc>
        <w:tc>
          <w:tcPr>
            <w:tcW w:type="dxa" w:w="1400"/>
            <w:shd w:fill="FFFFFF" w:val="clear"/>
          </w:tcPr>
          <w:p>
            <w:pPr>
              <w:spacing w:after="60" w:before="60"/>
              <w:ind w:left="80"/>
            </w:pPr>
            <w:r>
              <w:rPr>
                <w:b w:val="false"/>
                <w:bCs w:val="false"/>
                <w:color w:val="000000"/>
                <w:sz w:val="20"/>
                <w:szCs w:val="20"/>
              </w:rPr>
              <w:t xml:space="preserve">Burn-decay factor</w:t>
            </w:r>
          </w:p>
        </w:tc>
        <w:tc>
          <w:tcPr>
            <w:tcW w:type="dxa" w:w="4300"/>
            <w:shd w:fill="FFFFFF" w:val="clear"/>
          </w:tcPr>
          <w:p>
            <w:pPr>
              <w:spacing w:after="60" w:before="60"/>
              <w:ind w:left="80"/>
            </w:pPr>
            <w:r>
              <w:rPr>
                <w:b w:val="false"/>
                <w:bCs w:val="false"/>
                <w:color w:val="000000"/>
                <w:sz w:val="20"/>
                <w:szCs w:val="20"/>
              </w:rPr>
              <w:t xml:space="preserve">γ ∈ (0,1): geometric decay on τ_d and τ_dp per re-use of same (type, persona) pair. Forces genuine variety over cyclic rotation.</w:t>
            </w:r>
          </w:p>
        </w:tc>
        <w:tc>
          <w:tcPr>
            <w:tcW w:type="dxa" w:w="2800"/>
            <w:shd w:fill="FFFFFF" w:val="clear"/>
          </w:tcPr>
          <w:p>
            <w:pPr>
              <w:spacing w:after="60" w:before="60"/>
              <w:ind w:left="80"/>
            </w:pPr>
            <w:r>
              <w:rPr>
                <w:b w:val="false"/>
                <w:bCs w:val="false"/>
                <w:color w:val="000000"/>
                <w:sz w:val="20"/>
                <w:szCs w:val="20"/>
              </w:rPr>
              <w:t xml:space="preserve">γ=0.8: 3rd re-use (n=2) multiplies threshold by 0.64</w:t>
            </w:r>
          </w:p>
        </w:tc>
      </w:tr>
      <w:tr>
        <w:trPr>
          <w:tblHeader w:val="false"/>
        </w:trPr>
        <w:tc>
          <w:tcPr>
            <w:tcW w:type="dxa" w:w="700"/>
            <w:shd w:fill="F2F2F2" w:val="clear"/>
          </w:tcPr>
          <w:p>
            <w:pPr>
              <w:spacing w:after="60" w:before="60"/>
              <w:ind w:left="80"/>
            </w:pPr>
            <w:r>
              <w:rPr>
                <w:b w:val="false"/>
                <w:bCs w:val="false"/>
                <w:color w:val="000000"/>
                <w:sz w:val="20"/>
                <w:szCs w:val="20"/>
              </w:rPr>
              <w:t xml:space="preserve">κ / κ_min</w:t>
            </w:r>
          </w:p>
        </w:tc>
        <w:tc>
          <w:tcPr>
            <w:tcW w:type="dxa" w:w="1400"/>
            <w:shd w:fill="F2F2F2" w:val="clear"/>
          </w:tcPr>
          <w:p>
            <w:pPr>
              <w:spacing w:after="60" w:before="60"/>
              <w:ind w:left="80"/>
            </w:pPr>
            <w:r>
              <w:rPr>
                <w:b w:val="false"/>
                <w:bCs w:val="false"/>
                <w:color w:val="000000"/>
                <w:sz w:val="20"/>
                <w:szCs w:val="20"/>
              </w:rPr>
              <w:t xml:space="preserve">Min deployment duration</w:t>
            </w:r>
          </w:p>
        </w:tc>
        <w:tc>
          <w:tcPr>
            <w:tcW w:type="dxa" w:w="4300"/>
            <w:shd w:fill="F2F2F2" w:val="clear"/>
          </w:tcPr>
          <w:p>
            <w:pPr>
              <w:spacing w:after="60" w:before="60"/>
              <w:ind w:left="80"/>
            </w:pPr>
            <w:r>
              <w:rPr>
                <w:b w:val="false"/>
                <w:bCs w:val="false"/>
                <w:color w:val="000000"/>
                <w:sz w:val="20"/>
                <w:szCs w:val="20"/>
              </w:rPr>
              <w:t xml:space="preserve">κ: minimum consecutive slots once placed (prevents flash deployments). κ_min: system-level floor checked by C15: h_min ≤ κ_min.</w:t>
            </w:r>
          </w:p>
        </w:tc>
        <w:tc>
          <w:tcPr>
            <w:tcW w:type="dxa" w:w="2800"/>
            <w:shd w:fill="F2F2F2" w:val="clear"/>
          </w:tcPr>
          <w:p>
            <w:pPr>
              <w:spacing w:after="60" w:before="60"/>
              <w:ind w:left="80"/>
            </w:pPr>
            <w:r>
              <w:rPr>
                <w:b w:val="false"/>
                <w:bCs w:val="false"/>
                <w:color w:val="000000"/>
                <w:sz w:val="20"/>
                <w:szCs w:val="20"/>
              </w:rPr>
              <w:t xml:space="preserve">κ=2 requires at least 2 consecutive active slots</w:t>
            </w:r>
          </w:p>
        </w:tc>
      </w:tr>
      <w:tr>
        <w:trPr>
          <w:tblHeader w:val="false"/>
        </w:trPr>
        <w:tc>
          <w:tcPr>
            <w:tcW w:type="dxa" w:w="700"/>
            <w:shd w:fill="FFFFFF" w:val="clear"/>
          </w:tcPr>
          <w:p>
            <w:pPr>
              <w:spacing w:after="60" w:before="60"/>
              <w:ind w:left="80"/>
            </w:pPr>
            <w:r>
              <w:rPr>
                <w:b w:val="false"/>
                <w:bCs w:val="false"/>
                <w:color w:val="000000"/>
                <w:sz w:val="20"/>
                <w:szCs w:val="20"/>
              </w:rPr>
              <w:t xml:space="preserve">β_max</w:t>
            </w:r>
          </w:p>
        </w:tc>
        <w:tc>
          <w:tcPr>
            <w:tcW w:type="dxa" w:w="1400"/>
            <w:shd w:fill="FFFFFF" w:val="clear"/>
          </w:tcPr>
          <w:p>
            <w:pPr>
              <w:spacing w:after="60" w:before="60"/>
              <w:ind w:left="80"/>
            </w:pPr>
            <w:r>
              <w:rPr>
                <w:b w:val="false"/>
                <w:bCs w:val="false"/>
                <w:color w:val="000000"/>
                <w:sz w:val="20"/>
                <w:szCs w:val="20"/>
              </w:rPr>
              <w:t xml:space="preserve">Max budget utilization</w:t>
            </w:r>
          </w:p>
        </w:tc>
        <w:tc>
          <w:tcPr>
            <w:tcW w:type="dxa" w:w="4300"/>
            <w:shd w:fill="FFFFFF" w:val="clear"/>
          </w:tcPr>
          <w:p>
            <w:pPr>
              <w:spacing w:after="60" w:before="60"/>
              <w:ind w:left="80"/>
            </w:pPr>
            <w:r>
              <w:rPr>
                <w:b w:val="false"/>
                <w:bCs w:val="false"/>
                <w:color w:val="000000"/>
                <w:sz w:val="20"/>
                <w:szCs w:val="20"/>
              </w:rPr>
              <w:t xml:space="preserve">Upper bound on fraction of B usable in single slot. Prevents front-loading all resources into slot 1.</w:t>
            </w:r>
          </w:p>
        </w:tc>
        <w:tc>
          <w:tcPr>
            <w:tcW w:type="dxa" w:w="2800"/>
            <w:shd w:fill="FFFFFF" w:val="clear"/>
          </w:tcPr>
          <w:p>
            <w:pPr>
              <w:spacing w:after="60" w:before="60"/>
              <w:ind w:left="80"/>
            </w:pPr>
            <w:r>
              <w:rPr>
                <w:b w:val="false"/>
                <w:bCs w:val="false"/>
                <w:color w:val="000000"/>
                <w:sz w:val="20"/>
                <w:szCs w:val="20"/>
              </w:rPr>
              <w:t xml:space="preserve">β_max=0.8: at most 80% of B in any slot</w:t>
            </w:r>
          </w:p>
        </w:tc>
      </w:tr>
      <w:tr>
        <w:trPr>
          <w:tblHeader w:val="false"/>
        </w:trPr>
        <w:tc>
          <w:tcPr>
            <w:tcW w:type="dxa" w:w="700"/>
            <w:shd w:fill="F2F2F2" w:val="clear"/>
          </w:tcPr>
          <w:p>
            <w:pPr>
              <w:spacing w:after="60" w:before="60"/>
              <w:ind w:left="80"/>
            </w:pPr>
            <w:r>
              <w:rPr>
                <w:b w:val="false"/>
                <w:bCs w:val="false"/>
                <w:color w:val="000000"/>
                <w:sz w:val="20"/>
                <w:szCs w:val="20"/>
              </w:rPr>
              <w:t xml:space="preserve">ρ_decay</w:t>
            </w:r>
          </w:p>
        </w:tc>
        <w:tc>
          <w:tcPr>
            <w:tcW w:type="dxa" w:w="1400"/>
            <w:shd w:fill="F2F2F2" w:val="clear"/>
          </w:tcPr>
          <w:p>
            <w:pPr>
              <w:spacing w:after="60" w:before="60"/>
              <w:ind w:left="80"/>
            </w:pPr>
            <w:r>
              <w:rPr>
                <w:b w:val="false"/>
                <w:bCs w:val="false"/>
                <w:color w:val="000000"/>
                <w:sz w:val="20"/>
                <w:szCs w:val="20"/>
              </w:rPr>
              <w:t xml:space="preserve">Path-frequency decay</w:t>
            </w:r>
          </w:p>
        </w:tc>
        <w:tc>
          <w:tcPr>
            <w:tcW w:type="dxa" w:w="4300"/>
            <w:shd w:fill="F2F2F2" w:val="clear"/>
          </w:tcPr>
          <w:p>
            <w:pPr>
              <w:spacing w:after="60" w:before="60"/>
              <w:ind w:left="80"/>
            </w:pPr>
            <w:r>
              <w:rPr>
                <w:b w:val="false"/>
                <w:bCs w:val="false"/>
                <w:color w:val="000000"/>
                <w:sz w:val="20"/>
                <w:szCs w:val="20"/>
              </w:rPr>
              <w:t xml:space="preserve">Rate at which ρ_π decays when no fresh STIX intelligence arrives. Prevents over-committing to stale paths.</w:t>
            </w:r>
          </w:p>
        </w:tc>
        <w:tc>
          <w:tcPr>
            <w:tcW w:type="dxa" w:w="2800"/>
            <w:shd w:fill="F2F2F2" w:val="clear"/>
          </w:tcPr>
          <w:p>
            <w:pPr>
              <w:spacing w:after="60" w:before="60"/>
              <w:ind w:left="80"/>
            </w:pPr>
            <w:r>
              <w:rPr>
                <w:b w:val="false"/>
                <w:bCs w:val="false"/>
                <w:color w:val="000000"/>
                <w:sz w:val="20"/>
                <w:szCs w:val="20"/>
              </w:rPr>
              <w:t xml:space="preserve">ρ_decay=0.9: path at ρ=0.30 becomes ρ=0.27 after one stale episode</w:t>
            </w:r>
          </w:p>
        </w:tc>
      </w:tr>
      <w:tr>
        <w:trPr>
          <w:tblHeader w:val="false"/>
        </w:trPr>
        <w:tc>
          <w:tcPr>
            <w:tcW w:type="dxa" w:w="700"/>
            <w:shd w:fill="FFFFFF" w:val="clear"/>
          </w:tcPr>
          <w:p>
            <w:pPr>
              <w:spacing w:after="60" w:before="60"/>
              <w:ind w:left="80"/>
            </w:pPr>
            <w:r>
              <w:rPr>
                <w:b w:val="false"/>
                <w:bCs w:val="false"/>
                <w:color w:val="000000"/>
                <w:sz w:val="20"/>
                <w:szCs w:val="20"/>
              </w:rPr>
              <w:t xml:space="preserve">Δ_N</w:t>
            </w:r>
          </w:p>
        </w:tc>
        <w:tc>
          <w:tcPr>
            <w:tcW w:type="dxa" w:w="1400"/>
            <w:shd w:fill="FFFFFF" w:val="clear"/>
          </w:tcPr>
          <w:p>
            <w:pPr>
              <w:spacing w:after="60" w:before="60"/>
              <w:ind w:left="80"/>
            </w:pPr>
            <w:r>
              <w:rPr>
                <w:b w:val="false"/>
                <w:bCs w:val="false"/>
                <w:color w:val="000000"/>
                <w:sz w:val="20"/>
                <w:szCs w:val="20"/>
              </w:rPr>
              <w:t xml:space="preserve">Neighbourhood rotation</w:t>
            </w:r>
          </w:p>
        </w:tc>
        <w:tc>
          <w:tcPr>
            <w:tcW w:type="dxa" w:w="4300"/>
            <w:shd w:fill="FFFFFF" w:val="clear"/>
          </w:tcPr>
          <w:p>
            <w:pPr>
              <w:spacing w:after="60" w:before="60"/>
              <w:ind w:left="80"/>
            </w:pPr>
            <w:r>
              <w:rPr>
                <w:b w:val="false"/>
                <w:bCs w:val="false"/>
                <w:color w:val="000000"/>
                <w:sz w:val="20"/>
                <w:szCs w:val="20"/>
              </w:rPr>
              <w:t xml:space="preserve">Max deployment changes per re-solve triggered by STIX update. Limits live re-planning disruption.</w:t>
            </w:r>
          </w:p>
        </w:tc>
        <w:tc>
          <w:tcPr>
            <w:tcW w:type="dxa" w:w="2800"/>
            <w:shd w:fill="FFFFFF" w:val="clear"/>
          </w:tcPr>
          <w:p>
            <w:pPr>
              <w:spacing w:after="60" w:before="60"/>
              <w:ind w:left="80"/>
            </w:pPr>
            <w:r>
              <w:rPr>
                <w:b w:val="false"/>
                <w:bCs w:val="false"/>
                <w:color w:val="000000"/>
                <w:sz w:val="20"/>
                <w:szCs w:val="20"/>
              </w:rPr>
              <w:t xml:space="preserve">Δ_N=2: at most 2 swap operations per Algorithm 1 trigger</w:t>
            </w:r>
          </w:p>
        </w:tc>
      </w:tr>
    </w:tbl>
    <w:p>
      <w:pPr>
        <w:spacing w:before="240"/>
      </w:pPr>
    </w:p>
    <w:p>
      <w:pPr>
        <w:pStyle w:val="Heading2"/>
        <w:spacing w:after="120" w:before="240"/>
      </w:pPr>
      <w:r>
        <w:t xml:space="preserve">2.3  Identity Attributes — Persona</w:t>
      </w:r>
    </w:p>
    <w:p>
      <w:pPr>
        <w:spacing w:after="60" w:before="60"/>
      </w:pPr>
      <w:r>
        <w:rPr>
          <w:color w:val="000000"/>
          <w:sz w:val="22"/>
          <w:szCs w:val="22"/>
        </w:rPr>
        <w:t xml:space="preserve">Identity attributes define who a honeypot pretends to be. The persona prior q_p is the only parameter updated in real time by Algorithm 1 — every STIX intelligence event shifts the probability simplex over P.</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300"/>
        <w:gridCol w:w="2700"/>
      </w:tblGrid>
      <w:tr>
        <w:trPr>
          <w:tblHeader/>
        </w:trPr>
        <w:tc>
          <w:tcPr>
            <w:tcW w:type="dxa" w:w="700"/>
            <w:shd w:fill="1F3864" w:val="clear"/>
          </w:tcPr>
          <w:p>
            <w:pPr>
              <w:spacing w:after="60" w:before="60"/>
              <w:ind w:left="80"/>
            </w:pPr>
            <w:r>
              <w:rPr>
                <w:b/>
                <w:bCs/>
                <w:color w:val="FFFFFF"/>
                <w:sz w:val="20"/>
                <w:szCs w:val="20"/>
              </w:rPr>
              <w:t xml:space="preserve">Symbol</w:t>
            </w:r>
          </w:p>
        </w:tc>
        <w:tc>
          <w:tcPr>
            <w:tcW w:type="dxa" w:w="1500"/>
            <w:shd w:fill="1F3864" w:val="clear"/>
          </w:tcPr>
          <w:p>
            <w:pPr>
              <w:spacing w:after="60" w:before="60"/>
              <w:ind w:left="80"/>
            </w:pPr>
            <w:r>
              <w:rPr>
                <w:b/>
                <w:bCs/>
                <w:color w:val="FFFFFF"/>
                <w:sz w:val="20"/>
                <w:szCs w:val="20"/>
              </w:rPr>
              <w:t xml:space="preserve">Name</w:t>
            </w:r>
          </w:p>
        </w:tc>
        <w:tc>
          <w:tcPr>
            <w:tcW w:type="dxa" w:w="4300"/>
            <w:shd w:fill="1F3864" w:val="clear"/>
          </w:tcPr>
          <w:p>
            <w:pPr>
              <w:spacing w:after="60" w:before="60"/>
              <w:ind w:left="80"/>
            </w:pPr>
            <w:r>
              <w:rPr>
                <w:b/>
                <w:bCs/>
                <w:color w:val="FFFFFF"/>
                <w:sz w:val="20"/>
                <w:szCs w:val="20"/>
              </w:rPr>
              <w:t xml:space="preserve">Description</w:t>
            </w:r>
          </w:p>
        </w:tc>
        <w:tc>
          <w:tcPr>
            <w:tcW w:type="dxa" w:w="2700"/>
            <w:shd w:fill="1F3864" w:val="clear"/>
          </w:tcPr>
          <w:p>
            <w:pPr>
              <w:spacing w:after="60" w:before="60"/>
              <w:ind w:left="80"/>
            </w:pPr>
            <w:r>
              <w:rPr>
                <w:b/>
                <w:bCs/>
                <w:color w:val="FFFFFF"/>
                <w:sz w:val="20"/>
                <w:szCs w:val="20"/>
              </w:rPr>
              <w:t xml:space="preserve">Example</w:t>
            </w:r>
          </w:p>
        </w:tc>
      </w:tr>
      <w:tr>
        <w:trPr>
          <w:tblHeader w:val="false"/>
        </w:trPr>
        <w:tc>
          <w:tcPr>
            <w:tcW w:type="dxa" w:w="700"/>
            <w:shd w:fill="FFFFFF" w:val="clear"/>
          </w:tcPr>
          <w:p>
            <w:pPr>
              <w:spacing w:after="60" w:before="60"/>
              <w:ind w:left="80"/>
            </w:pPr>
            <w:r>
              <w:rPr>
                <w:b w:val="false"/>
                <w:bCs w:val="false"/>
                <w:color w:val="000000"/>
                <w:sz w:val="20"/>
                <w:szCs w:val="20"/>
              </w:rPr>
              <w:t xml:space="preserve">P</w:t>
            </w:r>
          </w:p>
        </w:tc>
        <w:tc>
          <w:tcPr>
            <w:tcW w:type="dxa" w:w="1500"/>
            <w:shd w:fill="FFFFFF" w:val="clear"/>
          </w:tcPr>
          <w:p>
            <w:pPr>
              <w:spacing w:after="60" w:before="60"/>
              <w:ind w:left="80"/>
            </w:pPr>
            <w:r>
              <w:rPr>
                <w:b w:val="false"/>
                <w:bCs w:val="false"/>
                <w:color w:val="000000"/>
                <w:sz w:val="20"/>
                <w:szCs w:val="20"/>
              </w:rPr>
              <w:t xml:space="preserve">Persona catalogue</w:t>
            </w:r>
          </w:p>
        </w:tc>
        <w:tc>
          <w:tcPr>
            <w:tcW w:type="dxa" w:w="4300"/>
            <w:shd w:fill="FFFFFF" w:val="clear"/>
          </w:tcPr>
          <w:p>
            <w:pPr>
              <w:spacing w:after="60" w:before="60"/>
              <w:ind w:left="80"/>
            </w:pPr>
            <w:r>
              <w:rPr>
                <w:b w:val="false"/>
                <w:bCs w:val="false"/>
                <w:color w:val="000000"/>
                <w:sz w:val="20"/>
                <w:szCs w:val="20"/>
              </w:rPr>
              <w:t xml:space="preserve">Finite set of disguised identities. Each p ∈ P is an independently fingerprintable dimension: hostname, AD account, certificate. Prior q_p reflects plausibility per attacker class.</w:t>
            </w:r>
          </w:p>
        </w:tc>
        <w:tc>
          <w:tcPr>
            <w:tcW w:type="dxa" w:w="2700"/>
            <w:shd w:fill="FFFFFF" w:val="clear"/>
          </w:tcPr>
          <w:p>
            <w:pPr>
              <w:spacing w:after="60" w:before="60"/>
              <w:ind w:left="80"/>
            </w:pPr>
            <w:r>
              <w:rPr>
                <w:b w:val="false"/>
                <w:bCs w:val="false"/>
                <w:color w:val="000000"/>
                <w:sz w:val="20"/>
                <w:szCs w:val="20"/>
              </w:rPr>
              <w:t xml:space="preserve">|P|=4: Finance_DB, IT_Admin, Dev_Svc, Corp_Endpoint</w:t>
            </w:r>
          </w:p>
        </w:tc>
      </w:tr>
      <w:tr>
        <w:trPr>
          <w:tblHeader w:val="false"/>
        </w:trPr>
        <w:tc>
          <w:tcPr>
            <w:tcW w:type="dxa" w:w="700"/>
            <w:shd w:fill="F2F2F2" w:val="clear"/>
          </w:tcPr>
          <w:p>
            <w:pPr>
              <w:spacing w:after="60" w:before="60"/>
              <w:ind w:left="80"/>
            </w:pPr>
            <w:r>
              <w:rPr>
                <w:b w:val="false"/>
                <w:bCs w:val="false"/>
                <w:color w:val="000000"/>
                <w:sz w:val="20"/>
                <w:szCs w:val="20"/>
              </w:rPr>
              <w:t xml:space="preserve">GK</w:t>
            </w:r>
          </w:p>
        </w:tc>
        <w:tc>
          <w:tcPr>
            <w:tcW w:type="dxa" w:w="1500"/>
            <w:shd w:fill="F2F2F2" w:val="clear"/>
          </w:tcPr>
          <w:p>
            <w:pPr>
              <w:spacing w:after="60" w:before="60"/>
              <w:ind w:left="80"/>
            </w:pPr>
            <w:r>
              <w:rPr>
                <w:b w:val="false"/>
                <w:bCs w:val="false"/>
                <w:color w:val="000000"/>
                <w:sz w:val="20"/>
                <w:szCs w:val="20"/>
              </w:rPr>
              <w:t xml:space="preserve">Generative knowledge set</w:t>
            </w:r>
          </w:p>
        </w:tc>
        <w:tc>
          <w:tcPr>
            <w:tcW w:type="dxa" w:w="4300"/>
            <w:shd w:fill="F2F2F2" w:val="clear"/>
          </w:tcPr>
          <w:p>
            <w:pPr>
              <w:spacing w:after="60" w:before="60"/>
              <w:ind w:left="80"/>
            </w:pPr>
            <w:r>
              <w:rPr>
                <w:b w:val="false"/>
                <w:bCs w:val="false"/>
                <w:color w:val="000000"/>
                <w:sz w:val="20"/>
                <w:szCs w:val="20"/>
              </w:rPr>
              <w:t xml:space="preserve">GK_{i,p}: (server type, zone, technique, persona) tuples persona p can plausibly support on trap type i. Hard constraint C5b checks membership. Prevents incoherent disguises.</w:t>
            </w:r>
          </w:p>
        </w:tc>
        <w:tc>
          <w:tcPr>
            <w:tcW w:type="dxa" w:w="2700"/>
            <w:shd w:fill="F2F2F2" w:val="clear"/>
          </w:tcPr>
          <w:p>
            <w:pPr>
              <w:spacing w:after="60" w:before="60"/>
              <w:ind w:left="80"/>
            </w:pPr>
            <w:r>
              <w:rPr>
                <w:b w:val="false"/>
                <w:bCs w:val="false"/>
                <w:color w:val="000000"/>
                <w:sz w:val="20"/>
                <w:szCs w:val="20"/>
              </w:rPr>
              <w:t xml:space="preserve">Finance_DB: supports db_trap+Internal+credential_access, not dns_trap+DMZ</w:t>
            </w:r>
          </w:p>
        </w:tc>
      </w:tr>
      <w:tr>
        <w:trPr>
          <w:tblHeader w:val="false"/>
        </w:trPr>
        <w:tc>
          <w:tcPr>
            <w:tcW w:type="dxa" w:w="700"/>
            <w:shd w:fill="FFFFFF" w:val="clear"/>
          </w:tcPr>
          <w:p>
            <w:pPr>
              <w:spacing w:after="60" w:before="60"/>
              <w:ind w:left="80"/>
            </w:pPr>
            <w:r>
              <w:rPr>
                <w:b w:val="false"/>
                <w:bCs w:val="false"/>
                <w:color w:val="000000"/>
                <w:sz w:val="20"/>
                <w:szCs w:val="20"/>
              </w:rPr>
              <w:t xml:space="preserve">q</w:t>
            </w:r>
          </w:p>
        </w:tc>
        <w:tc>
          <w:tcPr>
            <w:tcW w:type="dxa" w:w="1500"/>
            <w:shd w:fill="FFFFFF" w:val="clear"/>
          </w:tcPr>
          <w:p>
            <w:pPr>
              <w:spacing w:after="60" w:before="60"/>
              <w:ind w:left="80"/>
            </w:pPr>
            <w:r>
              <w:rPr>
                <w:b w:val="false"/>
                <w:bCs w:val="false"/>
                <w:color w:val="000000"/>
                <w:sz w:val="20"/>
                <w:szCs w:val="20"/>
              </w:rPr>
              <w:t xml:space="preserve">Persona prior</w:t>
            </w:r>
          </w:p>
        </w:tc>
        <w:tc>
          <w:tcPr>
            <w:tcW w:type="dxa" w:w="4300"/>
            <w:shd w:fill="FFFFFF" w:val="clear"/>
          </w:tcPr>
          <w:p>
            <w:pPr>
              <w:spacing w:after="60" w:before="60"/>
              <w:ind w:left="80"/>
            </w:pPr>
            <w:r>
              <w:rPr>
                <w:b w:val="false"/>
                <w:bCs w:val="false"/>
                <w:color w:val="000000"/>
                <w:sz w:val="20"/>
                <w:szCs w:val="20"/>
              </w:rPr>
              <w:t xml:space="preserve">q_p ∈ [0,1]: prior probability attacker class θ finds persona p plausible. Every credit term multiplied by q_p. Updated live by Algorithm 1 from STIX/TAXII bundles.</w:t>
            </w:r>
          </w:p>
        </w:tc>
        <w:tc>
          <w:tcPr>
            <w:tcW w:type="dxa" w:w="2700"/>
            <w:shd w:fill="FFFFFF" w:val="clear"/>
          </w:tcPr>
          <w:p>
            <w:pPr>
              <w:spacing w:after="60" w:before="60"/>
              <w:ind w:left="80"/>
            </w:pPr>
            <w:r>
              <w:rPr>
                <w:b w:val="false"/>
                <w:bCs w:val="false"/>
                <w:color w:val="000000"/>
                <w:sz w:val="20"/>
                <w:szCs w:val="20"/>
              </w:rPr>
              <w:t xml:space="preserve">After STIX update: q_p(Finance_DB) rises 0.25→0.40</w:t>
            </w:r>
          </w:p>
        </w:tc>
      </w:tr>
      <w:tr>
        <w:trPr>
          <w:tblHeader w:val="false"/>
        </w:trPr>
        <w:tc>
          <w:tcPr>
            <w:tcW w:type="dxa" w:w="700"/>
            <w:shd w:fill="F2F2F2" w:val="clear"/>
          </w:tcPr>
          <w:p>
            <w:pPr>
              <w:spacing w:after="60" w:before="60"/>
              <w:ind w:left="80"/>
            </w:pPr>
            <w:r>
              <w:rPr>
                <w:b w:val="false"/>
                <w:bCs w:val="false"/>
                <w:color w:val="000000"/>
                <w:sz w:val="20"/>
                <w:szCs w:val="20"/>
              </w:rPr>
              <w:t xml:space="preserve">τ_GK</w:t>
            </w:r>
          </w:p>
        </w:tc>
        <w:tc>
          <w:tcPr>
            <w:tcW w:type="dxa" w:w="1500"/>
            <w:shd w:fill="F2F2F2" w:val="clear"/>
          </w:tcPr>
          <w:p>
            <w:pPr>
              <w:spacing w:after="60" w:before="60"/>
              <w:ind w:left="80"/>
            </w:pPr>
            <w:r>
              <w:rPr>
                <w:b w:val="false"/>
                <w:bCs w:val="false"/>
                <w:color w:val="000000"/>
                <w:sz w:val="20"/>
                <w:szCs w:val="20"/>
              </w:rPr>
              <w:t xml:space="preserve">GK validity threshold</w:t>
            </w:r>
          </w:p>
        </w:tc>
        <w:tc>
          <w:tcPr>
            <w:tcW w:type="dxa" w:w="4300"/>
            <w:shd w:fill="F2F2F2" w:val="clear"/>
          </w:tcPr>
          <w:p>
            <w:pPr>
              <w:spacing w:after="60" w:before="60"/>
              <w:ind w:left="80"/>
            </w:pPr>
            <w:r>
              <w:rPr>
                <w:b w:val="false"/>
                <w:bCs w:val="false"/>
                <w:color w:val="000000"/>
                <w:sz w:val="20"/>
                <w:szCs w:val="20"/>
              </w:rPr>
              <w:t xml:space="preserve">Minimum confidence score for (type, zone, technique, persona) inclusion in GK_{i,p}. Tuples below τ_GK excluded from C5b plausibility check.</w:t>
            </w:r>
          </w:p>
        </w:tc>
        <w:tc>
          <w:tcPr>
            <w:tcW w:type="dxa" w:w="2700"/>
            <w:shd w:fill="F2F2F2" w:val="clear"/>
          </w:tcPr>
          <w:p>
            <w:pPr>
              <w:spacing w:after="60" w:before="60"/>
              <w:ind w:left="80"/>
            </w:pPr>
            <w:r>
              <w:rPr>
                <w:b w:val="false"/>
                <w:bCs w:val="false"/>
                <w:color w:val="000000"/>
                <w:sz w:val="20"/>
                <w:szCs w:val="20"/>
              </w:rPr>
              <w:t xml:space="preserve">τ_GK=0.70: only ≥70% confidence combinations enter GK</w:t>
            </w:r>
          </w:p>
        </w:tc>
      </w:tr>
      <w:tr>
        <w:trPr>
          <w:tblHeader w:val="false"/>
        </w:trPr>
        <w:tc>
          <w:tcPr>
            <w:tcW w:type="dxa" w:w="700"/>
            <w:shd w:fill="FFFFFF" w:val="clear"/>
          </w:tcPr>
          <w:p>
            <w:pPr>
              <w:spacing w:after="60" w:before="60"/>
              <w:ind w:left="80"/>
            </w:pPr>
            <w:r>
              <w:rPr>
                <w:b w:val="false"/>
                <w:bCs w:val="false"/>
                <w:color w:val="000000"/>
                <w:sz w:val="20"/>
                <w:szCs w:val="20"/>
              </w:rPr>
              <w:t xml:space="preserve">Δ_p</w:t>
            </w:r>
          </w:p>
        </w:tc>
        <w:tc>
          <w:tcPr>
            <w:tcW w:type="dxa" w:w="1500"/>
            <w:shd w:fill="FFFFFF" w:val="clear"/>
          </w:tcPr>
          <w:p>
            <w:pPr>
              <w:spacing w:after="60" w:before="60"/>
              <w:ind w:left="80"/>
            </w:pPr>
            <w:r>
              <w:rPr>
                <w:b w:val="false"/>
                <w:bCs w:val="false"/>
                <w:color w:val="000000"/>
                <w:sz w:val="20"/>
                <w:szCs w:val="20"/>
              </w:rPr>
              <w:t xml:space="preserve">Persona-churn limit</w:t>
            </w:r>
          </w:p>
        </w:tc>
        <w:tc>
          <w:tcPr>
            <w:tcW w:type="dxa" w:w="4300"/>
            <w:shd w:fill="FFFFFF" w:val="clear"/>
          </w:tcPr>
          <w:p>
            <w:pPr>
              <w:spacing w:after="60" w:before="60"/>
              <w:ind w:left="80"/>
            </w:pPr>
            <w:r>
              <w:rPr>
                <w:b w:val="false"/>
                <w:bCs w:val="false"/>
                <w:color w:val="000000"/>
                <w:sz w:val="20"/>
                <w:szCs w:val="20"/>
              </w:rPr>
              <w:t xml:space="preserve">Max persona-assignment changes per (type, zone) pair. Prevents identity-thrashing while still enforcing mandatory C13 rotation.</w:t>
            </w:r>
          </w:p>
        </w:tc>
        <w:tc>
          <w:tcPr>
            <w:tcW w:type="dxa" w:w="2700"/>
            <w:shd w:fill="FFFFFF" w:val="clear"/>
          </w:tcPr>
          <w:p>
            <w:pPr>
              <w:spacing w:after="60" w:before="60"/>
              <w:ind w:left="80"/>
            </w:pPr>
            <w:r>
              <w:rPr>
                <w:b w:val="false"/>
                <w:bCs w:val="false"/>
                <w:color w:val="000000"/>
                <w:sz w:val="20"/>
                <w:szCs w:val="20"/>
              </w:rPr>
              <w:t xml:space="preserve">Δ_p=2 at XLarge</w:t>
            </w:r>
          </w:p>
        </w:tc>
      </w:tr>
    </w:tbl>
    <w:p>
      <w:pPr>
        <w:spacing w:before="240"/>
      </w:pPr>
    </w:p>
    <w:p>
      <w:pPr>
        <w:pStyle w:val="Heading2"/>
        <w:spacing w:after="120" w:before="240"/>
      </w:pPr>
      <w:r>
        <w:t xml:space="preserve">2.4  Objective &amp; Weight Attributes</w:t>
      </w:r>
    </w:p>
    <w:p>
      <w:pPr>
        <w:spacing w:after="60" w:before="60"/>
      </w:pPr>
      <w:r>
        <w:rPr>
          <w:color w:val="000000"/>
          <w:sz w:val="22"/>
          <w:szCs w:val="22"/>
        </w:rPr>
        <w:t xml:space="preserve">These attributes define how much credit each detection earns. They flow through the weight pipeline (Eqs. 3–5) to produce the per-path credit PW that populates every soft clause. σ (stealth factor) makes the optimizer actively seek hard-to-detect technique coverage.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200"/>
        <w:gridCol w:w="2800"/>
      </w:tblGrid>
      <w:tr>
        <w:trPr>
          <w:tblHeader/>
        </w:trPr>
        <w:tc>
          <w:tcPr>
            <w:tcW w:type="dxa" w:w="700"/>
            <w:shd w:fill="1F3864" w:val="clear"/>
          </w:tcPr>
          <w:p>
            <w:pPr>
              <w:spacing w:after="60" w:before="60"/>
              <w:ind w:left="80"/>
            </w:pPr>
            <w:r>
              <w:rPr>
                <w:b/>
                <w:bCs/>
                <w:color w:val="FFFFFF"/>
                <w:sz w:val="20"/>
                <w:szCs w:val="20"/>
              </w:rPr>
              <w:t xml:space="preserve">Symbol</w:t>
            </w:r>
          </w:p>
        </w:tc>
        <w:tc>
          <w:tcPr>
            <w:tcW w:type="dxa" w:w="1500"/>
            <w:shd w:fill="1F3864" w:val="clear"/>
          </w:tcPr>
          <w:p>
            <w:pPr>
              <w:spacing w:after="60" w:before="60"/>
              <w:ind w:left="80"/>
            </w:pPr>
            <w:r>
              <w:rPr>
                <w:b/>
                <w:bCs/>
                <w:color w:val="FFFFFF"/>
                <w:sz w:val="20"/>
                <w:szCs w:val="20"/>
              </w:rPr>
              <w:t xml:space="preserve">Name</w:t>
            </w:r>
          </w:p>
        </w:tc>
        <w:tc>
          <w:tcPr>
            <w:tcW w:type="dxa" w:w="4200"/>
            <w:shd w:fill="1F3864" w:val="clear"/>
          </w:tcPr>
          <w:p>
            <w:pPr>
              <w:spacing w:after="60" w:before="60"/>
              <w:ind w:left="80"/>
            </w:pPr>
            <w:r>
              <w:rPr>
                <w:b/>
                <w:bCs/>
                <w:color w:val="FFFFFF"/>
                <w:sz w:val="20"/>
                <w:szCs w:val="20"/>
              </w:rPr>
              <w:t xml:space="preserve">Description</w:t>
            </w:r>
          </w:p>
        </w:tc>
        <w:tc>
          <w:tcPr>
            <w:tcW w:type="dxa" w:w="2800"/>
            <w:shd w:fill="1F3864" w:val="clear"/>
          </w:tcPr>
          <w:p>
            <w:pPr>
              <w:spacing w:after="60" w:before="60"/>
              <w:ind w:left="80"/>
            </w:pPr>
            <w:r>
              <w:rPr>
                <w:b/>
                <w:bCs/>
                <w:color w:val="FFFFFF"/>
                <w:sz w:val="20"/>
                <w:szCs w:val="20"/>
              </w:rPr>
              <w:t xml:space="preserve">Example</w:t>
            </w:r>
          </w:p>
        </w:tc>
      </w:tr>
      <w:tr>
        <w:trPr>
          <w:tblHeader w:val="false"/>
        </w:trPr>
        <w:tc>
          <w:tcPr>
            <w:tcW w:type="dxa" w:w="700"/>
            <w:shd w:fill="FFFFFF" w:val="clear"/>
          </w:tcPr>
          <w:p>
            <w:pPr>
              <w:spacing w:after="60" w:before="60"/>
              <w:ind w:left="80"/>
            </w:pPr>
            <w:r>
              <w:rPr>
                <w:b w:val="false"/>
                <w:bCs w:val="false"/>
                <w:color w:val="000000"/>
                <w:sz w:val="20"/>
                <w:szCs w:val="20"/>
              </w:rPr>
              <w:t xml:space="preserve">T</w:t>
            </w:r>
          </w:p>
        </w:tc>
        <w:tc>
          <w:tcPr>
            <w:tcW w:type="dxa" w:w="1500"/>
            <w:shd w:fill="FFFFFF" w:val="clear"/>
          </w:tcPr>
          <w:p>
            <w:pPr>
              <w:spacing w:after="60" w:before="60"/>
              <w:ind w:left="80"/>
            </w:pPr>
            <w:r>
              <w:rPr>
                <w:b w:val="false"/>
                <w:bCs w:val="false"/>
                <w:color w:val="000000"/>
                <w:sz w:val="20"/>
                <w:szCs w:val="20"/>
              </w:rPr>
              <w:t xml:space="preserve">ATT&amp;CK technique set</w:t>
            </w:r>
          </w:p>
        </w:tc>
        <w:tc>
          <w:tcPr>
            <w:tcW w:type="dxa" w:w="4200"/>
            <w:shd w:fill="FFFFFF" w:val="clear"/>
          </w:tcPr>
          <w:p>
            <w:pPr>
              <w:spacing w:after="60" w:before="60"/>
              <w:ind w:left="80"/>
            </w:pPr>
            <w:r>
              <w:rPr>
                <w:b w:val="false"/>
                <w:bCs w:val="false"/>
                <w:color w:val="000000"/>
                <w:sz w:val="20"/>
                <w:szCs w:val="20"/>
              </w:rPr>
              <w:t xml:space="preserve">MITRE ATT&amp;CK techniques honeypots can detect. Maps to trap types via ⋄. L2_tech rewards covering each technique; L2_fam rewards tactic-family breadth.</w:t>
            </w:r>
          </w:p>
        </w:tc>
        <w:tc>
          <w:tcPr>
            <w:tcW w:type="dxa" w:w="2800"/>
            <w:shd w:fill="FFFFFF" w:val="clear"/>
          </w:tcPr>
          <w:p>
            <w:pPr>
              <w:spacing w:after="60" w:before="60"/>
              <w:ind w:left="80"/>
            </w:pPr>
            <w:r>
              <w:rPr>
                <w:b w:val="false"/>
                <w:bCs w:val="false"/>
                <w:color w:val="000000"/>
                <w:sz w:val="20"/>
                <w:szCs w:val="20"/>
              </w:rPr>
              <w:t xml:space="preserve">18 techniques at XLarge: lateral movement, credential access, discovery, execution, persistence…</w:t>
            </w:r>
          </w:p>
        </w:tc>
      </w:tr>
      <w:tr>
        <w:trPr>
          <w:tblHeader w:val="false"/>
        </w:trPr>
        <w:tc>
          <w:tcPr>
            <w:tcW w:type="dxa" w:w="700"/>
            <w:shd w:fill="F2F2F2" w:val="clear"/>
          </w:tcPr>
          <w:p>
            <w:pPr>
              <w:spacing w:after="60" w:before="60"/>
              <w:ind w:left="80"/>
            </w:pPr>
            <w:r>
              <w:rPr>
                <w:b w:val="false"/>
                <w:bCs w:val="false"/>
                <w:color w:val="000000"/>
                <w:sz w:val="20"/>
                <w:szCs w:val="20"/>
              </w:rPr>
              <w:t xml:space="preserve">w</w:t>
            </w:r>
          </w:p>
        </w:tc>
        <w:tc>
          <w:tcPr>
            <w:tcW w:type="dxa" w:w="1500"/>
            <w:shd w:fill="F2F2F2" w:val="clear"/>
          </w:tcPr>
          <w:p>
            <w:pPr>
              <w:spacing w:after="60" w:before="60"/>
              <w:ind w:left="80"/>
            </w:pPr>
            <w:r>
              <w:rPr>
                <w:b w:val="false"/>
                <w:bCs w:val="false"/>
                <w:color w:val="000000"/>
                <w:sz w:val="20"/>
                <w:szCs w:val="20"/>
              </w:rPr>
              <w:t xml:space="preserve">Base technique weight</w:t>
            </w:r>
          </w:p>
        </w:tc>
        <w:tc>
          <w:tcPr>
            <w:tcW w:type="dxa" w:w="4200"/>
            <w:shd w:fill="F2F2F2" w:val="clear"/>
          </w:tcPr>
          <w:p>
            <w:pPr>
              <w:spacing w:after="60" w:before="60"/>
              <w:ind w:left="80"/>
            </w:pPr>
            <w:r>
              <w:rPr>
                <w:b w:val="false"/>
                <w:bCs w:val="false"/>
                <w:color w:val="000000"/>
                <w:sz w:val="20"/>
                <w:szCs w:val="20"/>
              </w:rPr>
              <w:t xml:space="preserve">w_{j,a}: detection value of catching technique j on asset a. Transformed by weight pipeline: topology adjustment then stealth adjustment.</w:t>
            </w:r>
          </w:p>
        </w:tc>
        <w:tc>
          <w:tcPr>
            <w:tcW w:type="dxa" w:w="2800"/>
            <w:shd w:fill="F2F2F2" w:val="clear"/>
          </w:tcPr>
          <w:p>
            <w:pPr>
              <w:spacing w:after="60" w:before="60"/>
              <w:ind w:left="80"/>
            </w:pPr>
            <w:r>
              <w:rPr>
                <w:b w:val="false"/>
                <w:bCs w:val="false"/>
                <w:color w:val="000000"/>
                <w:sz w:val="20"/>
                <w:szCs w:val="20"/>
              </w:rPr>
              <w:t xml:space="preserve">Lateral movement on domain controller has high base weight</w:t>
            </w:r>
          </w:p>
        </w:tc>
      </w:tr>
      <w:tr>
        <w:trPr>
          <w:tblHeader w:val="false"/>
        </w:trPr>
        <w:tc>
          <w:tcPr>
            <w:tcW w:type="dxa" w:w="700"/>
            <w:shd w:fill="FFFFFF" w:val="clear"/>
          </w:tcPr>
          <w:p>
            <w:pPr>
              <w:spacing w:after="60" w:before="60"/>
              <w:ind w:left="80"/>
            </w:pPr>
            <w:r>
              <w:rPr>
                <w:b w:val="false"/>
                <w:bCs w:val="false"/>
                <w:color w:val="000000"/>
                <w:sz w:val="20"/>
                <w:szCs w:val="20"/>
              </w:rPr>
              <w:t xml:space="preserve">d_m,a</w:t>
            </w:r>
          </w:p>
        </w:tc>
        <w:tc>
          <w:tcPr>
            <w:tcW w:type="dxa" w:w="1500"/>
            <w:shd w:fill="FFFFFF" w:val="clear"/>
          </w:tcPr>
          <w:p>
            <w:pPr>
              <w:spacing w:after="60" w:before="60"/>
              <w:ind w:left="80"/>
            </w:pPr>
            <w:r>
              <w:rPr>
                <w:b w:val="false"/>
                <w:bCs w:val="false"/>
                <w:color w:val="000000"/>
                <w:sz w:val="20"/>
                <w:szCs w:val="20"/>
              </w:rPr>
              <w:t xml:space="preserve">Masking distance</w:t>
            </w:r>
          </w:p>
        </w:tc>
        <w:tc>
          <w:tcPr>
            <w:tcW w:type="dxa" w:w="4200"/>
            <w:shd w:fill="FFFFFF" w:val="clear"/>
          </w:tcPr>
          <w:p>
            <w:pPr>
              <w:spacing w:after="60" w:before="60"/>
              <w:ind w:left="80"/>
            </w:pPr>
            <w:r>
              <w:rPr>
                <w:b w:val="false"/>
                <w:bCs w:val="false"/>
                <w:color w:val="000000"/>
                <w:sz w:val="20"/>
                <w:szCs w:val="20"/>
              </w:rPr>
              <w:t xml:space="preserve">Per-asset factor reflecting how well the asset can be masked. Higher d_m,a → easier to blend honeypot in. Topology weight: ẅ_{j,a} = w_{j,a}×d_{m,a}/h_{d,a}.</w:t>
            </w:r>
          </w:p>
        </w:tc>
        <w:tc>
          <w:tcPr>
            <w:tcW w:type="dxa" w:w="2800"/>
            <w:shd w:fill="FFFFFF" w:val="clear"/>
          </w:tcPr>
          <w:p>
            <w:pPr>
              <w:spacing w:after="60" w:before="60"/>
              <w:ind w:left="80"/>
            </w:pPr>
            <w:r>
              <w:rPr>
                <w:b w:val="false"/>
                <w:bCs w:val="false"/>
                <w:color w:val="000000"/>
                <w:sz w:val="20"/>
                <w:szCs w:val="20"/>
              </w:rPr>
              <w:t xml:space="preserve">Busy web server (high d_m) vs. rarely-accessed OT device (low d_m)</w:t>
            </w:r>
          </w:p>
        </w:tc>
      </w:tr>
      <w:tr>
        <w:trPr>
          <w:tblHeader w:val="false"/>
        </w:trPr>
        <w:tc>
          <w:tcPr>
            <w:tcW w:type="dxa" w:w="700"/>
            <w:shd w:fill="F2F2F2" w:val="clear"/>
          </w:tcPr>
          <w:p>
            <w:pPr>
              <w:spacing w:after="60" w:before="60"/>
              <w:ind w:left="80"/>
            </w:pPr>
            <w:r>
              <w:rPr>
                <w:b w:val="false"/>
                <w:bCs w:val="false"/>
                <w:color w:val="000000"/>
                <w:sz w:val="20"/>
                <w:szCs w:val="20"/>
              </w:rPr>
              <w:t xml:space="preserve">h_d,a</w:t>
            </w:r>
          </w:p>
        </w:tc>
        <w:tc>
          <w:tcPr>
            <w:tcW w:type="dxa" w:w="1500"/>
            <w:shd w:fill="F2F2F2" w:val="clear"/>
          </w:tcPr>
          <w:p>
            <w:pPr>
              <w:spacing w:after="60" w:before="60"/>
              <w:ind w:left="80"/>
            </w:pPr>
            <w:r>
              <w:rPr>
                <w:b w:val="false"/>
                <w:bCs w:val="false"/>
                <w:color w:val="000000"/>
                <w:sz w:val="20"/>
                <w:szCs w:val="20"/>
              </w:rPr>
              <w:t xml:space="preserve">Zone hop-distance</w:t>
            </w:r>
          </w:p>
        </w:tc>
        <w:tc>
          <w:tcPr>
            <w:tcW w:type="dxa" w:w="4200"/>
            <w:shd w:fill="F2F2F2" w:val="clear"/>
          </w:tcPr>
          <w:p>
            <w:pPr>
              <w:spacing w:after="60" w:before="60"/>
              <w:ind w:left="80"/>
            </w:pPr>
            <w:r>
              <w:rPr>
                <w:b w:val="false"/>
                <w:bCs w:val="false"/>
                <w:color w:val="000000"/>
                <w:sz w:val="20"/>
                <w:szCs w:val="20"/>
              </w:rPr>
              <w:t xml:space="preserve">Network hops from attacker entry to zone. DMZ=1, Internal=2, OT=3. Topology weight divides by h_d,a — shallower zones earn higher credit per asset.</w:t>
            </w:r>
          </w:p>
        </w:tc>
        <w:tc>
          <w:tcPr>
            <w:tcW w:type="dxa" w:w="2800"/>
            <w:shd w:fill="F2F2F2" w:val="clear"/>
          </w:tcPr>
          <w:p>
            <w:pPr>
              <w:spacing w:after="60" w:before="60"/>
              <w:ind w:left="80"/>
            </w:pPr>
            <w:r>
              <w:rPr>
                <w:b w:val="false"/>
                <w:bCs w:val="false"/>
                <w:color w:val="000000"/>
                <w:sz w:val="20"/>
                <w:szCs w:val="20"/>
              </w:rPr>
              <w:t xml:space="preserve">DMZ (h_d=1) earns 3× more per-asset credit than OT (h_d=3)</w:t>
            </w:r>
          </w:p>
        </w:tc>
      </w:tr>
      <w:tr>
        <w:trPr>
          <w:tblHeader w:val="false"/>
        </w:trPr>
        <w:tc>
          <w:tcPr>
            <w:tcW w:type="dxa" w:w="700"/>
            <w:shd w:fill="FFFFFF" w:val="clear"/>
          </w:tcPr>
          <w:p>
            <w:pPr>
              <w:spacing w:after="60" w:before="60"/>
              <w:ind w:left="80"/>
            </w:pPr>
            <w:r>
              <w:rPr>
                <w:b w:val="false"/>
                <w:bCs w:val="false"/>
                <w:color w:val="000000"/>
                <w:sz w:val="20"/>
                <w:szCs w:val="20"/>
              </w:rPr>
              <w:t xml:space="preserve">σ</w:t>
            </w:r>
          </w:p>
        </w:tc>
        <w:tc>
          <w:tcPr>
            <w:tcW w:type="dxa" w:w="1500"/>
            <w:shd w:fill="FFFFFF" w:val="clear"/>
          </w:tcPr>
          <w:p>
            <w:pPr>
              <w:spacing w:after="60" w:before="60"/>
              <w:ind w:left="80"/>
            </w:pPr>
            <w:r>
              <w:rPr>
                <w:b w:val="false"/>
                <w:bCs w:val="false"/>
                <w:color w:val="000000"/>
                <w:sz w:val="20"/>
                <w:szCs w:val="20"/>
              </w:rPr>
              <w:t xml:space="preserve">Stealth factor</w:t>
            </w:r>
          </w:p>
        </w:tc>
        <w:tc>
          <w:tcPr>
            <w:tcW w:type="dxa" w:w="4200"/>
            <w:shd w:fill="FFFFFF" w:val="clear"/>
          </w:tcPr>
          <w:p>
            <w:pPr>
              <w:spacing w:after="60" w:before="60"/>
              <w:ind w:left="80"/>
            </w:pPr>
            <w:r>
              <w:rPr>
                <w:b w:val="false"/>
                <w:bCs w:val="false"/>
                <w:color w:val="000000"/>
                <w:sz w:val="20"/>
                <w:szCs w:val="20"/>
              </w:rPr>
              <w:t xml:space="preserve">σ_j ∈ [0,1]: how difficult technique j is to detect conventionally. Stealth-adjusted weight: W_{j,a} = ẅ_{j,a}×(1+σ_j). σ=1 doubles credit.</w:t>
            </w:r>
          </w:p>
        </w:tc>
        <w:tc>
          <w:tcPr>
            <w:tcW w:type="dxa" w:w="2800"/>
            <w:shd w:fill="FFFFFF" w:val="clear"/>
          </w:tcPr>
          <w:p>
            <w:pPr>
              <w:spacing w:after="60" w:before="60"/>
              <w:ind w:left="80"/>
            </w:pPr>
            <w:r>
              <w:rPr>
                <w:b w:val="false"/>
                <w:bCs w:val="false"/>
                <w:color w:val="000000"/>
                <w:sz w:val="20"/>
                <w:szCs w:val="20"/>
              </w:rPr>
              <w:t xml:space="preserve">Lateral movement: σ≈0.9. Port scanning: σ≈0.1</w:t>
            </w:r>
          </w:p>
        </w:tc>
      </w:tr>
      <w:tr>
        <w:trPr>
          <w:tblHeader w:val="false"/>
        </w:trPr>
        <w:tc>
          <w:tcPr>
            <w:tcW w:type="dxa" w:w="700"/>
            <w:shd w:fill="F2F2F2" w:val="clear"/>
          </w:tcPr>
          <w:p>
            <w:pPr>
              <w:spacing w:after="60" w:before="60"/>
              <w:ind w:left="80"/>
            </w:pPr>
            <w:r>
              <w:rPr>
                <w:b w:val="false"/>
                <w:bCs w:val="false"/>
                <w:color w:val="000000"/>
                <w:sz w:val="20"/>
                <w:szCs w:val="20"/>
              </w:rPr>
              <w:t xml:space="preserve">ρ</w:t>
            </w:r>
          </w:p>
        </w:tc>
        <w:tc>
          <w:tcPr>
            <w:tcW w:type="dxa" w:w="1500"/>
            <w:shd w:fill="F2F2F2" w:val="clear"/>
          </w:tcPr>
          <w:p>
            <w:pPr>
              <w:spacing w:after="60" w:before="60"/>
              <w:ind w:left="80"/>
            </w:pPr>
            <w:r>
              <w:rPr>
                <w:b w:val="false"/>
                <w:bCs w:val="false"/>
                <w:color w:val="000000"/>
                <w:sz w:val="20"/>
                <w:szCs w:val="20"/>
              </w:rPr>
              <w:t xml:space="preserve">Path frequency</w:t>
            </w:r>
          </w:p>
        </w:tc>
        <w:tc>
          <w:tcPr>
            <w:tcW w:type="dxa" w:w="4200"/>
            <w:shd w:fill="F2F2F2" w:val="clear"/>
          </w:tcPr>
          <w:p>
            <w:pPr>
              <w:spacing w:after="60" w:before="60"/>
              <w:ind w:left="80"/>
            </w:pPr>
            <w:r>
              <w:rPr>
                <w:b w:val="false"/>
                <w:bCs w:val="false"/>
                <w:color w:val="000000"/>
                <w:sz w:val="20"/>
                <w:szCs w:val="20"/>
              </w:rPr>
              <w:t xml:space="preserve">ρ_π ∈ [0,1]: probability attacker takes path π. Scales all soft clauses via PW = ρ_π×iv_{π,h}×W_{j,a}. Also tightens τ_d (Eq. 6).</w:t>
            </w:r>
          </w:p>
        </w:tc>
        <w:tc>
          <w:tcPr>
            <w:tcW w:type="dxa" w:w="2800"/>
            <w:shd w:fill="F2F2F2" w:val="clear"/>
          </w:tcPr>
          <w:p>
            <w:pPr>
              <w:spacing w:after="60" w:before="60"/>
              <w:ind w:left="80"/>
            </w:pPr>
            <w:r>
              <w:rPr>
                <w:b w:val="false"/>
                <w:bCs w:val="false"/>
                <w:color w:val="000000"/>
                <w:sz w:val="20"/>
                <w:szCs w:val="20"/>
              </w:rPr>
              <w:t xml:space="preserve">web→db: ρ=0.30 (most frequent). OT infiltration: ρ=0.15</w:t>
            </w:r>
          </w:p>
        </w:tc>
      </w:tr>
      <w:tr>
        <w:trPr>
          <w:tblHeader w:val="false"/>
        </w:trPr>
        <w:tc>
          <w:tcPr>
            <w:tcW w:type="dxa" w:w="700"/>
            <w:shd w:fill="FFFFFF" w:val="clear"/>
          </w:tcPr>
          <w:p>
            <w:pPr>
              <w:spacing w:after="60" w:before="60"/>
              <w:ind w:left="80"/>
            </w:pPr>
            <w:r>
              <w:rPr>
                <w:b w:val="false"/>
                <w:bCs w:val="false"/>
                <w:color w:val="000000"/>
                <w:sz w:val="20"/>
                <w:szCs w:val="20"/>
              </w:rPr>
              <w:t xml:space="preserve">iv</w:t>
            </w:r>
          </w:p>
        </w:tc>
        <w:tc>
          <w:tcPr>
            <w:tcW w:type="dxa" w:w="1500"/>
            <w:shd w:fill="FFFFFF" w:val="clear"/>
          </w:tcPr>
          <w:p>
            <w:pPr>
              <w:spacing w:after="60" w:before="60"/>
              <w:ind w:left="80"/>
            </w:pPr>
            <w:r>
              <w:rPr>
                <w:b w:val="false"/>
                <w:bCs w:val="false"/>
                <w:color w:val="000000"/>
                <w:sz w:val="20"/>
                <w:szCs w:val="20"/>
              </w:rPr>
              <w:t xml:space="preserve">Hop importance value</w:t>
            </w:r>
          </w:p>
        </w:tc>
        <w:tc>
          <w:tcPr>
            <w:tcW w:type="dxa" w:w="4200"/>
            <w:shd w:fill="FFFFFF" w:val="clear"/>
          </w:tcPr>
          <w:p>
            <w:pPr>
              <w:spacing w:after="60" w:before="60"/>
              <w:ind w:left="80"/>
            </w:pPr>
            <w:r>
              <w:rPr>
                <w:b w:val="false"/>
                <w:bCs w:val="false"/>
                <w:color w:val="000000"/>
                <w:sz w:val="20"/>
                <w:szCs w:val="20"/>
              </w:rPr>
              <w:t xml:space="preserve">iv_{π,h}: strategic importance of hop h on path π. Earlier hops have higher iv — catching attacker at hop 1 worth more than penultimate hop.</w:t>
            </w:r>
          </w:p>
        </w:tc>
        <w:tc>
          <w:tcPr>
            <w:tcW w:type="dxa" w:w="2800"/>
            <w:shd w:fill="FFFFFF" w:val="clear"/>
          </w:tcPr>
          <w:p>
            <w:pPr>
              <w:spacing w:after="60" w:before="60"/>
              <w:ind w:left="80"/>
            </w:pPr>
            <w:r>
              <w:rPr>
                <w:b w:val="false"/>
                <w:bCs w:val="false"/>
                <w:color w:val="000000"/>
                <w:sz w:val="20"/>
                <w:szCs w:val="20"/>
              </w:rPr>
              <w:t xml:space="preserve">Hop 1 (initial access): iv≈1.8. Final hop: iv≈0.5</w:t>
            </w:r>
          </w:p>
        </w:tc>
      </w:tr>
    </w:tbl>
    <w:p>
      <w:r>
        <w:br w:type="page"/>
      </w:r>
    </w:p>
    <w:p>
      <w:pPr>
        <w:pStyle w:val="Heading1"/>
        <w:spacing w:after="120" w:before="240"/>
      </w:pPr>
      <w:r>
        <w:t xml:space="preserve">Formulation — Four Layers</w:t>
      </w:r>
    </w:p>
    <w:p>
      <w:pPr>
        <w:pBdr>
          <w:bottom w:val="single" w:color="2E74B5" w:sz="6"/>
        </w:pBdr>
        <w:spacing w:after="200" w:before="200"/>
      </w:pPr>
    </w:p>
    <w:p>
      <w:pPr>
        <w:pStyle w:val="Heading2"/>
        <w:spacing w:after="120" w:before="240"/>
      </w:pPr>
      <w:r>
        <w:t xml:space="preserve">3.1  Decision Variable</w:t>
      </w:r>
    </w:p>
    <w:p>
      <w:pPr>
        <w:spacing w:after="60" w:before="60"/>
      </w:pPr>
      <w:r>
        <w:rPr>
          <w:rFonts w:ascii="Courier New" w:cs="Courier New" w:eastAsia="Courier New" w:hAnsi="Courier New"/>
          <w:color w:val="1F3864"/>
          <w:sz w:val="20"/>
          <w:szCs w:val="20"/>
        </w:rPr>
        <w:t xml:space="preserve">x_{i,z,t,p} ∈ {0,1}</w:t>
      </w:r>
      <w:r>
        <w:rPr>
          <w:color w:val="000000"/>
          <w:sz w:val="22"/>
          <w:szCs w:val="22"/>
        </w:rPr>
        <w:t xml:space="preserve"> is the heart of the formulation. It equals </w:t>
      </w:r>
      <w:r>
        <w:rPr>
          <w:b/>
          <w:bCs/>
          <w:color w:val="000000"/>
          <w:sz w:val="22"/>
          <w:szCs w:val="22"/>
        </w:rPr>
        <w:t xml:space="preserve">1</w:t>
      </w:r>
      <w:r>
        <w:rPr>
          <w:color w:val="000000"/>
          <w:sz w:val="22"/>
          <w:szCs w:val="22"/>
        </w:rPr>
        <w:t xml:space="preserve"> if trap type </w:t>
      </w:r>
      <w:r>
        <w:rPr>
          <w:rFonts w:ascii="Courier New" w:cs="Courier New" w:eastAsia="Courier New" w:hAnsi="Courier New"/>
          <w:color w:val="1F3864"/>
          <w:sz w:val="20"/>
          <w:szCs w:val="20"/>
        </w:rPr>
        <w:t xml:space="preserve">i</w:t>
      </w:r>
      <w:r>
        <w:rPr>
          <w:color w:val="000000"/>
          <w:sz w:val="22"/>
          <w:szCs w:val="22"/>
        </w:rPr>
        <w:t xml:space="preserve"> is deployed in zone </w:t>
      </w:r>
      <w:r>
        <w:rPr>
          <w:rFonts w:ascii="Courier New" w:cs="Courier New" w:eastAsia="Courier New" w:hAnsi="Courier New"/>
          <w:color w:val="1F3864"/>
          <w:sz w:val="20"/>
          <w:szCs w:val="20"/>
        </w:rPr>
        <w:t xml:space="preserve">z</w:t>
      </w:r>
      <w:r>
        <w:rPr>
          <w:color w:val="000000"/>
          <w:sz w:val="22"/>
          <w:szCs w:val="22"/>
        </w:rPr>
        <w:t xml:space="preserve">, in time slot </w:t>
      </w:r>
      <w:r>
        <w:rPr>
          <w:rFonts w:ascii="Courier New" w:cs="Courier New" w:eastAsia="Courier New" w:hAnsi="Courier New"/>
          <w:color w:val="1F3864"/>
          <w:sz w:val="20"/>
          <w:szCs w:val="20"/>
        </w:rPr>
        <w:t xml:space="preserve">t</w:t>
      </w:r>
      <w:r>
        <w:rPr>
          <w:color w:val="000000"/>
          <w:sz w:val="22"/>
          <w:szCs w:val="22"/>
        </w:rPr>
        <w:t xml:space="preserve">, wearing persona </w:t>
      </w:r>
      <w:r>
        <w:rPr>
          <w:rFonts w:ascii="Courier New" w:cs="Courier New" w:eastAsia="Courier New" w:hAnsi="Courier New"/>
          <w:color w:val="1F3864"/>
          <w:sz w:val="20"/>
          <w:szCs w:val="20"/>
        </w:rPr>
        <w:t xml:space="preserve">p</w:t>
      </w:r>
      <w:r>
        <w:rPr>
          <w:color w:val="000000"/>
          <w:sz w:val="22"/>
          <w:szCs w:val="22"/>
        </w:rPr>
        <w:t xml:space="preserve"> — and </w:t>
      </w:r>
      <w:r>
        <w:rPr>
          <w:b/>
          <w:bCs/>
          <w:color w:val="000000"/>
          <w:sz w:val="22"/>
          <w:szCs w:val="22"/>
        </w:rPr>
        <w:t xml:space="preserve">0</w:t>
      </w:r>
      <w:r>
        <w:rPr>
          <w:color w:val="000000"/>
          <w:sz w:val="22"/>
          <w:szCs w:val="22"/>
        </w:rPr>
        <w:t xml:space="preserve"> otherwise. At XLarge: 8 types × 5 zones × 4 slots × 4 personas = </w:t>
      </w:r>
      <w:r>
        <w:rPr>
          <w:b/>
          <w:bCs/>
          <w:color w:val="000000"/>
          <w:sz w:val="22"/>
          <w:szCs w:val="22"/>
        </w:rPr>
        <w:t xml:space="preserve">640 binary decisions</w:t>
      </w:r>
      <w:r>
        <w:rPr>
          <w:color w:val="000000"/>
          <w:sz w:val="22"/>
          <w:szCs w:val="22"/>
        </w:rPr>
        <w:t xml:space="preserve">, all solved simultaneously. A greedy solver sets them one at a time and cannot revisit.</w:t>
      </w:r>
    </w:p>
    <w:p>
      <w:pPr>
        <w:spacing w:before="160"/>
      </w:pPr>
    </w:p>
    <w:p>
      <w:pPr>
        <w:pStyle w:val="Heading2"/>
        <w:spacing w:after="120" w:before="240"/>
      </w:pPr>
      <w:r>
        <w:t xml:space="preserve">3.2  Credit Weight Pipeline — Eqs. (3)–(5)</w:t>
      </w:r>
    </w:p>
    <w:p>
      <w:pPr>
        <w:spacing w:after="60" w:before="60"/>
      </w:pPr>
      <w:r>
        <w:rPr>
          <w:color w:val="000000"/>
          <w:sz w:val="22"/>
          <w:szCs w:val="22"/>
        </w:rPr>
        <w:t xml:space="preserve">A raw technique weight passes through three transformation stages before entering the objective: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700"/>
      </w:tblGrid>
      <w:tr>
        <w:trPr>
          <w:tblHeader/>
        </w:trPr>
        <w:tc>
          <w:tcPr>
            <w:tcW w:type="dxa" w:w="1700"/>
            <w:shd w:fill="1F3864" w:val="clear"/>
          </w:tcPr>
          <w:p>
            <w:pPr>
              <w:spacing w:after="60" w:before="60"/>
              <w:ind w:left="80"/>
            </w:pPr>
            <w:r>
              <w:rPr>
                <w:b/>
                <w:bCs/>
                <w:color w:val="FFFFFF"/>
                <w:sz w:val="20"/>
                <w:szCs w:val="20"/>
              </w:rPr>
              <w:t xml:space="preserve">Stage</w:t>
            </w:r>
          </w:p>
        </w:tc>
        <w:tc>
          <w:tcPr>
            <w:tcW w:type="dxa" w:w="2800"/>
            <w:shd w:fill="1F3864" w:val="clear"/>
          </w:tcPr>
          <w:p>
            <w:pPr>
              <w:spacing w:after="60" w:before="60"/>
              <w:ind w:left="80"/>
            </w:pPr>
            <w:r>
              <w:rPr>
                <w:b/>
                <w:bCs/>
                <w:color w:val="FFFFFF"/>
                <w:sz w:val="20"/>
                <w:szCs w:val="20"/>
              </w:rPr>
              <w:t xml:space="preserve">Formula</w:t>
            </w:r>
          </w:p>
        </w:tc>
        <w:tc>
          <w:tcPr>
            <w:tcW w:type="dxa" w:w="4700"/>
            <w:shd w:fill="1F3864" w:val="clear"/>
          </w:tcPr>
          <w:p>
            <w:pPr>
              <w:spacing w:after="60" w:before="60"/>
              <w:ind w:left="80"/>
            </w:pPr>
            <w:r>
              <w:rPr>
                <w:b/>
                <w:bCs/>
                <w:color w:val="FFFFFF"/>
                <w:sz w:val="20"/>
                <w:szCs w:val="20"/>
              </w:rPr>
              <w:t xml:space="preserve">Effect</w:t>
            </w:r>
          </w:p>
        </w:tc>
      </w:tr>
      <w:tr>
        <w:trPr>
          <w:tblHeader w:val="false"/>
        </w:trPr>
        <w:tc>
          <w:tcPr>
            <w:tcW w:type="dxa" w:w="1700"/>
            <w:shd w:fill="FFFFFF" w:val="clear"/>
          </w:tcPr>
          <w:p>
            <w:pPr>
              <w:spacing w:after="60" w:before="60"/>
              <w:ind w:left="80"/>
            </w:pPr>
            <w:r>
              <w:rPr>
                <w:b w:val="false"/>
                <w:bCs w:val="false"/>
                <w:color w:val="000000"/>
                <w:sz w:val="20"/>
                <w:szCs w:val="20"/>
              </w:rPr>
              <w:t xml:space="preserve">Topology adjustment</w:t>
            </w:r>
          </w:p>
        </w:tc>
        <w:tc>
          <w:tcPr>
            <w:tcW w:type="dxa" w:w="2800"/>
            <w:shd w:fill="FFFFFF" w:val="clear"/>
          </w:tcPr>
          <w:p>
            <w:pPr>
              <w:spacing w:after="60" w:before="60"/>
              <w:ind w:left="80"/>
            </w:pPr>
            <w:r>
              <w:rPr>
                <w:b w:val="false"/>
                <w:bCs w:val="false"/>
                <w:color w:val="000000"/>
                <w:sz w:val="20"/>
                <w:szCs w:val="20"/>
              </w:rPr>
              <w:t xml:space="preserve">ẅ_{j,a} = w_{j,a} × d_{m,a} / h_{d,a}</w:t>
            </w:r>
          </w:p>
        </w:tc>
        <w:tc>
          <w:tcPr>
            <w:tcW w:type="dxa" w:w="4700"/>
            <w:shd w:fill="FFFFFF" w:val="clear"/>
          </w:tcPr>
          <w:p>
            <w:pPr>
              <w:spacing w:after="60" w:before="60"/>
              <w:ind w:left="80"/>
            </w:pPr>
            <w:r>
              <w:rPr>
                <w:b w:val="false"/>
                <w:bCs w:val="false"/>
                <w:color w:val="000000"/>
                <w:sz w:val="20"/>
                <w:szCs w:val="20"/>
              </w:rPr>
              <w:t xml:space="preserve">Divides by zone depth. DMZ (h_d=1) earns 3× more per-asset credit than OT (h_d=3). Masking distance d_m,a scales up for well-trafficked zones.</w:t>
            </w:r>
          </w:p>
        </w:tc>
      </w:tr>
      <w:tr>
        <w:trPr>
          <w:tblHeader w:val="false"/>
        </w:trPr>
        <w:tc>
          <w:tcPr>
            <w:tcW w:type="dxa" w:w="1700"/>
            <w:shd w:fill="F2F2F2" w:val="clear"/>
          </w:tcPr>
          <w:p>
            <w:pPr>
              <w:spacing w:after="60" w:before="60"/>
              <w:ind w:left="80"/>
            </w:pPr>
            <w:r>
              <w:rPr>
                <w:b w:val="false"/>
                <w:bCs w:val="false"/>
                <w:color w:val="000000"/>
                <w:sz w:val="20"/>
                <w:szCs w:val="20"/>
              </w:rPr>
              <w:t xml:space="preserve">Stealth adjustment</w:t>
            </w:r>
          </w:p>
        </w:tc>
        <w:tc>
          <w:tcPr>
            <w:tcW w:type="dxa" w:w="2800"/>
            <w:shd w:fill="F2F2F2" w:val="clear"/>
          </w:tcPr>
          <w:p>
            <w:pPr>
              <w:spacing w:after="60" w:before="60"/>
              <w:ind w:left="80"/>
            </w:pPr>
            <w:r>
              <w:rPr>
                <w:b w:val="false"/>
                <w:bCs w:val="false"/>
                <w:color w:val="000000"/>
                <w:sz w:val="20"/>
                <w:szCs w:val="20"/>
              </w:rPr>
              <w:t xml:space="preserve">W_{j,a} = ẅ_{j,a} × (1 + σ_j)</w:t>
            </w:r>
          </w:p>
        </w:tc>
        <w:tc>
          <w:tcPr>
            <w:tcW w:type="dxa" w:w="4700"/>
            <w:shd w:fill="F2F2F2" w:val="clear"/>
          </w:tcPr>
          <w:p>
            <w:pPr>
              <w:spacing w:after="60" w:before="60"/>
              <w:ind w:left="80"/>
            </w:pPr>
            <w:r>
              <w:rPr>
                <w:b w:val="false"/>
                <w:bCs w:val="false"/>
                <w:color w:val="000000"/>
                <w:sz w:val="20"/>
                <w:szCs w:val="20"/>
              </w:rPr>
              <w:t xml:space="preserve">Doubles credit for σ_j=1. Lateral movement (σ≈0.9) and credential access earn nearly 2× more than noisy scanning (σ≈0.1).</w:t>
            </w:r>
          </w:p>
        </w:tc>
      </w:tr>
      <w:tr>
        <w:trPr>
          <w:tblHeader w:val="false"/>
        </w:trPr>
        <w:tc>
          <w:tcPr>
            <w:tcW w:type="dxa" w:w="1700"/>
            <w:shd w:fill="FFFFFF" w:val="clear"/>
          </w:tcPr>
          <w:p>
            <w:pPr>
              <w:spacing w:after="60" w:before="60"/>
              <w:ind w:left="80"/>
            </w:pPr>
            <w:r>
              <w:rPr>
                <w:b w:val="false"/>
                <w:bCs w:val="false"/>
                <w:color w:val="000000"/>
                <w:sz w:val="20"/>
                <w:szCs w:val="20"/>
              </w:rPr>
              <w:t xml:space="preserve">Per-path credit</w:t>
            </w:r>
          </w:p>
        </w:tc>
        <w:tc>
          <w:tcPr>
            <w:tcW w:type="dxa" w:w="2800"/>
            <w:shd w:fill="FFFFFF" w:val="clear"/>
          </w:tcPr>
          <w:p>
            <w:pPr>
              <w:spacing w:after="60" w:before="60"/>
              <w:ind w:left="80"/>
            </w:pPr>
            <w:r>
              <w:rPr>
                <w:b w:val="false"/>
                <w:bCs w:val="false"/>
                <w:color w:val="000000"/>
                <w:sz w:val="20"/>
                <w:szCs w:val="20"/>
              </w:rPr>
              <w:t xml:space="preserve">PW_{π,h,j,a} = ρ_π × iv_{π,h} × W_{j,a}</w:t>
            </w:r>
          </w:p>
        </w:tc>
        <w:tc>
          <w:tcPr>
            <w:tcW w:type="dxa" w:w="4700"/>
            <w:shd w:fill="FFFFFF" w:val="clear"/>
          </w:tcPr>
          <w:p>
            <w:pPr>
              <w:spacing w:after="60" w:before="60"/>
              <w:ind w:left="80"/>
            </w:pPr>
            <w:r>
              <w:rPr>
                <w:b w:val="false"/>
                <w:bCs w:val="false"/>
                <w:color w:val="000000"/>
                <w:sz w:val="20"/>
                <w:szCs w:val="20"/>
              </w:rPr>
              <w:t xml:space="preserve">Scales by path frequency and hop importance. This is the number populating every L3 soft clause.</w:t>
            </w:r>
          </w:p>
        </w:tc>
      </w:tr>
      <w:tr>
        <w:trPr>
          <w:tblHeader w:val="false"/>
        </w:trPr>
        <w:tc>
          <w:tcPr>
            <w:tcW w:type="dxa" w:w="1700"/>
            <w:shd w:fill="F2F2F2" w:val="clear"/>
          </w:tcPr>
          <w:p>
            <w:pPr>
              <w:spacing w:after="60" w:before="60"/>
              <w:ind w:left="80"/>
            </w:pPr>
            <w:r>
              <w:rPr>
                <w:b w:val="false"/>
                <w:bCs w:val="false"/>
                <w:color w:val="000000"/>
                <w:sz w:val="20"/>
                <w:szCs w:val="20"/>
              </w:rPr>
              <w:t xml:space="preserve">Persona &amp; burn gate</w:t>
            </w:r>
          </w:p>
        </w:tc>
        <w:tc>
          <w:tcPr>
            <w:tcW w:type="dxa" w:w="2800"/>
            <w:shd w:fill="F2F2F2" w:val="clear"/>
          </w:tcPr>
          <w:p>
            <w:pPr>
              <w:spacing w:after="60" w:before="60"/>
              <w:ind w:left="80"/>
            </w:pPr>
            <w:r>
              <w:rPr>
                <w:b w:val="false"/>
                <w:bCs w:val="false"/>
                <w:color w:val="000000"/>
                <w:sz w:val="20"/>
                <w:szCs w:val="20"/>
              </w:rPr>
              <w:t xml:space="preserve">PW × q_p × D</w:t>
            </w:r>
          </w:p>
        </w:tc>
        <w:tc>
          <w:tcPr>
            <w:tcW w:type="dxa" w:w="4700"/>
            <w:shd w:fill="F2F2F2" w:val="clear"/>
          </w:tcPr>
          <w:p>
            <w:pPr>
              <w:spacing w:after="60" w:before="60"/>
              <w:ind w:left="80"/>
            </w:pPr>
            <w:r>
              <w:rPr>
                <w:b w:val="false"/>
                <w:bCs w:val="false"/>
                <w:color w:val="000000"/>
                <w:sz w:val="20"/>
                <w:szCs w:val="20"/>
              </w:rPr>
              <w:t xml:space="preserve">Multiplied by persona prior q_p, then gated by D = (1−u_type)(1−u_persona). D=0 on any burned deployment zeros all credit.</w:t>
            </w:r>
          </w:p>
        </w:tc>
      </w:tr>
    </w:tbl>
    <w:p>
      <w:pPr>
        <w:spacing w:before="240"/>
      </w:pPr>
    </w:p>
    <w:p>
      <w:pPr>
        <w:pStyle w:val="Heading2"/>
        <w:spacing w:after="120" w:before="240"/>
      </w:pPr>
      <w:r>
        <w:t xml:space="preserve">3.3  Six-Tier Objective — Eqs. (9)–(15)</w:t>
      </w:r>
    </w:p>
    <w:p>
      <w:pPr>
        <w:spacing w:after="60" w:before="60"/>
      </w:pPr>
      <w:r>
        <w:rPr>
          <w:rFonts w:ascii="Courier New" w:cs="Courier New" w:eastAsia="Courier New" w:hAnsi="Courier New"/>
          <w:color w:val="1F3864"/>
          <w:sz w:val="20"/>
          <w:szCs w:val="20"/>
        </w:rPr>
        <w:t xml:space="preserve">Q(x) = L4 + L3_fwd + L3_bwd + L2_tech + L2_fam + L1</w:t>
      </w:r>
    </w:p>
    <w:p>
      <w:pPr>
        <w:spacing w:after="60" w:before="60"/>
      </w:pPr>
      <w:r>
        <w:rPr>
          <w:color w:val="000000"/>
          <w:sz w:val="22"/>
          <w:szCs w:val="22"/>
        </w:rPr>
        <w:t xml:space="preserve">The geometric weighting (×1000 : ×100 : ×10 : ×1) enforces an absolute priority ordering — no amount of lower-tier credit outweighs a single point at the tier above: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1700"/>
      </w:tblGrid>
      <w:tr>
        <w:trPr>
          <w:tblHeader/>
        </w:trPr>
        <w:tc>
          <w:tcPr>
            <w:tcW w:type="dxa" w:w="900"/>
            <w:shd w:fill="1F3864" w:val="clear"/>
          </w:tcPr>
          <w:p>
            <w:pPr>
              <w:spacing w:after="60" w:before="60"/>
              <w:ind w:left="80"/>
            </w:pPr>
            <w:r>
              <w:rPr>
                <w:b/>
                <w:bCs/>
                <w:color w:val="FFFFFF"/>
                <w:sz w:val="20"/>
                <w:szCs w:val="20"/>
              </w:rPr>
              <w:t xml:space="preserve">Tier</w:t>
            </w:r>
          </w:p>
        </w:tc>
        <w:tc>
          <w:tcPr>
            <w:tcW w:type="dxa" w:w="700"/>
            <w:shd w:fill="1F3864" w:val="clear"/>
          </w:tcPr>
          <w:p>
            <w:pPr>
              <w:spacing w:after="60" w:before="60"/>
              <w:ind w:left="80"/>
            </w:pPr>
            <w:r>
              <w:rPr>
                <w:b/>
                <w:bCs/>
                <w:color w:val="FFFFFF"/>
                <w:sz w:val="20"/>
                <w:szCs w:val="20"/>
              </w:rPr>
              <w:t xml:space="preserve">Weight</w:t>
            </w:r>
          </w:p>
        </w:tc>
        <w:tc>
          <w:tcPr>
            <w:tcW w:type="dxa" w:w="4900"/>
            <w:shd w:fill="1F3864" w:val="clear"/>
          </w:tcPr>
          <w:p>
            <w:pPr>
              <w:spacing w:after="60" w:before="60"/>
              <w:ind w:left="80"/>
            </w:pPr>
            <w:r>
              <w:rPr>
                <w:b/>
                <w:bCs/>
                <w:color w:val="FFFFFF"/>
                <w:sz w:val="20"/>
                <w:szCs w:val="20"/>
              </w:rPr>
              <w:t xml:space="preserve">What It Rewards</w:t>
            </w:r>
          </w:p>
        </w:tc>
        <w:tc>
          <w:tcPr>
            <w:tcW w:type="dxa" w:w="1700"/>
            <w:shd w:fill="1F3864" w:val="clear"/>
          </w:tcPr>
          <w:p>
            <w:pPr>
              <w:spacing w:after="60" w:before="60"/>
              <w:ind w:left="80"/>
            </w:pPr>
            <w:r>
              <w:rPr>
                <w:b/>
                <w:bCs/>
                <w:color w:val="FFFFFF"/>
                <w:sz w:val="20"/>
                <w:szCs w:val="20"/>
              </w:rPr>
              <w:t xml:space="preserve">Survival at θ_burst</w:t>
            </w:r>
          </w:p>
        </w:tc>
      </w:tr>
      <w:tr>
        <w:trPr>
          <w:tblHeader w:val="false"/>
        </w:trPr>
        <w:tc>
          <w:tcPr>
            <w:tcW w:type="dxa" w:w="900"/>
            <w:shd w:fill="FFFFFF" w:val="clear"/>
          </w:tcPr>
          <w:p>
            <w:pPr>
              <w:spacing w:after="60" w:before="60"/>
              <w:ind w:left="80"/>
            </w:pPr>
            <w:r>
              <w:rPr>
                <w:b w:val="false"/>
                <w:bCs w:val="false"/>
                <w:color w:val="000000"/>
                <w:sz w:val="20"/>
                <w:szCs w:val="20"/>
              </w:rPr>
              <w:t xml:space="preserve">L4</w:t>
            </w:r>
          </w:p>
        </w:tc>
        <w:tc>
          <w:tcPr>
            <w:tcW w:type="dxa" w:w="700"/>
            <w:shd w:fill="FFFFFF" w:val="clear"/>
          </w:tcPr>
          <w:p>
            <w:pPr>
              <w:spacing w:after="60" w:before="60"/>
              <w:ind w:left="80"/>
            </w:pPr>
            <w:r>
              <w:rPr>
                <w:b w:val="false"/>
                <w:bCs w:val="false"/>
                <w:color w:val="000000"/>
                <w:sz w:val="20"/>
                <w:szCs w:val="20"/>
              </w:rPr>
              <w:t xml:space="preserve">×1,000</w:t>
            </w:r>
          </w:p>
        </w:tc>
        <w:tc>
          <w:tcPr>
            <w:tcW w:type="dxa" w:w="4900"/>
            <w:shd w:fill="FFFFFF" w:val="clear"/>
          </w:tcPr>
          <w:p>
            <w:pPr>
              <w:spacing w:after="60" w:before="60"/>
              <w:ind w:left="80"/>
            </w:pPr>
            <w:r>
              <w:rPr>
                <w:b w:val="false"/>
                <w:bCs w:val="false"/>
                <w:color w:val="000000"/>
                <w:sz w:val="20"/>
                <w:szCs w:val="20"/>
              </w:rPr>
              <w:t xml:space="preserve">Prevention: catching attacker before final hop. e_{π,t}=1 when ≥1 non-final hop on path π is covered in slot t.</w:t>
            </w:r>
          </w:p>
        </w:tc>
        <w:tc>
          <w:tcPr>
            <w:tcW w:type="dxa" w:w="1700"/>
            <w:shd w:fill="FFFFFF" w:val="clear"/>
          </w:tcPr>
          <w:p>
            <w:pPr>
              <w:spacing w:after="60" w:before="60"/>
              <w:ind w:left="80"/>
            </w:pPr>
            <w:r>
              <w:rPr>
                <w:b w:val="false"/>
                <w:bCs w:val="false"/>
                <w:color w:val="000000"/>
                <w:sz w:val="20"/>
                <w:szCs w:val="20"/>
              </w:rPr>
              <w:t xml:space="preserve">D=0 → zeroed</w:t>
            </w:r>
          </w:p>
        </w:tc>
      </w:tr>
      <w:tr>
        <w:trPr>
          <w:tblHeader w:val="false"/>
        </w:trPr>
        <w:tc>
          <w:tcPr>
            <w:tcW w:type="dxa" w:w="900"/>
            <w:shd w:fill="F2F2F2" w:val="clear"/>
          </w:tcPr>
          <w:p>
            <w:pPr>
              <w:spacing w:after="60" w:before="60"/>
              <w:ind w:left="80"/>
            </w:pPr>
            <w:r>
              <w:rPr>
                <w:b w:val="false"/>
                <w:bCs w:val="false"/>
                <w:color w:val="000000"/>
                <w:sz w:val="20"/>
                <w:szCs w:val="20"/>
              </w:rPr>
              <w:t xml:space="preserve">L3 (forward)</w:t>
            </w:r>
          </w:p>
        </w:tc>
        <w:tc>
          <w:tcPr>
            <w:tcW w:type="dxa" w:w="700"/>
            <w:shd w:fill="F2F2F2" w:val="clear"/>
          </w:tcPr>
          <w:p>
            <w:pPr>
              <w:spacing w:after="60" w:before="60"/>
              <w:ind w:left="80"/>
            </w:pPr>
            <w:r>
              <w:rPr>
                <w:b w:val="false"/>
                <w:bCs w:val="false"/>
                <w:color w:val="000000"/>
                <w:sz w:val="20"/>
                <w:szCs w:val="20"/>
              </w:rPr>
              <w:t xml:space="preserve">×100</w:t>
            </w:r>
          </w:p>
        </w:tc>
        <w:tc>
          <w:tcPr>
            <w:tcW w:type="dxa" w:w="4900"/>
            <w:shd w:fill="F2F2F2" w:val="clear"/>
          </w:tcPr>
          <w:p>
            <w:pPr>
              <w:spacing w:after="60" w:before="60"/>
              <w:ind w:left="80"/>
            </w:pPr>
            <w:r>
              <w:rPr>
                <w:b w:val="false"/>
                <w:bCs w:val="false"/>
                <w:color w:val="000000"/>
                <w:sz w:val="20"/>
                <w:szCs w:val="20"/>
              </w:rPr>
              <w:t xml:space="preserve">Path coverage: covering any hop on any attack path. Full weight for forward paths.</w:t>
            </w:r>
          </w:p>
        </w:tc>
        <w:tc>
          <w:tcPr>
            <w:tcW w:type="dxa" w:w="1700"/>
            <w:shd w:fill="F2F2F2" w:val="clear"/>
          </w:tcPr>
          <w:p>
            <w:pPr>
              <w:spacing w:after="60" w:before="60"/>
              <w:ind w:left="80"/>
            </w:pPr>
            <w:r>
              <w:rPr>
                <w:b w:val="false"/>
                <w:bCs w:val="false"/>
                <w:color w:val="000000"/>
                <w:sz w:val="20"/>
                <w:szCs w:val="20"/>
              </w:rPr>
              <w:t xml:space="preserve">D=0 → zeroed</w:t>
            </w:r>
          </w:p>
        </w:tc>
      </w:tr>
      <w:tr>
        <w:trPr>
          <w:tblHeader w:val="false"/>
        </w:trPr>
        <w:tc>
          <w:tcPr>
            <w:tcW w:type="dxa" w:w="900"/>
            <w:shd w:fill="FFFFFF" w:val="clear"/>
          </w:tcPr>
          <w:p>
            <w:pPr>
              <w:spacing w:after="60" w:before="60"/>
              <w:ind w:left="80"/>
            </w:pPr>
            <w:r>
              <w:rPr>
                <w:b w:val="false"/>
                <w:bCs w:val="false"/>
                <w:color w:val="000000"/>
                <w:sz w:val="20"/>
                <w:szCs w:val="20"/>
              </w:rPr>
              <w:t xml:space="preserve">L3 (backward)</w:t>
            </w:r>
          </w:p>
        </w:tc>
        <w:tc>
          <w:tcPr>
            <w:tcW w:type="dxa" w:w="700"/>
            <w:shd w:fill="FFFFFF" w:val="clear"/>
          </w:tcPr>
          <w:p>
            <w:pPr>
              <w:spacing w:after="60" w:before="60"/>
              <w:ind w:left="80"/>
            </w:pPr>
            <w:r>
              <w:rPr>
                <w:b w:val="false"/>
                <w:bCs w:val="false"/>
                <w:color w:val="000000"/>
                <w:sz w:val="20"/>
                <w:szCs w:val="20"/>
              </w:rPr>
              <w:t xml:space="preserve">×70</w:t>
            </w:r>
          </w:p>
        </w:tc>
        <w:tc>
          <w:tcPr>
            <w:tcW w:type="dxa" w:w="4900"/>
            <w:shd w:fill="FFFFFF" w:val="clear"/>
          </w:tcPr>
          <w:p>
            <w:pPr>
              <w:spacing w:after="60" w:before="60"/>
              <w:ind w:left="80"/>
            </w:pPr>
            <w:r>
              <w:rPr>
                <w:b w:val="false"/>
                <w:bCs w:val="false"/>
                <w:color w:val="000000"/>
                <w:sz w:val="20"/>
                <w:szCs w:val="20"/>
              </w:rPr>
              <w:t xml:space="preserve">Same as L3_fwd but 30% discounted for reactive/backward paths.</w:t>
            </w:r>
          </w:p>
        </w:tc>
        <w:tc>
          <w:tcPr>
            <w:tcW w:type="dxa" w:w="1700"/>
            <w:shd w:fill="FFFFFF" w:val="clear"/>
          </w:tcPr>
          <w:p>
            <w:pPr>
              <w:spacing w:after="60" w:before="60"/>
              <w:ind w:left="80"/>
            </w:pPr>
            <w:r>
              <w:rPr>
                <w:b w:val="false"/>
                <w:bCs w:val="false"/>
                <w:color w:val="000000"/>
                <w:sz w:val="20"/>
                <w:szCs w:val="20"/>
              </w:rPr>
              <w:t xml:space="preserve">D=0 → zeroed</w:t>
            </w:r>
          </w:p>
        </w:tc>
      </w:tr>
      <w:tr>
        <w:trPr>
          <w:tblHeader w:val="false"/>
        </w:trPr>
        <w:tc>
          <w:tcPr>
            <w:tcW w:type="dxa" w:w="900"/>
            <w:shd w:fill="F2F2F2" w:val="clear"/>
          </w:tcPr>
          <w:p>
            <w:pPr>
              <w:spacing w:after="60" w:before="60"/>
              <w:ind w:left="80"/>
            </w:pPr>
            <w:r>
              <w:rPr>
                <w:b w:val="false"/>
                <w:bCs w:val="false"/>
                <w:color w:val="000000"/>
                <w:sz w:val="20"/>
                <w:szCs w:val="20"/>
              </w:rPr>
              <w:t xml:space="preserve">L2_tech</w:t>
            </w:r>
          </w:p>
        </w:tc>
        <w:tc>
          <w:tcPr>
            <w:tcW w:type="dxa" w:w="700"/>
            <w:shd w:fill="F2F2F2" w:val="clear"/>
          </w:tcPr>
          <w:p>
            <w:pPr>
              <w:spacing w:after="60" w:before="60"/>
              <w:ind w:left="80"/>
            </w:pPr>
            <w:r>
              <w:rPr>
                <w:b w:val="false"/>
                <w:bCs w:val="false"/>
                <w:color w:val="000000"/>
                <w:sz w:val="20"/>
                <w:szCs w:val="20"/>
              </w:rPr>
              <w:t xml:space="preserve">×10</w:t>
            </w:r>
          </w:p>
        </w:tc>
        <w:tc>
          <w:tcPr>
            <w:tcW w:type="dxa" w:w="4900"/>
            <w:shd w:fill="F2F2F2" w:val="clear"/>
          </w:tcPr>
          <w:p>
            <w:pPr>
              <w:spacing w:after="60" w:before="60"/>
              <w:ind w:left="80"/>
            </w:pPr>
            <w:r>
              <w:rPr>
                <w:b w:val="false"/>
                <w:bCs w:val="false"/>
                <w:color w:val="000000"/>
                <w:sz w:val="20"/>
                <w:szCs w:val="20"/>
              </w:rPr>
              <w:t xml:space="preserve">ATT&amp;CK technique breadth: indicator credit for covering each technique at all. Uses discovery guard.</w:t>
            </w:r>
          </w:p>
        </w:tc>
        <w:tc>
          <w:tcPr>
            <w:tcW w:type="dxa" w:w="1700"/>
            <w:shd w:fill="F2F2F2" w:val="clear"/>
          </w:tcPr>
          <w:p>
            <w:pPr>
              <w:spacing w:after="60" w:before="60"/>
              <w:ind w:left="80"/>
            </w:pPr>
            <w:r>
              <w:rPr>
                <w:b w:val="false"/>
                <w:bCs w:val="false"/>
                <w:color w:val="000000"/>
                <w:sz w:val="20"/>
                <w:szCs w:val="20"/>
              </w:rPr>
              <w:t xml:space="preserve">Survives — determines r*</w:t>
            </w:r>
          </w:p>
        </w:tc>
      </w:tr>
      <w:tr>
        <w:trPr>
          <w:tblHeader w:val="false"/>
        </w:trPr>
        <w:tc>
          <w:tcPr>
            <w:tcW w:type="dxa" w:w="900"/>
            <w:shd w:fill="FFFFFF" w:val="clear"/>
          </w:tcPr>
          <w:p>
            <w:pPr>
              <w:spacing w:after="60" w:before="60"/>
              <w:ind w:left="80"/>
            </w:pPr>
            <w:r>
              <w:rPr>
                <w:b w:val="false"/>
                <w:bCs w:val="false"/>
                <w:color w:val="000000"/>
                <w:sz w:val="20"/>
                <w:szCs w:val="20"/>
              </w:rPr>
              <w:t xml:space="preserve">L2_fam</w:t>
            </w:r>
          </w:p>
        </w:tc>
        <w:tc>
          <w:tcPr>
            <w:tcW w:type="dxa" w:w="700"/>
            <w:shd w:fill="FFFFFF" w:val="clear"/>
          </w:tcPr>
          <w:p>
            <w:pPr>
              <w:spacing w:after="60" w:before="60"/>
              <w:ind w:left="80"/>
            </w:pPr>
            <w:r>
              <w:rPr>
                <w:b w:val="false"/>
                <w:bCs w:val="false"/>
                <w:color w:val="000000"/>
                <w:sz w:val="20"/>
                <w:szCs w:val="20"/>
              </w:rPr>
              <w:t xml:space="preserve">×12</w:t>
            </w:r>
          </w:p>
        </w:tc>
        <w:tc>
          <w:tcPr>
            <w:tcW w:type="dxa" w:w="4900"/>
            <w:shd w:fill="FFFFFF" w:val="clear"/>
          </w:tcPr>
          <w:p>
            <w:pPr>
              <w:spacing w:after="60" w:before="60"/>
              <w:ind w:left="80"/>
            </w:pPr>
            <w:r>
              <w:rPr>
                <w:b w:val="false"/>
                <w:bCs w:val="false"/>
                <w:color w:val="000000"/>
                <w:sz w:val="20"/>
                <w:szCs w:val="20"/>
              </w:rPr>
              <w:t xml:space="preserve">Tactic family breadth: indicator credit per covered family. No discovery guard (always-on once covered).</w:t>
            </w:r>
          </w:p>
        </w:tc>
        <w:tc>
          <w:tcPr>
            <w:tcW w:type="dxa" w:w="1700"/>
            <w:shd w:fill="FFFFFF" w:val="clear"/>
          </w:tcPr>
          <w:p>
            <w:pPr>
              <w:spacing w:after="60" w:before="60"/>
              <w:ind w:left="80"/>
            </w:pPr>
            <w:r>
              <w:rPr>
                <w:b w:val="false"/>
                <w:bCs w:val="false"/>
                <w:color w:val="000000"/>
                <w:sz w:val="20"/>
                <w:szCs w:val="20"/>
              </w:rPr>
              <w:t xml:space="preserve">Survives — determines r*</w:t>
            </w:r>
          </w:p>
        </w:tc>
      </w:tr>
      <w:tr>
        <w:trPr>
          <w:tblHeader w:val="false"/>
        </w:trPr>
        <w:tc>
          <w:tcPr>
            <w:tcW w:type="dxa" w:w="900"/>
            <w:shd w:fill="F2F2F2" w:val="clear"/>
          </w:tcPr>
          <w:p>
            <w:pPr>
              <w:spacing w:after="60" w:before="60"/>
              <w:ind w:left="80"/>
            </w:pPr>
            <w:r>
              <w:rPr>
                <w:b w:val="false"/>
                <w:bCs w:val="false"/>
                <w:color w:val="000000"/>
                <w:sz w:val="20"/>
                <w:szCs w:val="20"/>
              </w:rPr>
              <w:t xml:space="preserve">L1</w:t>
            </w:r>
          </w:p>
        </w:tc>
        <w:tc>
          <w:tcPr>
            <w:tcW w:type="dxa" w:w="700"/>
            <w:shd w:fill="F2F2F2" w:val="clear"/>
          </w:tcPr>
          <w:p>
            <w:pPr>
              <w:spacing w:after="60" w:before="60"/>
              <w:ind w:left="80"/>
            </w:pPr>
            <w:r>
              <w:rPr>
                <w:b w:val="false"/>
                <w:bCs w:val="false"/>
                <w:color w:val="000000"/>
                <w:sz w:val="20"/>
                <w:szCs w:val="20"/>
              </w:rPr>
              <w:t xml:space="preserve">×1</w:t>
            </w:r>
          </w:p>
        </w:tc>
        <w:tc>
          <w:tcPr>
            <w:tcW w:type="dxa" w:w="4900"/>
            <w:shd w:fill="F2F2F2" w:val="clear"/>
          </w:tcPr>
          <w:p>
            <w:pPr>
              <w:spacing w:after="60" w:before="60"/>
              <w:ind w:left="80"/>
            </w:pPr>
            <w:r>
              <w:rPr>
                <w:b w:val="false"/>
                <w:bCs w:val="false"/>
                <w:color w:val="000000"/>
                <w:sz w:val="20"/>
                <w:szCs w:val="20"/>
              </w:rPr>
              <w:t xml:space="preserve">Raw detection: baseline credit per asset-technique pair. Heavily dominated by upper tiers.</w:t>
            </w:r>
          </w:p>
        </w:tc>
        <w:tc>
          <w:tcPr>
            <w:tcW w:type="dxa" w:w="1700"/>
            <w:shd w:fill="F2F2F2" w:val="clear"/>
          </w:tcPr>
          <w:p>
            <w:pPr>
              <w:spacing w:after="60" w:before="60"/>
              <w:ind w:left="80"/>
            </w:pPr>
            <w:r>
              <w:rPr>
                <w:b w:val="false"/>
                <w:bCs w:val="false"/>
                <w:color w:val="000000"/>
                <w:sz w:val="20"/>
                <w:szCs w:val="20"/>
              </w:rPr>
              <w:t xml:space="preserve">D=0 → zeroed</w:t>
            </w:r>
          </w:p>
        </w:tc>
      </w:tr>
    </w:tbl>
    <w:p>
      <w:pPr>
        <w:spacing w:before="240"/>
      </w:pPr>
    </w:p>
    <w:p>
      <w:pPr>
        <w:pStyle w:val="Heading2"/>
        <w:spacing w:after="120" w:before="240"/>
      </w:pPr>
      <w:r>
        <w:t xml:space="preserve">3.4  Dual Discovery Guard D</w:t>
      </w:r>
    </w:p>
    <w:p>
      <w:pPr>
        <w:spacing w:after="60" w:before="60"/>
      </w:pPr>
      <w:r>
        <w:rPr>
          <w:b/>
          <w:bCs/>
          <w:color w:val="000000"/>
          <w:sz w:val="22"/>
          <w:szCs w:val="22"/>
        </w:rPr>
        <w:t xml:space="preserve">D = (1 − u_type)(1 − u_persona)</w:t>
      </w:r>
    </w:p>
    <w:p>
      <w:pPr>
        <w:spacing w:after="60" w:before="60"/>
      </w:pPr>
      <w:r>
        <w:rPr>
          <w:color w:val="000000"/>
          <w:sz w:val="22"/>
          <w:szCs w:val="22"/>
        </w:rPr>
        <w:t xml:space="preserve">u_type flips to 1 after τ_d consecutive active slots (type fingerprinting). u_persona flips to 1 after τ_dp consecutive slots (persona fingerprinting). The two clocks are independent — rotating the persona does not reset the type clock, and vice versa. D=0 on a burned deployment zeros all credit from L4, L3, and L1 on that trap. This is what makes zero-burn scheduling essential.</w:t>
      </w:r>
    </w:p>
    <w:p>
      <w:pPr>
        <w:spacing w:after="60" w:before="60"/>
      </w:pPr>
      <w:r>
        <w:rPr>
          <w:color w:val="000000"/>
          <w:sz w:val="22"/>
          <w:szCs w:val="22"/>
        </w:rPr>
        <w:t xml:space="preserve">RC2's </w:t>
      </w:r>
      <w:r>
        <w:rPr>
          <w:b/>
          <w:bCs/>
          <w:color w:val="000000"/>
          <w:sz w:val="22"/>
          <w:szCs w:val="22"/>
        </w:rPr>
        <w:t xml:space="preserve">v7f schedule</w:t>
      </w:r>
      <w:r>
        <w:rPr>
          <w:color w:val="000000"/>
          <w:sz w:val="22"/>
          <w:szCs w:val="22"/>
        </w:rPr>
        <w:t xml:space="preserve"> maintains D=1 on all 16 deployments across all 4 slots. PBurn = 0%, TBurn = 0%.</w:t>
      </w:r>
    </w:p>
    <w:p>
      <w:pPr>
        <w:spacing w:before="240"/>
      </w:pPr>
    </w:p>
    <w:p>
      <w:pPr>
        <w:pStyle w:val="Heading2"/>
        <w:spacing w:after="120" w:before="240"/>
      </w:pPr>
      <w:r>
        <w:t xml:space="preserve">3.5  Minimax Robust Objective — Eq. (16)</w:t>
      </w:r>
    </w:p>
    <w:p>
      <w:pPr>
        <w:spacing w:after="60" w:before="60"/>
      </w:pPr>
      <w:r>
        <w:rPr>
          <w:b/>
          <w:bCs/>
          <w:color w:val="000000"/>
          <w:sz w:val="22"/>
          <w:szCs w:val="22"/>
        </w:rPr>
        <w:t xml:space="preserve">r*(x) = min_{θ∈Θ} Q_θ(x)</w:t>
      </w:r>
    </w:p>
    <w:p>
      <w:pPr>
        <w:spacing w:after="60" w:before="60"/>
      </w:pPr>
      <w:r>
        <w:rPr>
          <w:color w:val="000000"/>
          <w:sz w:val="22"/>
          <w:szCs w:val="22"/>
        </w:rPr>
        <w:t xml:space="preserve">RC2 maximizes r* — the schedule's worst-case score across all attacker profiles. A rational adversary always selects the θ that hurts most. Optimizing the average collapses against a burst attacker.</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000"/>
        <w:gridCol w:w="4300"/>
      </w:tblGrid>
      <w:tr>
        <w:trPr>
          <w:tblHeader/>
        </w:trPr>
        <w:tc>
          <w:tcPr>
            <w:tcW w:type="dxa" w:w="2200"/>
            <w:shd w:fill="1F3864" w:val="clear"/>
          </w:tcPr>
          <w:p>
            <w:pPr>
              <w:spacing w:after="60" w:before="60"/>
              <w:ind w:left="80"/>
            </w:pPr>
            <w:r>
              <w:rPr>
                <w:b/>
                <w:bCs/>
                <w:color w:val="FFFFFF"/>
                <w:sz w:val="20"/>
                <w:szCs w:val="20"/>
              </w:rPr>
              <w:t xml:space="preserve">Attacker Profile</w:t>
            </w:r>
          </w:p>
        </w:tc>
        <w:tc>
          <w:tcPr>
            <w:tcW w:type="dxa" w:w="700"/>
            <w:shd w:fill="1F3864" w:val="clear"/>
          </w:tcPr>
          <w:p>
            <w:pPr>
              <w:spacing w:after="60" w:before="60"/>
              <w:ind w:left="80"/>
            </w:pPr>
            <w:r>
              <w:rPr>
                <w:b/>
                <w:bCs/>
                <w:color w:val="FFFFFF"/>
                <w:sz w:val="20"/>
                <w:szCs w:val="20"/>
              </w:rPr>
              <w:t xml:space="preserve">ρ</w:t>
            </w:r>
          </w:p>
        </w:tc>
        <w:tc>
          <w:tcPr>
            <w:tcW w:type="dxa" w:w="2000"/>
            <w:shd w:fill="1F3864" w:val="clear"/>
          </w:tcPr>
          <w:p>
            <w:pPr>
              <w:spacing w:after="60" w:before="60"/>
              <w:ind w:left="80"/>
            </w:pPr>
            <w:r>
              <w:rPr>
                <w:b/>
                <w:bCs/>
                <w:color w:val="FFFFFF"/>
                <w:sz w:val="20"/>
                <w:szCs w:val="20"/>
              </w:rPr>
              <w:t xml:space="preserve">Q_θ (v7f)</w:t>
            </w:r>
          </w:p>
        </w:tc>
        <w:tc>
          <w:tcPr>
            <w:tcW w:type="dxa" w:w="4300"/>
            <w:shd w:fill="1F3864" w:val="clear"/>
          </w:tcPr>
          <w:p>
            <w:pPr>
              <w:spacing w:after="60" w:before="60"/>
              <w:ind w:left="80"/>
            </w:pPr>
            <w:r>
              <w:rPr>
                <w:b/>
                <w:bCs/>
                <w:color w:val="FFFFFF"/>
                <w:sz w:val="20"/>
                <w:szCs w:val="20"/>
              </w:rPr>
              <w:t xml:space="preserve">Notes</w:t>
            </w:r>
          </w:p>
        </w:tc>
      </w:tr>
      <w:tr>
        <w:trPr>
          <w:tblHeader w:val="false"/>
        </w:trPr>
        <w:tc>
          <w:tcPr>
            <w:tcW w:type="dxa" w:w="2200"/>
            <w:shd w:fill="FFFFFF" w:val="clear"/>
          </w:tcPr>
          <w:p>
            <w:pPr>
              <w:spacing w:after="60" w:before="60"/>
              <w:ind w:left="80"/>
            </w:pPr>
            <w:r>
              <w:rPr>
                <w:b w:val="false"/>
                <w:bCs w:val="false"/>
                <w:color w:val="000000"/>
                <w:sz w:val="20"/>
                <w:szCs w:val="20"/>
              </w:rPr>
              <w:t xml:space="preserve">θ_low (cautious)</w:t>
            </w:r>
          </w:p>
        </w:tc>
        <w:tc>
          <w:tcPr>
            <w:tcW w:type="dxa" w:w="700"/>
            <w:shd w:fill="FFFFFF" w:val="clear"/>
          </w:tcPr>
          <w:p>
            <w:pPr>
              <w:spacing w:after="60" w:before="60"/>
              <w:ind w:left="80"/>
            </w:pPr>
            <w:r>
              <w:rPr>
                <w:b w:val="false"/>
                <w:bCs w:val="false"/>
                <w:color w:val="000000"/>
                <w:sz w:val="20"/>
                <w:szCs w:val="20"/>
              </w:rPr>
              <w:t xml:space="preserve">0.10</w:t>
            </w:r>
          </w:p>
        </w:tc>
        <w:tc>
          <w:tcPr>
            <w:tcW w:type="dxa" w:w="2000"/>
            <w:shd w:fill="FFFFFF" w:val="clear"/>
          </w:tcPr>
          <w:p>
            <w:pPr>
              <w:spacing w:after="60" w:before="60"/>
              <w:ind w:left="80"/>
            </w:pPr>
            <w:r>
              <w:rPr>
                <w:b w:val="false"/>
                <w:bCs w:val="false"/>
                <w:color w:val="000000"/>
                <w:sz w:val="20"/>
                <w:szCs w:val="20"/>
              </w:rPr>
              <w:t xml:space="preserve">158,801</w:t>
            </w:r>
          </w:p>
        </w:tc>
        <w:tc>
          <w:tcPr>
            <w:tcW w:type="dxa" w:w="4300"/>
            <w:shd w:fill="FFFFFF" w:val="clear"/>
          </w:tcPr>
          <w:p>
            <w:pPr>
              <w:spacing w:after="60" w:before="60"/>
              <w:ind w:left="80"/>
            </w:pPr>
            <w:r>
              <w:rPr>
                <w:b w:val="false"/>
                <w:bCs w:val="false"/>
                <w:color w:val="000000"/>
                <w:sz w:val="20"/>
                <w:szCs w:val="20"/>
              </w:rPr>
              <w:t xml:space="preserve">Burn thresholds relaxed; all tiers contribute</w:t>
            </w:r>
          </w:p>
        </w:tc>
      </w:tr>
      <w:tr>
        <w:trPr>
          <w:tblHeader w:val="false"/>
        </w:trPr>
        <w:tc>
          <w:tcPr>
            <w:tcW w:type="dxa" w:w="2200"/>
            <w:shd w:fill="F2F2F2" w:val="clear"/>
          </w:tcPr>
          <w:p>
            <w:pPr>
              <w:spacing w:after="60" w:before="60"/>
              <w:ind w:left="80"/>
            </w:pPr>
            <w:r>
              <w:rPr>
                <w:b w:val="false"/>
                <w:bCs w:val="false"/>
                <w:color w:val="000000"/>
                <w:sz w:val="20"/>
                <w:szCs w:val="20"/>
              </w:rPr>
              <w:t xml:space="preserve">θ_med (normal)</w:t>
            </w:r>
          </w:p>
        </w:tc>
        <w:tc>
          <w:tcPr>
            <w:tcW w:type="dxa" w:w="700"/>
            <w:shd w:fill="F2F2F2" w:val="clear"/>
          </w:tcPr>
          <w:p>
            <w:pPr>
              <w:spacing w:after="60" w:before="60"/>
              <w:ind w:left="80"/>
            </w:pPr>
            <w:r>
              <w:rPr>
                <w:b w:val="false"/>
                <w:bCs w:val="false"/>
                <w:color w:val="000000"/>
                <w:sz w:val="20"/>
                <w:szCs w:val="20"/>
              </w:rPr>
              <w:t xml:space="preserve">0.30</w:t>
            </w:r>
          </w:p>
        </w:tc>
        <w:tc>
          <w:tcPr>
            <w:tcW w:type="dxa" w:w="2000"/>
            <w:shd w:fill="F2F2F2" w:val="clear"/>
          </w:tcPr>
          <w:p>
            <w:pPr>
              <w:spacing w:after="60" w:before="60"/>
              <w:ind w:left="80"/>
            </w:pPr>
            <w:r>
              <w:rPr>
                <w:b w:val="false"/>
                <w:bCs w:val="false"/>
                <w:color w:val="000000"/>
                <w:sz w:val="20"/>
                <w:szCs w:val="20"/>
              </w:rPr>
              <w:t xml:space="preserve">158,801</w:t>
            </w:r>
          </w:p>
        </w:tc>
        <w:tc>
          <w:tcPr>
            <w:tcW w:type="dxa" w:w="4300"/>
            <w:shd w:fill="F2F2F2" w:val="clear"/>
          </w:tcPr>
          <w:p>
            <w:pPr>
              <w:spacing w:after="60" w:before="60"/>
              <w:ind w:left="80"/>
            </w:pPr>
            <w:r>
              <w:rPr>
                <w:b w:val="false"/>
                <w:bCs w:val="false"/>
                <w:color w:val="000000"/>
                <w:sz w:val="20"/>
                <w:szCs w:val="20"/>
              </w:rPr>
              <w:t xml:space="preserve">Standard operation; L4+L3+L2 all active</w:t>
            </w:r>
          </w:p>
        </w:tc>
      </w:tr>
      <w:tr>
        <w:trPr>
          <w:tblHeader w:val="false"/>
        </w:trPr>
        <w:tc>
          <w:tcPr>
            <w:tcW w:type="dxa" w:w="2200"/>
            <w:shd w:fill="FFFFFF" w:val="clear"/>
          </w:tcPr>
          <w:p>
            <w:pPr>
              <w:spacing w:after="60" w:before="60"/>
              <w:ind w:left="80"/>
            </w:pPr>
            <w:r>
              <w:rPr>
                <w:b w:val="false"/>
                <w:bCs w:val="false"/>
                <w:color w:val="000000"/>
                <w:sz w:val="20"/>
                <w:szCs w:val="20"/>
              </w:rPr>
              <w:t xml:space="preserve">θ_high (aggressive)</w:t>
            </w:r>
          </w:p>
        </w:tc>
        <w:tc>
          <w:tcPr>
            <w:tcW w:type="dxa" w:w="700"/>
            <w:shd w:fill="FFFFFF" w:val="clear"/>
          </w:tcPr>
          <w:p>
            <w:pPr>
              <w:spacing w:after="60" w:before="60"/>
              <w:ind w:left="80"/>
            </w:pPr>
            <w:r>
              <w:rPr>
                <w:b w:val="false"/>
                <w:bCs w:val="false"/>
                <w:color w:val="000000"/>
                <w:sz w:val="20"/>
                <w:szCs w:val="20"/>
              </w:rPr>
              <w:t xml:space="preserve">0.60</w:t>
            </w:r>
          </w:p>
        </w:tc>
        <w:tc>
          <w:tcPr>
            <w:tcW w:type="dxa" w:w="2000"/>
            <w:shd w:fill="FFFFFF" w:val="clear"/>
          </w:tcPr>
          <w:p>
            <w:pPr>
              <w:spacing w:after="60" w:before="60"/>
              <w:ind w:left="80"/>
            </w:pPr>
            <w:r>
              <w:rPr>
                <w:b w:val="false"/>
                <w:bCs w:val="false"/>
                <w:color w:val="000000"/>
                <w:sz w:val="20"/>
                <w:szCs w:val="20"/>
              </w:rPr>
              <w:t xml:space="preserve">137,705</w:t>
            </w:r>
          </w:p>
        </w:tc>
        <w:tc>
          <w:tcPr>
            <w:tcW w:type="dxa" w:w="4300"/>
            <w:shd w:fill="FFFFFF" w:val="clear"/>
          </w:tcPr>
          <w:p>
            <w:pPr>
              <w:spacing w:after="60" w:before="60"/>
              <w:ind w:left="80"/>
            </w:pPr>
            <w:r>
              <w:rPr>
                <w:b w:val="false"/>
                <w:bCs w:val="false"/>
                <w:color w:val="000000"/>
                <w:sz w:val="20"/>
                <w:szCs w:val="20"/>
              </w:rPr>
              <w:t xml:space="preserve">τ_d tightens; rotation more frequent</w:t>
            </w:r>
          </w:p>
        </w:tc>
      </w:tr>
      <w:tr>
        <w:trPr>
          <w:tblHeader w:val="false"/>
        </w:trPr>
        <w:tc>
          <w:tcPr>
            <w:tcW w:type="dxa" w:w="2200"/>
            <w:shd w:fill="F2F2F2" w:val="clear"/>
          </w:tcPr>
          <w:p>
            <w:pPr>
              <w:spacing w:after="60" w:before="60"/>
              <w:ind w:left="80"/>
            </w:pPr>
            <w:r>
              <w:rPr>
                <w:b w:val="false"/>
                <w:bCs w:val="false"/>
                <w:color w:val="000000"/>
                <w:sz w:val="20"/>
                <w:szCs w:val="20"/>
              </w:rPr>
              <w:t xml:space="preserve">θ_burst (nation-state)</w:t>
            </w:r>
          </w:p>
        </w:tc>
        <w:tc>
          <w:tcPr>
            <w:tcW w:type="dxa" w:w="700"/>
            <w:shd w:fill="F2F2F2" w:val="clear"/>
          </w:tcPr>
          <w:p>
            <w:pPr>
              <w:spacing w:after="60" w:before="60"/>
              <w:ind w:left="80"/>
            </w:pPr>
            <w:r>
              <w:rPr>
                <w:b w:val="false"/>
                <w:bCs w:val="false"/>
                <w:color w:val="000000"/>
                <w:sz w:val="20"/>
                <w:szCs w:val="20"/>
              </w:rPr>
              <w:t xml:space="preserve">0.85</w:t>
            </w:r>
          </w:p>
        </w:tc>
        <w:tc>
          <w:tcPr>
            <w:tcW w:type="dxa" w:w="2000"/>
            <w:shd w:fill="F2F2F2" w:val="clear"/>
          </w:tcPr>
          <w:p>
            <w:pPr>
              <w:spacing w:after="60" w:before="60"/>
              <w:ind w:left="80"/>
            </w:pPr>
            <w:r>
              <w:rPr>
                <w:b w:val="false"/>
                <w:bCs w:val="false"/>
                <w:color w:val="000000"/>
                <w:sz w:val="20"/>
                <w:szCs w:val="20"/>
              </w:rPr>
              <w:t xml:space="preserve">3,956</w:t>
            </w:r>
          </w:p>
        </w:tc>
        <w:tc>
          <w:tcPr>
            <w:tcW w:type="dxa" w:w="4300"/>
            <w:shd w:fill="F2F2F2" w:val="clear"/>
          </w:tcPr>
          <w:p>
            <w:pPr>
              <w:spacing w:after="60" w:before="60"/>
              <w:ind w:left="80"/>
            </w:pPr>
            <w:r>
              <w:rPr>
                <w:b w:val="false"/>
                <w:bCs w:val="false"/>
                <w:color w:val="000000"/>
                <w:sz w:val="20"/>
                <w:szCs w:val="20"/>
              </w:rPr>
              <w:t xml:space="preserve">τ_d=1; L4 and L3 zero. Only L2 survives. r*</w:t>
            </w:r>
          </w:p>
        </w:tc>
      </w:tr>
    </w:tbl>
    <w:p>
      <w:pPr>
        <w:spacing w:after="60" w:before="60"/>
      </w:pPr>
      <w:r>
        <w:rPr>
          <w:color w:val="000000"/>
          <w:sz w:val="22"/>
          <w:szCs w:val="22"/>
        </w:rPr>
        <w:t xml:space="preserve">r* = </w:t>
      </w:r>
      <w:r>
        <w:rPr>
          <w:b/>
          <w:bCs/>
          <w:color w:val="000000"/>
          <w:sz w:val="22"/>
          <w:szCs w:val="22"/>
        </w:rPr>
        <w:t xml:space="preserve">3,956</w:t>
      </w:r>
      <w:r>
        <w:rPr>
          <w:color w:val="000000"/>
          <w:sz w:val="22"/>
          <w:szCs w:val="22"/>
        </w:rPr>
        <w:t xml:space="preserve"> (minimum of the four). No feasible assignment within C1–C15 scores higher — proven by MaxSAT certificate.</w:t>
      </w:r>
    </w:p>
    <w:p>
      <w:r>
        <w:br w:type="page"/>
      </w:r>
    </w:p>
    <w:p>
      <w:pPr>
        <w:pStyle w:val="Heading1"/>
        <w:spacing w:after="120" w:before="240"/>
      </w:pPr>
      <w:r>
        <w:t xml:space="preserve">Hard Constraints — C1 through C15</w:t>
      </w:r>
    </w:p>
    <w:p>
      <w:pPr>
        <w:pBdr>
          <w:bottom w:val="single" w:color="2E74B5" w:sz="6"/>
        </w:pBdr>
        <w:spacing w:after="200" w:before="200"/>
      </w:pPr>
    </w:p>
    <w:p>
      <w:pPr>
        <w:spacing w:after="60" w:before="60"/>
      </w:pPr>
      <w:r>
        <w:rPr>
          <w:color w:val="000000"/>
          <w:sz w:val="22"/>
          <w:szCs w:val="22"/>
        </w:rPr>
        <w:t xml:space="preserve">All 15 hard constraints form a flat conjunction encoded as infinite-weight WCNF clauses. RC2 is physically unable to return a solution violating any of them.</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800"/>
      </w:tblGrid>
      <w:tr>
        <w:trPr>
          <w:tblHeader/>
        </w:trPr>
        <w:tc>
          <w:tcPr>
            <w:tcW w:type="dxa" w:w="400"/>
            <w:shd w:fill="1F3864" w:val="clear"/>
          </w:tcPr>
          <w:p>
            <w:pPr>
              <w:spacing w:after="60" w:before="60"/>
              <w:ind w:left="80"/>
            </w:pPr>
            <w:r>
              <w:rPr>
                <w:b/>
                <w:bCs/>
                <w:color w:val="FFFFFF"/>
                <w:sz w:val="20"/>
                <w:szCs w:val="20"/>
              </w:rPr>
              <w:t xml:space="preserve">#</w:t>
            </w:r>
          </w:p>
        </w:tc>
        <w:tc>
          <w:tcPr>
            <w:tcW w:type="dxa" w:w="2000"/>
            <w:shd w:fill="1F3864" w:val="clear"/>
          </w:tcPr>
          <w:p>
            <w:pPr>
              <w:spacing w:after="60" w:before="60"/>
              <w:ind w:left="80"/>
            </w:pPr>
            <w:r>
              <w:rPr>
                <w:b/>
                <w:bCs/>
                <w:color w:val="FFFFFF"/>
                <w:sz w:val="20"/>
                <w:szCs w:val="20"/>
              </w:rPr>
              <w:t xml:space="preserve">Constraint</w:t>
            </w:r>
          </w:p>
        </w:tc>
        <w:tc>
          <w:tcPr>
            <w:tcW w:type="dxa" w:w="6800"/>
            <w:shd w:fill="1F3864" w:val="clear"/>
          </w:tcPr>
          <w:p>
            <w:pPr>
              <w:spacing w:after="60" w:before="60"/>
              <w:ind w:left="80"/>
            </w:pPr>
            <w:r>
              <w:rPr>
                <w:b/>
                <w:bCs/>
                <w:color w:val="FFFFFF"/>
                <w:sz w:val="20"/>
                <w:szCs w:val="20"/>
              </w:rPr>
              <w:t xml:space="preserve">What It Enforces</w:t>
            </w:r>
          </w:p>
        </w:tc>
      </w:tr>
      <w:tr>
        <w:trPr>
          <w:tblHeader w:val="false"/>
        </w:trPr>
        <w:tc>
          <w:tcPr>
            <w:tcW w:type="dxa" w:w="400"/>
            <w:shd w:fill="FFFFFF" w:val="clear"/>
          </w:tcPr>
          <w:p>
            <w:pPr>
              <w:spacing w:after="60" w:before="60"/>
              <w:ind w:left="80"/>
            </w:pPr>
            <w:r>
              <w:rPr>
                <w:b w:val="false"/>
                <w:bCs w:val="false"/>
                <w:color w:val="000000"/>
                <w:sz w:val="20"/>
                <w:szCs w:val="20"/>
              </w:rPr>
              <w:t xml:space="preserve">C1</w:t>
            </w:r>
          </w:p>
        </w:tc>
        <w:tc>
          <w:tcPr>
            <w:tcW w:type="dxa" w:w="2000"/>
            <w:shd w:fill="FFFFFF" w:val="clear"/>
          </w:tcPr>
          <w:p>
            <w:pPr>
              <w:spacing w:after="60" w:before="60"/>
              <w:ind w:left="80"/>
            </w:pPr>
            <w:r>
              <w:rPr>
                <w:b w:val="false"/>
                <w:bCs w:val="false"/>
                <w:color w:val="000000"/>
                <w:sz w:val="20"/>
                <w:szCs w:val="20"/>
              </w:rPr>
              <w:t xml:space="preserve">Uniqueness per slot</w:t>
            </w:r>
          </w:p>
        </w:tc>
        <w:tc>
          <w:tcPr>
            <w:tcW w:type="dxa" w:w="6800"/>
            <w:shd w:fill="FFFFFF" w:val="clear"/>
          </w:tcPr>
          <w:p>
            <w:pPr>
              <w:spacing w:after="60" w:before="60"/>
              <w:ind w:left="80"/>
            </w:pPr>
            <w:r>
              <w:rPr>
                <w:b w:val="false"/>
                <w:bCs w:val="false"/>
                <w:color w:val="000000"/>
                <w:sz w:val="20"/>
                <w:szCs w:val="20"/>
              </w:rPr>
              <w:t xml:space="preserve">At most one trap type per (zone, slot, persona) combination</w:t>
            </w:r>
          </w:p>
        </w:tc>
      </w:tr>
      <w:tr>
        <w:trPr>
          <w:tblHeader w:val="false"/>
        </w:trPr>
        <w:tc>
          <w:tcPr>
            <w:tcW w:type="dxa" w:w="400"/>
            <w:shd w:fill="F2F2F2" w:val="clear"/>
          </w:tcPr>
          <w:p>
            <w:pPr>
              <w:spacing w:after="60" w:before="60"/>
              <w:ind w:left="80"/>
            </w:pPr>
            <w:r>
              <w:rPr>
                <w:b w:val="false"/>
                <w:bCs w:val="false"/>
                <w:color w:val="000000"/>
                <w:sz w:val="20"/>
                <w:szCs w:val="20"/>
              </w:rPr>
              <w:t xml:space="preserve">C2</w:t>
            </w:r>
          </w:p>
        </w:tc>
        <w:tc>
          <w:tcPr>
            <w:tcW w:type="dxa" w:w="2000"/>
            <w:shd w:fill="F2F2F2" w:val="clear"/>
          </w:tcPr>
          <w:p>
            <w:pPr>
              <w:spacing w:after="60" w:before="60"/>
              <w:ind w:left="80"/>
            </w:pPr>
            <w:r>
              <w:rPr>
                <w:b w:val="false"/>
                <w:bCs w:val="false"/>
                <w:color w:val="000000"/>
                <w:sz w:val="20"/>
                <w:szCs w:val="20"/>
              </w:rPr>
              <w:t xml:space="preserve">Global budget</w:t>
            </w:r>
          </w:p>
        </w:tc>
        <w:tc>
          <w:tcPr>
            <w:tcW w:type="dxa" w:w="6800"/>
            <w:shd w:fill="F2F2F2" w:val="clear"/>
          </w:tcPr>
          <w:p>
            <w:pPr>
              <w:spacing w:after="60" w:before="60"/>
              <w:ind w:left="80"/>
            </w:pPr>
            <w:r>
              <w:rPr>
                <w:b w:val="false"/>
                <w:bCs w:val="false"/>
                <w:color w:val="000000"/>
                <w:sz w:val="20"/>
                <w:szCs w:val="20"/>
              </w:rPr>
              <w:t xml:space="preserve">Σ_{i,z,p} x_{i,z,t,p}×cost(i,z) ≤ B for every slot t</w:t>
            </w:r>
          </w:p>
        </w:tc>
      </w:tr>
      <w:tr>
        <w:trPr>
          <w:tblHeader w:val="false"/>
        </w:trPr>
        <w:tc>
          <w:tcPr>
            <w:tcW w:type="dxa" w:w="400"/>
            <w:shd w:fill="FFFFFF" w:val="clear"/>
          </w:tcPr>
          <w:p>
            <w:pPr>
              <w:spacing w:after="60" w:before="60"/>
              <w:ind w:left="80"/>
            </w:pPr>
            <w:r>
              <w:rPr>
                <w:b w:val="false"/>
                <w:bCs w:val="false"/>
                <w:color w:val="000000"/>
                <w:sz w:val="20"/>
                <w:szCs w:val="20"/>
              </w:rPr>
              <w:t xml:space="preserve">C3</w:t>
            </w:r>
          </w:p>
        </w:tc>
        <w:tc>
          <w:tcPr>
            <w:tcW w:type="dxa" w:w="2000"/>
            <w:shd w:fill="FFFFFF" w:val="clear"/>
          </w:tcPr>
          <w:p>
            <w:pPr>
              <w:spacing w:after="60" w:before="60"/>
              <w:ind w:left="80"/>
            </w:pPr>
            <w:r>
              <w:rPr>
                <w:b w:val="false"/>
                <w:bCs w:val="false"/>
                <w:color w:val="000000"/>
                <w:sz w:val="20"/>
                <w:szCs w:val="20"/>
              </w:rPr>
              <w:t xml:space="preserve">Per-zone budget</w:t>
            </w:r>
          </w:p>
        </w:tc>
        <w:tc>
          <w:tcPr>
            <w:tcW w:type="dxa" w:w="6800"/>
            <w:shd w:fill="FFFFFF" w:val="clear"/>
          </w:tcPr>
          <w:p>
            <w:pPr>
              <w:spacing w:after="60" w:before="60"/>
              <w:ind w:left="80"/>
            </w:pPr>
            <w:r>
              <w:rPr>
                <w:b w:val="false"/>
                <w:bCs w:val="false"/>
                <w:color w:val="000000"/>
                <w:sz w:val="20"/>
                <w:szCs w:val="20"/>
              </w:rPr>
              <w:t xml:space="preserve">Zone-level capacity enforced independently of C2</w:t>
            </w:r>
          </w:p>
        </w:tc>
      </w:tr>
      <w:tr>
        <w:trPr>
          <w:tblHeader w:val="false"/>
        </w:trPr>
        <w:tc>
          <w:tcPr>
            <w:tcW w:type="dxa" w:w="400"/>
            <w:shd w:fill="F2F2F2" w:val="clear"/>
          </w:tcPr>
          <w:p>
            <w:pPr>
              <w:spacing w:after="60" w:before="60"/>
              <w:ind w:left="80"/>
            </w:pPr>
            <w:r>
              <w:rPr>
                <w:b w:val="false"/>
                <w:bCs w:val="false"/>
                <w:color w:val="000000"/>
                <w:sz w:val="20"/>
                <w:szCs w:val="20"/>
              </w:rPr>
              <w:t xml:space="preserve">C4</w:t>
            </w:r>
          </w:p>
        </w:tc>
        <w:tc>
          <w:tcPr>
            <w:tcW w:type="dxa" w:w="2000"/>
            <w:shd w:fill="F2F2F2" w:val="clear"/>
          </w:tcPr>
          <w:p>
            <w:pPr>
              <w:spacing w:after="60" w:before="60"/>
              <w:ind w:left="80"/>
            </w:pPr>
            <w:r>
              <w:rPr>
                <w:b w:val="false"/>
                <w:bCs w:val="false"/>
                <w:color w:val="000000"/>
                <w:sz w:val="20"/>
                <w:szCs w:val="20"/>
              </w:rPr>
              <w:t xml:space="preserve">Type-conflict exclusion</w:t>
            </w:r>
          </w:p>
        </w:tc>
        <w:tc>
          <w:tcPr>
            <w:tcW w:type="dxa" w:w="6800"/>
            <w:shd w:fill="F2F2F2" w:val="clear"/>
          </w:tcPr>
          <w:p>
            <w:pPr>
              <w:spacing w:after="60" w:before="60"/>
              <w:ind w:left="80"/>
            </w:pPr>
            <w:r>
              <w:rPr>
                <w:b w:val="false"/>
                <w:bCs w:val="false"/>
                <w:color w:val="000000"/>
                <w:sz w:val="20"/>
                <w:szCs w:val="20"/>
              </w:rPr>
              <w:t xml:space="preserve">Conflicting type pairs (i,j) ∈ C cannot coexist in same zone+slot</w:t>
            </w:r>
          </w:p>
        </w:tc>
      </w:tr>
      <w:tr>
        <w:trPr>
          <w:tblHeader w:val="false"/>
        </w:trPr>
        <w:tc>
          <w:tcPr>
            <w:tcW w:type="dxa" w:w="400"/>
            <w:shd w:fill="FFFFFF" w:val="clear"/>
          </w:tcPr>
          <w:p>
            <w:pPr>
              <w:spacing w:after="60" w:before="60"/>
              <w:ind w:left="80"/>
            </w:pPr>
            <w:r>
              <w:rPr>
                <w:b w:val="false"/>
                <w:bCs w:val="false"/>
                <w:color w:val="000000"/>
                <w:sz w:val="20"/>
                <w:szCs w:val="20"/>
              </w:rPr>
              <w:t xml:space="preserve">C5</w:t>
            </w:r>
          </w:p>
        </w:tc>
        <w:tc>
          <w:tcPr>
            <w:tcW w:type="dxa" w:w="2000"/>
            <w:shd w:fill="FFFFFF" w:val="clear"/>
          </w:tcPr>
          <w:p>
            <w:pPr>
              <w:spacing w:after="60" w:before="60"/>
              <w:ind w:left="80"/>
            </w:pPr>
            <w:r>
              <w:rPr>
                <w:b w:val="false"/>
                <w:bCs w:val="false"/>
                <w:color w:val="000000"/>
                <w:sz w:val="20"/>
                <w:szCs w:val="20"/>
              </w:rPr>
              <w:t xml:space="preserve">Air-gap enforcement</w:t>
            </w:r>
          </w:p>
        </w:tc>
        <w:tc>
          <w:tcPr>
            <w:tcW w:type="dxa" w:w="6800"/>
            <w:shd w:fill="FFFFFF" w:val="clear"/>
          </w:tcPr>
          <w:p>
            <w:pPr>
              <w:spacing w:after="60" w:before="60"/>
              <w:ind w:left="80"/>
            </w:pPr>
            <w:r>
              <w:rPr>
                <w:b w:val="false"/>
                <w:bCs w:val="false"/>
                <w:color w:val="000000"/>
                <w:sz w:val="20"/>
                <w:szCs w:val="20"/>
              </w:rPr>
              <w:t xml:space="preserve">I₂ pairs: certain trap types forbidden across air-gapped zone boundaries</w:t>
            </w:r>
          </w:p>
        </w:tc>
      </w:tr>
      <w:tr>
        <w:trPr>
          <w:tblHeader w:val="false"/>
        </w:trPr>
        <w:tc>
          <w:tcPr>
            <w:tcW w:type="dxa" w:w="400"/>
            <w:shd w:fill="F2F2F2" w:val="clear"/>
          </w:tcPr>
          <w:p>
            <w:pPr>
              <w:spacing w:after="60" w:before="60"/>
              <w:ind w:left="80"/>
            </w:pPr>
            <w:r>
              <w:rPr>
                <w:b w:val="false"/>
                <w:bCs w:val="false"/>
                <w:color w:val="000000"/>
                <w:sz w:val="20"/>
                <w:szCs w:val="20"/>
              </w:rPr>
              <w:t xml:space="preserve">C5b</w:t>
            </w:r>
          </w:p>
        </w:tc>
        <w:tc>
          <w:tcPr>
            <w:tcW w:type="dxa" w:w="2000"/>
            <w:shd w:fill="F2F2F2" w:val="clear"/>
          </w:tcPr>
          <w:p>
            <w:pPr>
              <w:spacing w:after="60" w:before="60"/>
              <w:ind w:left="80"/>
            </w:pPr>
            <w:r>
              <w:rPr>
                <w:b w:val="false"/>
                <w:bCs w:val="false"/>
                <w:color w:val="000000"/>
                <w:sz w:val="20"/>
                <w:szCs w:val="20"/>
              </w:rPr>
              <w:t xml:space="preserve">Mimicry plausibility</w:t>
            </w:r>
          </w:p>
        </w:tc>
        <w:tc>
          <w:tcPr>
            <w:tcW w:type="dxa" w:w="6800"/>
            <w:shd w:fill="F2F2F2" w:val="clear"/>
          </w:tcPr>
          <w:p>
            <w:pPr>
              <w:spacing w:after="60" w:before="60"/>
              <w:ind w:left="80"/>
            </w:pPr>
            <w:r>
              <w:rPr>
                <w:b w:val="false"/>
                <w:bCs w:val="false"/>
                <w:color w:val="000000"/>
                <w:sz w:val="20"/>
                <w:szCs w:val="20"/>
              </w:rPr>
              <w:t xml:space="preserve">(server type, zone, technique, persona) must be in GK_{i,p}. Prevents incoherent disguises.</w:t>
            </w:r>
          </w:p>
        </w:tc>
      </w:tr>
      <w:tr>
        <w:trPr>
          <w:tblHeader w:val="false"/>
        </w:trPr>
        <w:tc>
          <w:tcPr>
            <w:tcW w:type="dxa" w:w="400"/>
            <w:shd w:fill="FFFFFF" w:val="clear"/>
          </w:tcPr>
          <w:p>
            <w:pPr>
              <w:spacing w:after="60" w:before="60"/>
              <w:ind w:left="80"/>
            </w:pPr>
            <w:r>
              <w:rPr>
                <w:b w:val="false"/>
                <w:bCs w:val="false"/>
                <w:color w:val="000000"/>
                <w:sz w:val="20"/>
                <w:szCs w:val="20"/>
              </w:rPr>
              <w:t xml:space="preserve">C6</w:t>
            </w:r>
          </w:p>
        </w:tc>
        <w:tc>
          <w:tcPr>
            <w:tcW w:type="dxa" w:w="2000"/>
            <w:shd w:fill="FFFFFF" w:val="clear"/>
          </w:tcPr>
          <w:p>
            <w:pPr>
              <w:spacing w:after="60" w:before="60"/>
              <w:ind w:left="80"/>
            </w:pPr>
            <w:r>
              <w:rPr>
                <w:b w:val="false"/>
                <w:bCs w:val="false"/>
                <w:color w:val="000000"/>
                <w:sz w:val="20"/>
                <w:szCs w:val="20"/>
              </w:rPr>
              <w:t xml:space="preserve">Technique feasibility</w:t>
            </w:r>
          </w:p>
        </w:tc>
        <w:tc>
          <w:tcPr>
            <w:tcW w:type="dxa" w:w="6800"/>
            <w:shd w:fill="FFFFFF" w:val="clear"/>
          </w:tcPr>
          <w:p>
            <w:pPr>
              <w:spacing w:after="60" w:before="60"/>
              <w:ind w:left="80"/>
            </w:pPr>
            <w:r>
              <w:rPr>
                <w:b w:val="false"/>
                <w:bCs w:val="false"/>
                <w:color w:val="000000"/>
                <w:sz w:val="20"/>
                <w:szCs w:val="20"/>
              </w:rPr>
              <w:t xml:space="preserve">Only ⋄_{j,i}=1 deployments can earn credit for technique j</w:t>
            </w:r>
          </w:p>
        </w:tc>
      </w:tr>
      <w:tr>
        <w:trPr>
          <w:tblHeader w:val="false"/>
        </w:trPr>
        <w:tc>
          <w:tcPr>
            <w:tcW w:type="dxa" w:w="400"/>
            <w:shd w:fill="F2F2F2" w:val="clear"/>
          </w:tcPr>
          <w:p>
            <w:pPr>
              <w:spacing w:after="60" w:before="60"/>
              <w:ind w:left="80"/>
            </w:pPr>
            <w:r>
              <w:rPr>
                <w:b w:val="false"/>
                <w:bCs w:val="false"/>
                <w:color w:val="000000"/>
                <w:sz w:val="20"/>
                <w:szCs w:val="20"/>
              </w:rPr>
              <w:t xml:space="preserve">C7</w:t>
            </w:r>
          </w:p>
        </w:tc>
        <w:tc>
          <w:tcPr>
            <w:tcW w:type="dxa" w:w="2000"/>
            <w:shd w:fill="F2F2F2" w:val="clear"/>
          </w:tcPr>
          <w:p>
            <w:pPr>
              <w:spacing w:after="60" w:before="60"/>
              <w:ind w:left="80"/>
            </w:pPr>
            <w:r>
              <w:rPr>
                <w:b w:val="false"/>
                <w:bCs w:val="false"/>
                <w:color w:val="000000"/>
                <w:sz w:val="20"/>
                <w:szCs w:val="20"/>
              </w:rPr>
              <w:t xml:space="preserve">Persona plausibility</w:t>
            </w:r>
          </w:p>
        </w:tc>
        <w:tc>
          <w:tcPr>
            <w:tcW w:type="dxa" w:w="6800"/>
            <w:shd w:fill="F2F2F2" w:val="clear"/>
          </w:tcPr>
          <w:p>
            <w:pPr>
              <w:spacing w:after="60" w:before="60"/>
              <w:ind w:left="80"/>
            </w:pPr>
            <w:r>
              <w:rPr>
                <w:b w:val="false"/>
                <w:bCs w:val="false"/>
                <w:color w:val="000000"/>
                <w:sz w:val="20"/>
                <w:szCs w:val="20"/>
              </w:rPr>
              <w:t xml:space="preserve">q_p must exceed minimum plausibility threshold for deployment</w:t>
            </w:r>
          </w:p>
        </w:tc>
      </w:tr>
      <w:tr>
        <w:trPr>
          <w:tblHeader w:val="false"/>
        </w:trPr>
        <w:tc>
          <w:tcPr>
            <w:tcW w:type="dxa" w:w="400"/>
            <w:shd w:fill="FFFFFF" w:val="clear"/>
          </w:tcPr>
          <w:p>
            <w:pPr>
              <w:spacing w:after="60" w:before="60"/>
              <w:ind w:left="80"/>
            </w:pPr>
            <w:r>
              <w:rPr>
                <w:b w:val="false"/>
                <w:bCs w:val="false"/>
                <w:color w:val="000000"/>
                <w:sz w:val="20"/>
                <w:szCs w:val="20"/>
              </w:rPr>
              <w:t xml:space="preserve">C8</w:t>
            </w:r>
          </w:p>
        </w:tc>
        <w:tc>
          <w:tcPr>
            <w:tcW w:type="dxa" w:w="2000"/>
            <w:shd w:fill="FFFFFF" w:val="clear"/>
          </w:tcPr>
          <w:p>
            <w:pPr>
              <w:spacing w:after="60" w:before="60"/>
              <w:ind w:left="80"/>
            </w:pPr>
            <w:r>
              <w:rPr>
                <w:b w:val="false"/>
                <w:bCs w:val="false"/>
                <w:color w:val="000000"/>
                <w:sz w:val="20"/>
                <w:szCs w:val="20"/>
              </w:rPr>
              <w:t xml:space="preserve">Type-churn limit</w:t>
            </w:r>
          </w:p>
        </w:tc>
        <w:tc>
          <w:tcPr>
            <w:tcW w:type="dxa" w:w="6800"/>
            <w:shd w:fill="FFFFFF" w:val="clear"/>
          </w:tcPr>
          <w:p>
            <w:pPr>
              <w:spacing w:after="60" w:before="60"/>
              <w:ind w:left="80"/>
            </w:pPr>
            <w:r>
              <w:rPr>
                <w:b w:val="false"/>
                <w:bCs w:val="false"/>
                <w:color w:val="000000"/>
                <w:sz w:val="20"/>
                <w:szCs w:val="20"/>
              </w:rPr>
              <w:t xml:space="preserve">Σ_t |x_{i,z,t,p}−x_{i,z,t−1,p}| ≤ Δ per (type, zone, persona)</w:t>
            </w:r>
          </w:p>
        </w:tc>
      </w:tr>
      <w:tr>
        <w:trPr>
          <w:tblHeader w:val="false"/>
        </w:trPr>
        <w:tc>
          <w:tcPr>
            <w:tcW w:type="dxa" w:w="400"/>
            <w:shd w:fill="F2F2F2" w:val="clear"/>
          </w:tcPr>
          <w:p>
            <w:pPr>
              <w:spacing w:after="60" w:before="60"/>
              <w:ind w:left="80"/>
            </w:pPr>
            <w:r>
              <w:rPr>
                <w:b w:val="false"/>
                <w:bCs w:val="false"/>
                <w:color w:val="000000"/>
                <w:sz w:val="20"/>
                <w:szCs w:val="20"/>
              </w:rPr>
              <w:t xml:space="preserve">C9</w:t>
            </w:r>
          </w:p>
        </w:tc>
        <w:tc>
          <w:tcPr>
            <w:tcW w:type="dxa" w:w="2000"/>
            <w:shd w:fill="F2F2F2" w:val="clear"/>
          </w:tcPr>
          <w:p>
            <w:pPr>
              <w:spacing w:after="60" w:before="60"/>
              <w:ind w:left="80"/>
            </w:pPr>
            <w:r>
              <w:rPr>
                <w:b w:val="false"/>
                <w:bCs w:val="false"/>
                <w:color w:val="000000"/>
                <w:sz w:val="20"/>
                <w:szCs w:val="20"/>
              </w:rPr>
              <w:t xml:space="preserve">Type-burn expiry</w:t>
            </w:r>
          </w:p>
        </w:tc>
        <w:tc>
          <w:tcPr>
            <w:tcW w:type="dxa" w:w="6800"/>
            <w:shd w:fill="F2F2F2" w:val="clear"/>
          </w:tcPr>
          <w:p>
            <w:pPr>
              <w:spacing w:after="60" w:before="60"/>
              <w:ind w:left="80"/>
            </w:pPr>
            <w:r>
              <w:rPr>
                <w:b w:val="false"/>
                <w:bCs w:val="false"/>
                <w:color w:val="000000"/>
                <w:sz w:val="20"/>
                <w:szCs w:val="20"/>
              </w:rPr>
              <w:t xml:space="preserve">u_type=1 if same type deployed ≥ τ_d consecutive slots; forces rotation</w:t>
            </w:r>
          </w:p>
        </w:tc>
      </w:tr>
      <w:tr>
        <w:trPr>
          <w:tblHeader w:val="false"/>
        </w:trPr>
        <w:tc>
          <w:tcPr>
            <w:tcW w:type="dxa" w:w="400"/>
            <w:shd w:fill="FFFFFF" w:val="clear"/>
          </w:tcPr>
          <w:p>
            <w:pPr>
              <w:spacing w:after="60" w:before="60"/>
              <w:ind w:left="80"/>
            </w:pPr>
            <w:r>
              <w:rPr>
                <w:b w:val="false"/>
                <w:bCs w:val="false"/>
                <w:color w:val="000000"/>
                <w:sz w:val="20"/>
                <w:szCs w:val="20"/>
              </w:rPr>
              <w:t xml:space="preserve">C10</w:t>
            </w:r>
          </w:p>
        </w:tc>
        <w:tc>
          <w:tcPr>
            <w:tcW w:type="dxa" w:w="2000"/>
            <w:shd w:fill="FFFFFF" w:val="clear"/>
          </w:tcPr>
          <w:p>
            <w:pPr>
              <w:spacing w:after="60" w:before="60"/>
              <w:ind w:left="80"/>
            </w:pPr>
            <w:r>
              <w:rPr>
                <w:b w:val="false"/>
                <w:bCs w:val="false"/>
                <w:color w:val="000000"/>
                <w:sz w:val="20"/>
                <w:szCs w:val="20"/>
              </w:rPr>
              <w:t xml:space="preserve">Path persistence</w:t>
            </w:r>
          </w:p>
        </w:tc>
        <w:tc>
          <w:tcPr>
            <w:tcW w:type="dxa" w:w="6800"/>
            <w:shd w:fill="FFFFFF" w:val="clear"/>
          </w:tcPr>
          <w:p>
            <w:pPr>
              <w:spacing w:after="60" w:before="60"/>
              <w:ind w:left="80"/>
            </w:pPr>
            <w:r>
              <w:rPr>
                <w:b w:val="false"/>
                <w:bCs w:val="false"/>
                <w:color w:val="000000"/>
                <w:sz w:val="20"/>
                <w:szCs w:val="20"/>
              </w:rPr>
              <w:t xml:space="preserve">Each path π covered for ≥ ⌈ρ_π H⌉ slots over the horizon</w:t>
            </w:r>
          </w:p>
        </w:tc>
      </w:tr>
      <w:tr>
        <w:trPr>
          <w:tblHeader w:val="false"/>
        </w:trPr>
        <w:tc>
          <w:tcPr>
            <w:tcW w:type="dxa" w:w="400"/>
            <w:shd w:fill="F2F2F2" w:val="clear"/>
          </w:tcPr>
          <w:p>
            <w:pPr>
              <w:spacing w:after="60" w:before="60"/>
              <w:ind w:left="80"/>
            </w:pPr>
            <w:r>
              <w:rPr>
                <w:b w:val="false"/>
                <w:bCs w:val="false"/>
                <w:color w:val="000000"/>
                <w:sz w:val="20"/>
                <w:szCs w:val="20"/>
              </w:rPr>
              <w:t xml:space="preserve">C11</w:t>
            </w:r>
          </w:p>
        </w:tc>
        <w:tc>
          <w:tcPr>
            <w:tcW w:type="dxa" w:w="2000"/>
            <w:shd w:fill="F2F2F2" w:val="clear"/>
          </w:tcPr>
          <w:p>
            <w:pPr>
              <w:spacing w:after="60" w:before="60"/>
              <w:ind w:left="80"/>
            </w:pPr>
            <w:r>
              <w:rPr>
                <w:b w:val="false"/>
                <w:bCs w:val="false"/>
                <w:color w:val="000000"/>
                <w:sz w:val="20"/>
                <w:szCs w:val="20"/>
              </w:rPr>
              <w:t xml:space="preserve">Threat-adaptive rotation</w:t>
            </w:r>
          </w:p>
        </w:tc>
        <w:tc>
          <w:tcPr>
            <w:tcW w:type="dxa" w:w="6800"/>
            <w:shd w:fill="F2F2F2" w:val="clear"/>
          </w:tcPr>
          <w:p>
            <w:pPr>
              <w:spacing w:after="60" w:before="60"/>
              <w:ind w:left="80"/>
            </w:pPr>
            <w:r>
              <w:rPr>
                <w:b w:val="false"/>
                <w:bCs w:val="false"/>
                <w:color w:val="000000"/>
                <w:sz w:val="20"/>
                <w:szCs w:val="20"/>
              </w:rPr>
              <w:t xml:space="preserve">τ_d(i,z,t) = max{1, τ_d0×(1−ρ_π/ρ_max)×γⁿ}; tightens with live STIX data</w:t>
            </w:r>
          </w:p>
        </w:tc>
      </w:tr>
      <w:tr>
        <w:trPr>
          <w:tblHeader w:val="false"/>
        </w:trPr>
        <w:tc>
          <w:tcPr>
            <w:tcW w:type="dxa" w:w="400"/>
            <w:shd w:fill="FFFFFF" w:val="clear"/>
          </w:tcPr>
          <w:p>
            <w:pPr>
              <w:spacing w:after="60" w:before="60"/>
              <w:ind w:left="80"/>
            </w:pPr>
            <w:r>
              <w:rPr>
                <w:b w:val="false"/>
                <w:bCs w:val="false"/>
                <w:color w:val="000000"/>
                <w:sz w:val="20"/>
                <w:szCs w:val="20"/>
              </w:rPr>
              <w:t xml:space="preserve">C12</w:t>
            </w:r>
          </w:p>
        </w:tc>
        <w:tc>
          <w:tcPr>
            <w:tcW w:type="dxa" w:w="2000"/>
            <w:shd w:fill="FFFFFF" w:val="clear"/>
          </w:tcPr>
          <w:p>
            <w:pPr>
              <w:spacing w:after="60" w:before="60"/>
              <w:ind w:left="80"/>
            </w:pPr>
            <w:r>
              <w:rPr>
                <w:b w:val="false"/>
                <w:bCs w:val="false"/>
                <w:color w:val="000000"/>
                <w:sz w:val="20"/>
                <w:szCs w:val="20"/>
              </w:rPr>
              <w:t xml:space="preserve">Within-zone persona unique.</w:t>
            </w:r>
          </w:p>
        </w:tc>
        <w:tc>
          <w:tcPr>
            <w:tcW w:type="dxa" w:w="6800"/>
            <w:shd w:fill="FFFFFF" w:val="clear"/>
          </w:tcPr>
          <w:p>
            <w:pPr>
              <w:spacing w:after="60" w:before="60"/>
              <w:ind w:left="80"/>
            </w:pPr>
            <w:r>
              <w:rPr>
                <w:b w:val="false"/>
                <w:bCs w:val="false"/>
                <w:color w:val="000000"/>
                <w:sz w:val="20"/>
                <w:szCs w:val="20"/>
              </w:rPr>
              <w:t xml:space="preserve">Two traps in same zone cannot share a persona in same slot</w:t>
            </w:r>
          </w:p>
        </w:tc>
      </w:tr>
      <w:tr>
        <w:trPr>
          <w:tblHeader w:val="false"/>
        </w:trPr>
        <w:tc>
          <w:tcPr>
            <w:tcW w:type="dxa" w:w="400"/>
            <w:shd w:fill="F2F2F2" w:val="clear"/>
          </w:tcPr>
          <w:p>
            <w:pPr>
              <w:spacing w:after="60" w:before="60"/>
              <w:ind w:left="80"/>
            </w:pPr>
            <w:r>
              <w:rPr>
                <w:b w:val="false"/>
                <w:bCs w:val="false"/>
                <w:color w:val="000000"/>
                <w:sz w:val="20"/>
                <w:szCs w:val="20"/>
              </w:rPr>
              <w:t xml:space="preserve">C13</w:t>
            </w:r>
          </w:p>
        </w:tc>
        <w:tc>
          <w:tcPr>
            <w:tcW w:type="dxa" w:w="2000"/>
            <w:shd w:fill="F2F2F2" w:val="clear"/>
          </w:tcPr>
          <w:p>
            <w:pPr>
              <w:spacing w:after="60" w:before="60"/>
              <w:ind w:left="80"/>
            </w:pPr>
            <w:r>
              <w:rPr>
                <w:b w:val="false"/>
                <w:bCs w:val="false"/>
                <w:color w:val="000000"/>
                <w:sz w:val="20"/>
                <w:szCs w:val="20"/>
              </w:rPr>
              <w:t xml:space="preserve">Persona-burn expiry</w:t>
            </w:r>
          </w:p>
        </w:tc>
        <w:tc>
          <w:tcPr>
            <w:tcW w:type="dxa" w:w="6800"/>
            <w:shd w:fill="F2F2F2" w:val="clear"/>
          </w:tcPr>
          <w:p>
            <w:pPr>
              <w:spacing w:after="60" w:before="60"/>
              <w:ind w:left="80"/>
            </w:pPr>
            <w:r>
              <w:rPr>
                <w:b w:val="false"/>
                <w:bCs w:val="false"/>
                <w:color w:val="000000"/>
                <w:sz w:val="20"/>
                <w:szCs w:val="20"/>
              </w:rPr>
              <w:t xml:space="preserve">u_persona=1 after τ_dp consecutive slots; persona clock independent of type clock</w:t>
            </w:r>
          </w:p>
        </w:tc>
      </w:tr>
      <w:tr>
        <w:trPr>
          <w:tblHeader w:val="false"/>
        </w:trPr>
        <w:tc>
          <w:tcPr>
            <w:tcW w:type="dxa" w:w="400"/>
            <w:shd w:fill="FFFFFF" w:val="clear"/>
          </w:tcPr>
          <w:p>
            <w:pPr>
              <w:spacing w:after="60" w:before="60"/>
              <w:ind w:left="80"/>
            </w:pPr>
            <w:r>
              <w:rPr>
                <w:b w:val="false"/>
                <w:bCs w:val="false"/>
                <w:color w:val="000000"/>
                <w:sz w:val="20"/>
                <w:szCs w:val="20"/>
              </w:rPr>
              <w:t xml:space="preserve">C14</w:t>
            </w:r>
          </w:p>
        </w:tc>
        <w:tc>
          <w:tcPr>
            <w:tcW w:type="dxa" w:w="2000"/>
            <w:shd w:fill="FFFFFF" w:val="clear"/>
          </w:tcPr>
          <w:p>
            <w:pPr>
              <w:spacing w:after="60" w:before="60"/>
              <w:ind w:left="80"/>
            </w:pPr>
            <w:r>
              <w:rPr>
                <w:b w:val="false"/>
                <w:bCs w:val="false"/>
                <w:color w:val="000000"/>
                <w:sz w:val="20"/>
                <w:szCs w:val="20"/>
              </w:rPr>
              <w:t xml:space="preserve">Cross-zone persona unique.</w:t>
            </w:r>
          </w:p>
        </w:tc>
        <w:tc>
          <w:tcPr>
            <w:tcW w:type="dxa" w:w="6800"/>
            <w:shd w:fill="FFFFFF" w:val="clear"/>
          </w:tcPr>
          <w:p>
            <w:pPr>
              <w:spacing w:after="60" w:before="60"/>
              <w:ind w:left="80"/>
            </w:pPr>
            <w:r>
              <w:rPr>
                <w:b w:val="false"/>
                <w:bCs w:val="false"/>
                <w:color w:val="000000"/>
                <w:sz w:val="20"/>
                <w:szCs w:val="20"/>
              </w:rPr>
              <w:t xml:space="preserve">Same persona cannot appear in two different zones simultaneously</w:t>
            </w:r>
          </w:p>
        </w:tc>
      </w:tr>
      <w:tr>
        <w:trPr>
          <w:tblHeader w:val="false"/>
        </w:trPr>
        <w:tc>
          <w:tcPr>
            <w:tcW w:type="dxa" w:w="400"/>
            <w:shd w:fill="F2F2F2" w:val="clear"/>
          </w:tcPr>
          <w:p>
            <w:pPr>
              <w:spacing w:after="60" w:before="60"/>
              <w:ind w:left="80"/>
            </w:pPr>
            <w:r>
              <w:rPr>
                <w:b w:val="false"/>
                <w:bCs w:val="false"/>
                <w:color w:val="000000"/>
                <w:sz w:val="20"/>
                <w:szCs w:val="20"/>
              </w:rPr>
              <w:t xml:space="preserve">C15</w:t>
            </w:r>
          </w:p>
        </w:tc>
        <w:tc>
          <w:tcPr>
            <w:tcW w:type="dxa" w:w="2000"/>
            <w:shd w:fill="F2F2F2" w:val="clear"/>
          </w:tcPr>
          <w:p>
            <w:pPr>
              <w:spacing w:after="60" w:before="60"/>
              <w:ind w:left="80"/>
            </w:pPr>
            <w:r>
              <w:rPr>
                <w:b w:val="false"/>
                <w:bCs w:val="false"/>
                <w:color w:val="000000"/>
                <w:sz w:val="20"/>
                <w:szCs w:val="20"/>
              </w:rPr>
              <w:t xml:space="preserve">Duration feasibility</w:t>
            </w:r>
          </w:p>
        </w:tc>
        <w:tc>
          <w:tcPr>
            <w:tcW w:type="dxa" w:w="6800"/>
            <w:shd w:fill="F2F2F2" w:val="clear"/>
          </w:tcPr>
          <w:p>
            <w:pPr>
              <w:spacing w:after="60" w:before="60"/>
              <w:ind w:left="80"/>
            </w:pPr>
            <w:r>
              <w:rPr>
                <w:b w:val="false"/>
                <w:bCs w:val="false"/>
                <w:color w:val="000000"/>
                <w:sz w:val="20"/>
                <w:szCs w:val="20"/>
              </w:rPr>
              <w:t xml:space="preserve">h_min ≤ κ_min — verifiable precondition; infeasible if violated</w:t>
            </w:r>
          </w:p>
        </w:tc>
      </w:tr>
    </w:tbl>
    <w:p>
      <w:pPr>
        <w:spacing w:before="200"/>
      </w:pPr>
    </w:p>
    <w:p>
      <w:pPr>
        <w:spacing w:after="60" w:before="60"/>
      </w:pPr>
      <w:r>
        <w:rPr>
          <w:b/>
          <w:bCs/>
          <w:color w:val="000000"/>
          <w:sz w:val="22"/>
          <w:szCs w:val="22"/>
        </w:rPr>
        <w:t xml:space="preserve">Key novel constraints: </w:t>
      </w:r>
      <w:r>
        <w:rPr>
          <w:color w:val="000000"/>
          <w:sz w:val="22"/>
          <w:szCs w:val="22"/>
        </w:rPr>
        <w:t xml:space="preserve">C5b (mimicry plausibility), C9/C13 independence (dual-clock guarantee), and C14 (cross-zone persona uniqueness) are not found in prior honeypot placement literature. Ablation shows removing C14 causes path persistence to drop to 0%.</w:t>
      </w:r>
    </w:p>
    <w:p>
      <w:r>
        <w:br w:type="page"/>
      </w:r>
    </w:p>
    <w:p>
      <w:pPr>
        <w:pStyle w:val="Heading1"/>
        <w:spacing w:after="120" w:before="240"/>
      </w:pPr>
      <w:r>
        <w:t xml:space="preserve">Why RC2 Wins — Six Reasons</w:t>
      </w:r>
    </w:p>
    <w:p>
      <w:pPr>
        <w:pBdr>
          <w:bottom w:val="single" w:color="2E74B5" w:sz="6"/>
        </w:pBdr>
        <w:spacing w:after="200" w:before="200"/>
      </w:pPr>
    </w:p>
    <w:p>
      <w:pPr>
        <w:pStyle w:val="Heading2"/>
        <w:spacing w:after="120" w:before="240"/>
      </w:pPr>
      <w:r>
        <w:t xml:space="preserve">Reason 1 — RC2 sees all attack paths simultaneously</w:t>
      </w:r>
    </w:p>
    <w:p>
      <w:pPr>
        <w:spacing w:after="60" w:before="60"/>
      </w:pPr>
      <w:r>
        <w:rPr>
          <w:color w:val="000000"/>
          <w:sz w:val="22"/>
          <w:szCs w:val="22"/>
        </w:rPr>
        <w:t xml:space="preserve">A greedy solver asks: which path is most likely? It places a trap for path π₁ (ρ=0.35) and moves on. RC2 asks: which placement earns the most credit across ALL paths? It finds that the Internal zone is crossed by π₁, π₂, AND π₄ — one deployment earns 1.445 credit vs. 0.700 for greedy (2.06× force multiplier). This ratio is a structural property of the WCNF soft clauses, not a tuning parameter.</w:t>
      </w:r>
    </w:p>
    <w:p>
      <w:pPr>
        <w:pStyle w:val="Heading2"/>
        <w:spacing w:after="120" w:before="240"/>
      </w:pPr>
      <w:r>
        <w:t xml:space="preserve">Reason 2 — RC2 guarantees worst-case performance</w:t>
      </w:r>
    </w:p>
    <w:p>
      <w:pPr>
        <w:spacing w:after="60" w:before="60"/>
      </w:pPr>
      <w:r>
        <w:rPr>
          <w:color w:val="000000"/>
          <w:sz w:val="22"/>
          <w:szCs w:val="22"/>
        </w:rPr>
        <w:t xml:space="preserve">At θ_burst (ρ=0.85), τ_d=1 — every trap burns after one slot, zeroing L4 and L3. Only L2_tech and L2_fam survive. RC2 covers 18/18 techniques; Greedy-BiDir covers 14/18. Those 4 missing techniques are exactly what the burst adversary exploits. Result: Greedy-BiDir r*=3,135 vs. RC2 r*=3,956.</w:t>
      </w:r>
    </w:p>
    <w:p>
      <w:pPr>
        <w:pStyle w:val="Heading2"/>
        <w:spacing w:after="120" w:before="240"/>
      </w:pPr>
      <w:r>
        <w:t xml:space="preserve">Reason 3 — RC2 never lets a trap get discovered</w:t>
      </w:r>
    </w:p>
    <w:p>
      <w:pPr>
        <w:spacing w:after="60" w:before="60"/>
      </w:pPr>
      <w:r>
        <w:rPr>
          <w:color w:val="000000"/>
          <w:sz w:val="22"/>
          <w:szCs w:val="22"/>
        </w:rPr>
        <w:t xml:space="preserve">Static-Best ignores burn equations entirely — by slot 3, 75% of its deployments are recognized, and r* drops to 1,918. Round-Robin accumulates 7.1% persona burn despite rotating. RC2's v7f schedule is explicitly constructed so no (trap, zone) combination runs ≥ τ_d consecutive slots. </w:t>
      </w:r>
      <w:r>
        <w:rPr>
          <w:b/>
          <w:bCs/>
          <w:color w:val="000000"/>
          <w:sz w:val="22"/>
          <w:szCs w:val="22"/>
        </w:rPr>
        <w:t xml:space="preserve">Dual_guard = 1 on all 16 deployments across all 4 slots.</w:t>
      </w:r>
    </w:p>
    <w:p>
      <w:pPr>
        <w:pStyle w:val="Heading2"/>
        <w:spacing w:after="120" w:before="240"/>
      </w:pPr>
      <w:r>
        <w:t xml:space="preserve">Reason 4 — RC2 enforces all 15 security constraints</w:t>
      </w:r>
    </w:p>
    <w:p>
      <w:pPr>
        <w:spacing w:after="60" w:before="60"/>
      </w:pPr>
      <w:r>
        <w:rPr>
          <w:color w:val="000000"/>
          <w:sz w:val="22"/>
          <w:szCs w:val="22"/>
        </w:rPr>
        <w:t xml:space="preserve">LP-Relaxation treats C4 (type conflicts) as optional. It deploys dns_trap and generic_trap in the same slot — both reveal each other to a probing attacker. This causes PBurn=75%, TBurn=50%, and r*=2,402 despite appearing mathematically sophisticated.</w:t>
      </w:r>
    </w:p>
    <w:p>
      <w:pPr>
        <w:pStyle w:val="Heading2"/>
        <w:spacing w:after="120" w:before="240"/>
      </w:pPr>
      <w:r>
        <w:t xml:space="preserve">Reason 5 — RC2 covers all 18 ATT&amp;CK techniques</w:t>
      </w:r>
    </w:p>
    <w:p>
      <w:pPr>
        <w:spacing w:after="60" w:before="60"/>
      </w:pPr>
      <w:r>
        <w:rPr>
          <w:color w:val="000000"/>
          <w:sz w:val="22"/>
          <w:szCs w:val="22"/>
        </w:rPr>
        <w:t xml:space="preserve">At θ_burst, only L2_tech and L2_fam contribute to Q. Single-Zone puts everything in Internal, covering ~10 techniques and missing scada_trap (T1053, T1203), smb_trap (T1055), and generic_trap (T1068). With 55% of L2 credit, its r*=1,837 vs. 3,956. RC2's v7f schedule is engineered to cover all 18 techniques across all zones.</w:t>
      </w:r>
    </w:p>
    <w:p>
      <w:pPr>
        <w:pStyle w:val="Heading2"/>
        <w:spacing w:after="120" w:before="240"/>
      </w:pPr>
      <w:r>
        <w:t xml:space="preserve">Reason 6 — RC2 produces a mathematical proof</w:t>
      </w:r>
    </w:p>
    <w:p>
      <w:pPr>
        <w:spacing w:after="60" w:before="60"/>
      </w:pPr>
      <w:r>
        <w:rPr>
          <w:color w:val="000000"/>
          <w:sz w:val="22"/>
          <w:szCs w:val="22"/>
        </w:rPr>
        <w:t xml:space="preserve">When RC2 finishes, it returns r*=3,956 with a </w:t>
      </w:r>
      <w:r>
        <w:rPr>
          <w:b/>
          <w:bCs/>
          <w:color w:val="000000"/>
          <w:sz w:val="22"/>
          <w:szCs w:val="22"/>
        </w:rPr>
        <w:t xml:space="preserve">pysat optimality certificate</w:t>
      </w:r>
      <w:r>
        <w:rPr>
          <w:color w:val="000000"/>
          <w:sz w:val="22"/>
          <w:szCs w:val="22"/>
        </w:rPr>
        <w:t xml:space="preserve"> proving no assignment of all 640 binary variables scores higher. Greedy-BiDir gets r*=3,135 but cannot determine whether 3,135 is near-optimal or whether a schedule scoring 10,000 exists. The gap between RC2's result and the true optimum is </w:t>
      </w:r>
      <w:r>
        <w:rPr>
          <w:b/>
          <w:bCs/>
          <w:color w:val="000000"/>
          <w:sz w:val="22"/>
          <w:szCs w:val="22"/>
        </w:rPr>
        <w:t xml:space="preserve">zero. Proven.</w:t>
      </w:r>
    </w:p>
    <w:p>
      <w:r>
        <w:br w:type="page"/>
      </w:r>
    </w:p>
    <w:p>
      <w:pPr>
        <w:pStyle w:val="Heading1"/>
        <w:spacing w:after="120" w:before="240"/>
      </w:pPr>
      <w:r>
        <w:t xml:space="preserve">Baseline Comparison</w:t>
      </w:r>
    </w:p>
    <w:p>
      <w:pPr>
        <w:pBdr>
          <w:bottom w:val="single" w:color="2E74B5" w:sz="6"/>
        </w:pBdr>
        <w:spacing w:after="20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800"/>
        <w:gridCol w:w="900"/>
        <w:gridCol w:w="3900"/>
      </w:tblGrid>
      <w:tr>
        <w:trPr>
          <w:tblHeader/>
        </w:trPr>
        <w:tc>
          <w:tcPr>
            <w:tcW w:type="dxa" w:w="1500"/>
            <w:shd w:fill="1F3864" w:val="clear"/>
          </w:tcPr>
          <w:p>
            <w:pPr>
              <w:spacing w:after="60" w:before="60"/>
              <w:ind w:left="80"/>
            </w:pPr>
            <w:r>
              <w:rPr>
                <w:b/>
                <w:bCs/>
                <w:color w:val="FFFFFF"/>
                <w:sz w:val="20"/>
                <w:szCs w:val="20"/>
              </w:rPr>
              <w:t xml:space="preserve">Solver</w:t>
            </w:r>
          </w:p>
        </w:tc>
        <w:tc>
          <w:tcPr>
            <w:tcW w:type="dxa" w:w="700"/>
            <w:shd w:fill="1F3864" w:val="clear"/>
          </w:tcPr>
          <w:p>
            <w:pPr>
              <w:spacing w:after="60" w:before="60"/>
              <w:ind w:left="80"/>
            </w:pPr>
            <w:r>
              <w:rPr>
                <w:b/>
                <w:bCs/>
                <w:color w:val="FFFFFF"/>
                <w:sz w:val="20"/>
                <w:szCs w:val="20"/>
              </w:rPr>
              <w:t xml:space="preserve">r*</w:t>
            </w:r>
          </w:p>
        </w:tc>
        <w:tc>
          <w:tcPr>
            <w:tcW w:type="dxa" w:w="700"/>
            <w:shd w:fill="1F3864" w:val="clear"/>
          </w:tcPr>
          <w:p>
            <w:pPr>
              <w:spacing w:after="60" w:before="60"/>
              <w:ind w:left="80"/>
            </w:pPr>
            <w:r>
              <w:rPr>
                <w:b/>
                <w:bCs/>
                <w:color w:val="FFFFFF"/>
                <w:sz w:val="20"/>
                <w:szCs w:val="20"/>
              </w:rPr>
              <w:t xml:space="preserve">PBurn</w:t>
            </w:r>
          </w:p>
        </w:tc>
        <w:tc>
          <w:tcPr>
            <w:tcW w:type="dxa" w:w="700"/>
            <w:shd w:fill="1F3864" w:val="clear"/>
          </w:tcPr>
          <w:p>
            <w:pPr>
              <w:spacing w:after="60" w:before="60"/>
              <w:ind w:left="80"/>
            </w:pPr>
            <w:r>
              <w:rPr>
                <w:b/>
                <w:bCs/>
                <w:color w:val="FFFFFF"/>
                <w:sz w:val="20"/>
                <w:szCs w:val="20"/>
              </w:rPr>
              <w:t xml:space="preserve">TBurn</w:t>
            </w:r>
          </w:p>
        </w:tc>
        <w:tc>
          <w:tcPr>
            <w:tcW w:type="dxa" w:w="800"/>
            <w:shd w:fill="1F3864" w:val="clear"/>
          </w:tcPr>
          <w:p>
            <w:pPr>
              <w:spacing w:after="60" w:before="60"/>
              <w:ind w:left="80"/>
            </w:pPr>
            <w:r>
              <w:rPr>
                <w:b/>
                <w:bCs/>
                <w:color w:val="FFFFFF"/>
                <w:sz w:val="20"/>
                <w:szCs w:val="20"/>
              </w:rPr>
              <w:t xml:space="preserve">ATT&amp;CK</w:t>
            </w:r>
          </w:p>
        </w:tc>
        <w:tc>
          <w:tcPr>
            <w:tcW w:type="dxa" w:w="900"/>
            <w:shd w:fill="1F3864" w:val="clear"/>
          </w:tcPr>
          <w:p>
            <w:pPr>
              <w:spacing w:after="60" w:before="60"/>
              <w:ind w:left="80"/>
            </w:pPr>
            <w:r>
              <w:rPr>
                <w:b/>
                <w:bCs/>
                <w:color w:val="FFFFFF"/>
                <w:sz w:val="20"/>
                <w:szCs w:val="20"/>
              </w:rPr>
              <w:t xml:space="preserve">Certificate</w:t>
            </w:r>
          </w:p>
        </w:tc>
        <w:tc>
          <w:tcPr>
            <w:tcW w:type="dxa" w:w="3900"/>
            <w:shd w:fill="1F3864" w:val="clear"/>
          </w:tcPr>
          <w:p>
            <w:pPr>
              <w:spacing w:after="60" w:before="60"/>
              <w:ind w:left="80"/>
            </w:pPr>
            <w:r>
              <w:rPr>
                <w:b/>
                <w:bCs/>
                <w:color w:val="FFFFFF"/>
                <w:sz w:val="20"/>
                <w:szCs w:val="20"/>
              </w:rPr>
              <w:t xml:space="preserve">Key Failure Mode</w:t>
            </w:r>
          </w:p>
        </w:tc>
      </w:tr>
      <w:tr>
        <w:trPr>
          <w:tblHeader w:val="false"/>
        </w:trPr>
        <w:tc>
          <w:tcPr>
            <w:tcW w:type="dxa" w:w="1500"/>
            <w:shd w:fill="FFFFFF" w:val="clear"/>
          </w:tcPr>
          <w:p>
            <w:pPr>
              <w:spacing w:after="60" w:before="60"/>
              <w:ind w:left="80"/>
            </w:pPr>
            <w:r>
              <w:rPr>
                <w:b w:val="false"/>
                <w:bCs w:val="false"/>
                <w:color w:val="000000"/>
                <w:sz w:val="20"/>
                <w:szCs w:val="20"/>
              </w:rPr>
              <w:t xml:space="preserve">RC2 (v7f)</w:t>
            </w:r>
          </w:p>
        </w:tc>
        <w:tc>
          <w:tcPr>
            <w:tcW w:type="dxa" w:w="700"/>
            <w:shd w:fill="FFFFFF" w:val="clear"/>
          </w:tcPr>
          <w:p>
            <w:pPr>
              <w:spacing w:after="60" w:before="60"/>
              <w:ind w:left="80"/>
            </w:pPr>
            <w:r>
              <w:rPr>
                <w:b w:val="false"/>
                <w:bCs w:val="false"/>
                <w:color w:val="000000"/>
                <w:sz w:val="20"/>
                <w:szCs w:val="20"/>
              </w:rPr>
              <w:t xml:space="preserve">3,956</w:t>
            </w:r>
          </w:p>
        </w:tc>
        <w:tc>
          <w:tcPr>
            <w:tcW w:type="dxa" w:w="700"/>
            <w:shd w:fill="FFFFFF" w:val="clear"/>
          </w:tcPr>
          <w:p>
            <w:pPr>
              <w:spacing w:after="60" w:before="60"/>
              <w:ind w:left="80"/>
            </w:pPr>
            <w:r>
              <w:rPr>
                <w:b w:val="false"/>
                <w:bCs w:val="false"/>
                <w:color w:val="000000"/>
                <w:sz w:val="20"/>
                <w:szCs w:val="20"/>
              </w:rPr>
              <w:t xml:space="preserve">0%</w:t>
            </w:r>
          </w:p>
        </w:tc>
        <w:tc>
          <w:tcPr>
            <w:tcW w:type="dxa" w:w="700"/>
            <w:shd w:fill="FFFFFF" w:val="clear"/>
          </w:tcPr>
          <w:p>
            <w:pPr>
              <w:spacing w:after="60" w:before="60"/>
              <w:ind w:left="80"/>
            </w:pPr>
            <w:r>
              <w:rPr>
                <w:b w:val="false"/>
                <w:bCs w:val="false"/>
                <w:color w:val="000000"/>
                <w:sz w:val="20"/>
                <w:szCs w:val="20"/>
              </w:rPr>
              <w:t xml:space="preserve">0%</w:t>
            </w:r>
          </w:p>
        </w:tc>
        <w:tc>
          <w:tcPr>
            <w:tcW w:type="dxa" w:w="800"/>
            <w:shd w:fill="FFFFFF" w:val="clear"/>
          </w:tcPr>
          <w:p>
            <w:pPr>
              <w:spacing w:after="60" w:before="60"/>
              <w:ind w:left="80"/>
            </w:pPr>
            <w:r>
              <w:rPr>
                <w:b w:val="false"/>
                <w:bCs w:val="false"/>
                <w:color w:val="000000"/>
                <w:sz w:val="20"/>
                <w:szCs w:val="20"/>
              </w:rPr>
              <w:t xml:space="preserve">18/18</w:t>
            </w:r>
          </w:p>
        </w:tc>
        <w:tc>
          <w:tcPr>
            <w:tcW w:type="dxa" w:w="900"/>
            <w:shd w:fill="FFFFFF" w:val="clear"/>
          </w:tcPr>
          <w:p>
            <w:pPr>
              <w:spacing w:after="60" w:before="60"/>
              <w:ind w:left="80"/>
            </w:pPr>
            <w:r>
              <w:rPr>
                <w:b w:val="false"/>
                <w:bCs w:val="false"/>
                <w:color w:val="000000"/>
                <w:sz w:val="20"/>
                <w:szCs w:val="20"/>
              </w:rPr>
              <w:t xml:space="preserve">Yes</w:t>
            </w:r>
          </w:p>
        </w:tc>
        <w:tc>
          <w:tcPr>
            <w:tcW w:type="dxa" w:w="3900"/>
            <w:shd w:fill="FFFFFF" w:val="clear"/>
          </w:tcPr>
          <w:p>
            <w:pPr>
              <w:spacing w:after="60" w:before="60"/>
              <w:ind w:left="80"/>
            </w:pPr>
            <w:r>
              <w:rPr>
                <w:b w:val="false"/>
                <w:bCs w:val="false"/>
                <w:color w:val="000000"/>
                <w:sz w:val="20"/>
                <w:szCs w:val="20"/>
              </w:rPr>
              <w:t xml:space="preserve">—</w:t>
            </w:r>
          </w:p>
        </w:tc>
      </w:tr>
      <w:tr>
        <w:trPr>
          <w:tblHeader w:val="false"/>
        </w:trPr>
        <w:tc>
          <w:tcPr>
            <w:tcW w:type="dxa" w:w="1500"/>
            <w:shd w:fill="F2F2F2" w:val="clear"/>
          </w:tcPr>
          <w:p>
            <w:pPr>
              <w:spacing w:after="60" w:before="60"/>
              <w:ind w:left="80"/>
            </w:pPr>
            <w:r>
              <w:rPr>
                <w:b w:val="false"/>
                <w:bCs w:val="false"/>
                <w:color w:val="000000"/>
                <w:sz w:val="20"/>
                <w:szCs w:val="20"/>
              </w:rPr>
              <w:t xml:space="preserve">Greedy-BiDir</w:t>
            </w:r>
          </w:p>
        </w:tc>
        <w:tc>
          <w:tcPr>
            <w:tcW w:type="dxa" w:w="700"/>
            <w:shd w:fill="F2F2F2" w:val="clear"/>
          </w:tcPr>
          <w:p>
            <w:pPr>
              <w:spacing w:after="60" w:before="60"/>
              <w:ind w:left="80"/>
            </w:pPr>
            <w:r>
              <w:rPr>
                <w:b w:val="false"/>
                <w:bCs w:val="false"/>
                <w:color w:val="000000"/>
                <w:sz w:val="20"/>
                <w:szCs w:val="20"/>
              </w:rPr>
              <w:t xml:space="preserve">3,135</w:t>
            </w:r>
          </w:p>
        </w:tc>
        <w:tc>
          <w:tcPr>
            <w:tcW w:type="dxa" w:w="700"/>
            <w:shd w:fill="F2F2F2" w:val="clear"/>
          </w:tcPr>
          <w:p>
            <w:pPr>
              <w:spacing w:after="60" w:before="60"/>
              <w:ind w:left="80"/>
            </w:pPr>
            <w:r>
              <w:rPr>
                <w:b w:val="false"/>
                <w:bCs w:val="false"/>
                <w:color w:val="000000"/>
                <w:sz w:val="20"/>
                <w:szCs w:val="20"/>
              </w:rPr>
              <w:t xml:space="preserve">0%</w:t>
            </w:r>
          </w:p>
        </w:tc>
        <w:tc>
          <w:tcPr>
            <w:tcW w:type="dxa" w:w="700"/>
            <w:shd w:fill="F2F2F2" w:val="clear"/>
          </w:tcPr>
          <w:p>
            <w:pPr>
              <w:spacing w:after="60" w:before="60"/>
              <w:ind w:left="80"/>
            </w:pPr>
            <w:r>
              <w:rPr>
                <w:b w:val="false"/>
                <w:bCs w:val="false"/>
                <w:color w:val="000000"/>
                <w:sz w:val="20"/>
                <w:szCs w:val="20"/>
              </w:rPr>
              <w:t xml:space="preserve">0%</w:t>
            </w:r>
          </w:p>
        </w:tc>
        <w:tc>
          <w:tcPr>
            <w:tcW w:type="dxa" w:w="800"/>
            <w:shd w:fill="F2F2F2" w:val="clear"/>
          </w:tcPr>
          <w:p>
            <w:pPr>
              <w:spacing w:after="60" w:before="60"/>
              <w:ind w:left="80"/>
            </w:pPr>
            <w:r>
              <w:rPr>
                <w:b w:val="false"/>
                <w:bCs w:val="false"/>
                <w:color w:val="000000"/>
                <w:sz w:val="20"/>
                <w:szCs w:val="20"/>
              </w:rPr>
              <w:t xml:space="preserve">14/18</w:t>
            </w:r>
          </w:p>
        </w:tc>
        <w:tc>
          <w:tcPr>
            <w:tcW w:type="dxa" w:w="900"/>
            <w:shd w:fill="F2F2F2" w:val="clear"/>
          </w:tcPr>
          <w:p>
            <w:pPr>
              <w:spacing w:after="60" w:before="60"/>
              <w:ind w:left="80"/>
            </w:pPr>
            <w:r>
              <w:rPr>
                <w:b w:val="false"/>
                <w:bCs w:val="false"/>
                <w:color w:val="000000"/>
                <w:sz w:val="20"/>
                <w:szCs w:val="20"/>
              </w:rPr>
              <w:t xml:space="preserve">No</w:t>
            </w:r>
          </w:p>
        </w:tc>
        <w:tc>
          <w:tcPr>
            <w:tcW w:type="dxa" w:w="3900"/>
            <w:shd w:fill="F2F2F2" w:val="clear"/>
          </w:tcPr>
          <w:p>
            <w:pPr>
              <w:spacing w:after="60" w:before="60"/>
              <w:ind w:left="80"/>
            </w:pPr>
            <w:r>
              <w:rPr>
                <w:b w:val="false"/>
                <w:bCs w:val="false"/>
                <w:color w:val="000000"/>
                <w:sz w:val="20"/>
                <w:szCs w:val="20"/>
              </w:rPr>
              <w:t xml:space="preserve">4 techniques missing → L2 gap at θ_burst</w:t>
            </w:r>
          </w:p>
        </w:tc>
      </w:tr>
      <w:tr>
        <w:trPr>
          <w:tblHeader w:val="false"/>
        </w:trPr>
        <w:tc>
          <w:tcPr>
            <w:tcW w:type="dxa" w:w="1500"/>
            <w:shd w:fill="FFFFFF" w:val="clear"/>
          </w:tcPr>
          <w:p>
            <w:pPr>
              <w:spacing w:after="60" w:before="60"/>
              <w:ind w:left="80"/>
            </w:pPr>
            <w:r>
              <w:rPr>
                <w:b w:val="false"/>
                <w:bCs w:val="false"/>
                <w:color w:val="000000"/>
                <w:sz w:val="20"/>
                <w:szCs w:val="20"/>
              </w:rPr>
              <w:t xml:space="preserve">ThreatIntel-Only</w:t>
            </w:r>
          </w:p>
        </w:tc>
        <w:tc>
          <w:tcPr>
            <w:tcW w:type="dxa" w:w="700"/>
            <w:shd w:fill="FFFFFF" w:val="clear"/>
          </w:tcPr>
          <w:p>
            <w:pPr>
              <w:spacing w:after="60" w:before="60"/>
              <w:ind w:left="80"/>
            </w:pPr>
            <w:r>
              <w:rPr>
                <w:b w:val="false"/>
                <w:bCs w:val="false"/>
                <w:color w:val="000000"/>
                <w:sz w:val="20"/>
                <w:szCs w:val="20"/>
              </w:rPr>
              <w:t xml:space="preserve">3,374</w:t>
            </w:r>
          </w:p>
        </w:tc>
        <w:tc>
          <w:tcPr>
            <w:tcW w:type="dxa" w:w="700"/>
            <w:shd w:fill="FFFFFF" w:val="clear"/>
          </w:tcPr>
          <w:p>
            <w:pPr>
              <w:spacing w:after="60" w:before="60"/>
              <w:ind w:left="80"/>
            </w:pPr>
            <w:r>
              <w:rPr>
                <w:b w:val="false"/>
                <w:bCs w:val="false"/>
                <w:color w:val="000000"/>
                <w:sz w:val="20"/>
                <w:szCs w:val="20"/>
              </w:rPr>
              <w:t xml:space="preserve">0%</w:t>
            </w:r>
          </w:p>
        </w:tc>
        <w:tc>
          <w:tcPr>
            <w:tcW w:type="dxa" w:w="700"/>
            <w:shd w:fill="FFFFFF" w:val="clear"/>
          </w:tcPr>
          <w:p>
            <w:pPr>
              <w:spacing w:after="60" w:before="60"/>
              <w:ind w:left="80"/>
            </w:pPr>
            <w:r>
              <w:rPr>
                <w:b w:val="false"/>
                <w:bCs w:val="false"/>
                <w:color w:val="000000"/>
                <w:sz w:val="20"/>
                <w:szCs w:val="20"/>
              </w:rPr>
              <w:t xml:space="preserve">0%</w:t>
            </w:r>
          </w:p>
        </w:tc>
        <w:tc>
          <w:tcPr>
            <w:tcW w:type="dxa" w:w="800"/>
            <w:shd w:fill="FFFFFF" w:val="clear"/>
          </w:tcPr>
          <w:p>
            <w:pPr>
              <w:spacing w:after="60" w:before="60"/>
              <w:ind w:left="80"/>
            </w:pPr>
            <w:r>
              <w:rPr>
                <w:b w:val="false"/>
                <w:bCs w:val="false"/>
                <w:color w:val="000000"/>
                <w:sz w:val="20"/>
                <w:szCs w:val="20"/>
              </w:rPr>
              <w:t xml:space="preserve">16/18</w:t>
            </w:r>
          </w:p>
        </w:tc>
        <w:tc>
          <w:tcPr>
            <w:tcW w:type="dxa" w:w="900"/>
            <w:shd w:fill="FFFFFF" w:val="clear"/>
          </w:tcPr>
          <w:p>
            <w:pPr>
              <w:spacing w:after="60" w:before="60"/>
              <w:ind w:left="80"/>
            </w:pPr>
            <w:r>
              <w:rPr>
                <w:b w:val="false"/>
                <w:bCs w:val="false"/>
                <w:color w:val="000000"/>
                <w:sz w:val="20"/>
                <w:szCs w:val="20"/>
              </w:rPr>
              <w:t xml:space="preserve">No</w:t>
            </w:r>
          </w:p>
        </w:tc>
        <w:tc>
          <w:tcPr>
            <w:tcW w:type="dxa" w:w="3900"/>
            <w:shd w:fill="FFFFFF" w:val="clear"/>
          </w:tcPr>
          <w:p>
            <w:pPr>
              <w:spacing w:after="60" w:before="60"/>
              <w:ind w:left="80"/>
            </w:pPr>
            <w:r>
              <w:rPr>
                <w:b w:val="false"/>
                <w:bCs w:val="false"/>
                <w:color w:val="000000"/>
                <w:sz w:val="20"/>
                <w:szCs w:val="20"/>
              </w:rPr>
              <w:t xml:space="preserve">Ignores path ordering (D2); −14.6% r*</w:t>
            </w:r>
          </w:p>
        </w:tc>
      </w:tr>
      <w:tr>
        <w:trPr>
          <w:tblHeader w:val="false"/>
        </w:trPr>
        <w:tc>
          <w:tcPr>
            <w:tcW w:type="dxa" w:w="1500"/>
            <w:shd w:fill="F2F2F2" w:val="clear"/>
          </w:tcPr>
          <w:p>
            <w:pPr>
              <w:spacing w:after="60" w:before="60"/>
              <w:ind w:left="80"/>
            </w:pPr>
            <w:r>
              <w:rPr>
                <w:b w:val="false"/>
                <w:bCs w:val="false"/>
                <w:color w:val="000000"/>
                <w:sz w:val="20"/>
                <w:szCs w:val="20"/>
              </w:rPr>
              <w:t xml:space="preserve">Round-Robin</w:t>
            </w:r>
          </w:p>
        </w:tc>
        <w:tc>
          <w:tcPr>
            <w:tcW w:type="dxa" w:w="700"/>
            <w:shd w:fill="F2F2F2" w:val="clear"/>
          </w:tcPr>
          <w:p>
            <w:pPr>
              <w:spacing w:after="60" w:before="60"/>
              <w:ind w:left="80"/>
            </w:pPr>
            <w:r>
              <w:rPr>
                <w:b w:val="false"/>
                <w:bCs w:val="false"/>
                <w:color w:val="000000"/>
                <w:sz w:val="20"/>
                <w:szCs w:val="20"/>
              </w:rPr>
              <w:t xml:space="preserve">2,841</w:t>
            </w:r>
          </w:p>
        </w:tc>
        <w:tc>
          <w:tcPr>
            <w:tcW w:type="dxa" w:w="700"/>
            <w:shd w:fill="F2F2F2" w:val="clear"/>
          </w:tcPr>
          <w:p>
            <w:pPr>
              <w:spacing w:after="60" w:before="60"/>
              <w:ind w:left="80"/>
            </w:pPr>
            <w:r>
              <w:rPr>
                <w:b w:val="false"/>
                <w:bCs w:val="false"/>
                <w:color w:val="000000"/>
                <w:sz w:val="20"/>
                <w:szCs w:val="20"/>
              </w:rPr>
              <w:t xml:space="preserve">7.1%</w:t>
            </w:r>
          </w:p>
        </w:tc>
        <w:tc>
          <w:tcPr>
            <w:tcW w:type="dxa" w:w="700"/>
            <w:shd w:fill="F2F2F2" w:val="clear"/>
          </w:tcPr>
          <w:p>
            <w:pPr>
              <w:spacing w:after="60" w:before="60"/>
              <w:ind w:left="80"/>
            </w:pPr>
            <w:r>
              <w:rPr>
                <w:b w:val="false"/>
                <w:bCs w:val="false"/>
                <w:color w:val="000000"/>
                <w:sz w:val="20"/>
                <w:szCs w:val="20"/>
              </w:rPr>
              <w:t xml:space="preserve">0%</w:t>
            </w:r>
          </w:p>
        </w:tc>
        <w:tc>
          <w:tcPr>
            <w:tcW w:type="dxa" w:w="800"/>
            <w:shd w:fill="F2F2F2" w:val="clear"/>
          </w:tcPr>
          <w:p>
            <w:pPr>
              <w:spacing w:after="60" w:before="60"/>
              <w:ind w:left="80"/>
            </w:pPr>
            <w:r>
              <w:rPr>
                <w:b w:val="false"/>
                <w:bCs w:val="false"/>
                <w:color w:val="000000"/>
                <w:sz w:val="20"/>
                <w:szCs w:val="20"/>
              </w:rPr>
              <w:t xml:space="preserve">15/18</w:t>
            </w:r>
          </w:p>
        </w:tc>
        <w:tc>
          <w:tcPr>
            <w:tcW w:type="dxa" w:w="900"/>
            <w:shd w:fill="F2F2F2" w:val="clear"/>
          </w:tcPr>
          <w:p>
            <w:pPr>
              <w:spacing w:after="60" w:before="60"/>
              <w:ind w:left="80"/>
            </w:pPr>
            <w:r>
              <w:rPr>
                <w:b w:val="false"/>
                <w:bCs w:val="false"/>
                <w:color w:val="000000"/>
                <w:sz w:val="20"/>
                <w:szCs w:val="20"/>
              </w:rPr>
              <w:t xml:space="preserve">No</w:t>
            </w:r>
          </w:p>
        </w:tc>
        <w:tc>
          <w:tcPr>
            <w:tcW w:type="dxa" w:w="3900"/>
            <w:shd w:fill="F2F2F2" w:val="clear"/>
          </w:tcPr>
          <w:p>
            <w:pPr>
              <w:spacing w:after="60" w:before="60"/>
              <w:ind w:left="80"/>
            </w:pPr>
            <w:r>
              <w:rPr>
                <w:b w:val="false"/>
                <w:bCs w:val="false"/>
                <w:color w:val="000000"/>
                <w:sz w:val="20"/>
                <w:szCs w:val="20"/>
              </w:rPr>
              <w:t xml:space="preserve">Persona burn; mechanical rotation misses high-ρ paths</w:t>
            </w:r>
          </w:p>
        </w:tc>
      </w:tr>
      <w:tr>
        <w:trPr>
          <w:tblHeader w:val="false"/>
        </w:trPr>
        <w:tc>
          <w:tcPr>
            <w:tcW w:type="dxa" w:w="1500"/>
            <w:shd w:fill="FFFFFF" w:val="clear"/>
          </w:tcPr>
          <w:p>
            <w:pPr>
              <w:spacing w:after="60" w:before="60"/>
              <w:ind w:left="80"/>
            </w:pPr>
            <w:r>
              <w:rPr>
                <w:b w:val="false"/>
                <w:bCs w:val="false"/>
                <w:color w:val="000000"/>
                <w:sz w:val="20"/>
                <w:szCs w:val="20"/>
              </w:rPr>
              <w:t xml:space="preserve">Static-Best</w:t>
            </w:r>
          </w:p>
        </w:tc>
        <w:tc>
          <w:tcPr>
            <w:tcW w:type="dxa" w:w="700"/>
            <w:shd w:fill="FFFFFF" w:val="clear"/>
          </w:tcPr>
          <w:p>
            <w:pPr>
              <w:spacing w:after="60" w:before="60"/>
              <w:ind w:left="80"/>
            </w:pPr>
            <w:r>
              <w:rPr>
                <w:b w:val="false"/>
                <w:bCs w:val="false"/>
                <w:color w:val="000000"/>
                <w:sz w:val="20"/>
                <w:szCs w:val="20"/>
              </w:rPr>
              <w:t xml:space="preserve">1,918</w:t>
            </w:r>
          </w:p>
        </w:tc>
        <w:tc>
          <w:tcPr>
            <w:tcW w:type="dxa" w:w="700"/>
            <w:shd w:fill="FFFFFF" w:val="clear"/>
          </w:tcPr>
          <w:p>
            <w:pPr>
              <w:spacing w:after="60" w:before="60"/>
              <w:ind w:left="80"/>
            </w:pPr>
            <w:r>
              <w:rPr>
                <w:b w:val="false"/>
                <w:bCs w:val="false"/>
                <w:color w:val="000000"/>
                <w:sz w:val="20"/>
                <w:szCs w:val="20"/>
              </w:rPr>
              <w:t xml:space="preserve">75%</w:t>
            </w:r>
          </w:p>
        </w:tc>
        <w:tc>
          <w:tcPr>
            <w:tcW w:type="dxa" w:w="700"/>
            <w:shd w:fill="FFFFFF" w:val="clear"/>
          </w:tcPr>
          <w:p>
            <w:pPr>
              <w:spacing w:after="60" w:before="60"/>
              <w:ind w:left="80"/>
            </w:pPr>
            <w:r>
              <w:rPr>
                <w:b w:val="false"/>
                <w:bCs w:val="false"/>
                <w:color w:val="000000"/>
                <w:sz w:val="20"/>
                <w:szCs w:val="20"/>
              </w:rPr>
              <w:t xml:space="preserve">50%</w:t>
            </w:r>
          </w:p>
        </w:tc>
        <w:tc>
          <w:tcPr>
            <w:tcW w:type="dxa" w:w="800"/>
            <w:shd w:fill="FFFFFF" w:val="clear"/>
          </w:tcPr>
          <w:p>
            <w:pPr>
              <w:spacing w:after="60" w:before="60"/>
              <w:ind w:left="80"/>
            </w:pPr>
            <w:r>
              <w:rPr>
                <w:b w:val="false"/>
                <w:bCs w:val="false"/>
                <w:color w:val="000000"/>
                <w:sz w:val="20"/>
                <w:szCs w:val="20"/>
              </w:rPr>
              <w:t xml:space="preserve">12/18</w:t>
            </w:r>
          </w:p>
        </w:tc>
        <w:tc>
          <w:tcPr>
            <w:tcW w:type="dxa" w:w="900"/>
            <w:shd w:fill="FFFFFF" w:val="clear"/>
          </w:tcPr>
          <w:p>
            <w:pPr>
              <w:spacing w:after="60" w:before="60"/>
              <w:ind w:left="80"/>
            </w:pPr>
            <w:r>
              <w:rPr>
                <w:b w:val="false"/>
                <w:bCs w:val="false"/>
                <w:color w:val="000000"/>
                <w:sz w:val="20"/>
                <w:szCs w:val="20"/>
              </w:rPr>
              <w:t xml:space="preserve">No</w:t>
            </w:r>
          </w:p>
        </w:tc>
        <w:tc>
          <w:tcPr>
            <w:tcW w:type="dxa" w:w="3900"/>
            <w:shd w:fill="FFFFFF" w:val="clear"/>
          </w:tcPr>
          <w:p>
            <w:pPr>
              <w:spacing w:after="60" w:before="60"/>
              <w:ind w:left="80"/>
            </w:pPr>
            <w:r>
              <w:rPr>
                <w:b w:val="false"/>
                <w:bCs w:val="false"/>
                <w:color w:val="000000"/>
                <w:sz w:val="20"/>
                <w:szCs w:val="20"/>
              </w:rPr>
              <w:t xml:space="preserve">No rotation → type burned by slot 3</w:t>
            </w:r>
          </w:p>
        </w:tc>
      </w:tr>
      <w:tr>
        <w:trPr>
          <w:tblHeader w:val="false"/>
        </w:trPr>
        <w:tc>
          <w:tcPr>
            <w:tcW w:type="dxa" w:w="1500"/>
            <w:shd w:fill="F2F2F2" w:val="clear"/>
          </w:tcPr>
          <w:p>
            <w:pPr>
              <w:spacing w:after="60" w:before="60"/>
              <w:ind w:left="80"/>
            </w:pPr>
            <w:r>
              <w:rPr>
                <w:b w:val="false"/>
                <w:bCs w:val="false"/>
                <w:color w:val="000000"/>
                <w:sz w:val="20"/>
                <w:szCs w:val="20"/>
              </w:rPr>
              <w:t xml:space="preserve">Single-Zone</w:t>
            </w:r>
          </w:p>
        </w:tc>
        <w:tc>
          <w:tcPr>
            <w:tcW w:type="dxa" w:w="700"/>
            <w:shd w:fill="F2F2F2" w:val="clear"/>
          </w:tcPr>
          <w:p>
            <w:pPr>
              <w:spacing w:after="60" w:before="60"/>
              <w:ind w:left="80"/>
            </w:pPr>
            <w:r>
              <w:rPr>
                <w:b w:val="false"/>
                <w:bCs w:val="false"/>
                <w:color w:val="000000"/>
                <w:sz w:val="20"/>
                <w:szCs w:val="20"/>
              </w:rPr>
              <w:t xml:space="preserve">1,837</w:t>
            </w:r>
          </w:p>
        </w:tc>
        <w:tc>
          <w:tcPr>
            <w:tcW w:type="dxa" w:w="700"/>
            <w:shd w:fill="F2F2F2" w:val="clear"/>
          </w:tcPr>
          <w:p>
            <w:pPr>
              <w:spacing w:after="60" w:before="60"/>
              <w:ind w:left="80"/>
            </w:pPr>
            <w:r>
              <w:rPr>
                <w:b w:val="false"/>
                <w:bCs w:val="false"/>
                <w:color w:val="000000"/>
                <w:sz w:val="20"/>
                <w:szCs w:val="20"/>
              </w:rPr>
              <w:t xml:space="preserve">0%</w:t>
            </w:r>
          </w:p>
        </w:tc>
        <w:tc>
          <w:tcPr>
            <w:tcW w:type="dxa" w:w="700"/>
            <w:shd w:fill="F2F2F2" w:val="clear"/>
          </w:tcPr>
          <w:p>
            <w:pPr>
              <w:spacing w:after="60" w:before="60"/>
              <w:ind w:left="80"/>
            </w:pPr>
            <w:r>
              <w:rPr>
                <w:b w:val="false"/>
                <w:bCs w:val="false"/>
                <w:color w:val="000000"/>
                <w:sz w:val="20"/>
                <w:szCs w:val="20"/>
              </w:rPr>
              <w:t xml:space="preserve">0%</w:t>
            </w:r>
          </w:p>
        </w:tc>
        <w:tc>
          <w:tcPr>
            <w:tcW w:type="dxa" w:w="800"/>
            <w:shd w:fill="F2F2F2" w:val="clear"/>
          </w:tcPr>
          <w:p>
            <w:pPr>
              <w:spacing w:after="60" w:before="60"/>
              <w:ind w:left="80"/>
            </w:pPr>
            <w:r>
              <w:rPr>
                <w:b w:val="false"/>
                <w:bCs w:val="false"/>
                <w:color w:val="000000"/>
                <w:sz w:val="20"/>
                <w:szCs w:val="20"/>
              </w:rPr>
              <w:t xml:space="preserve">10/18</w:t>
            </w:r>
          </w:p>
        </w:tc>
        <w:tc>
          <w:tcPr>
            <w:tcW w:type="dxa" w:w="900"/>
            <w:shd w:fill="F2F2F2" w:val="clear"/>
          </w:tcPr>
          <w:p>
            <w:pPr>
              <w:spacing w:after="60" w:before="60"/>
              <w:ind w:left="80"/>
            </w:pPr>
            <w:r>
              <w:rPr>
                <w:b w:val="false"/>
                <w:bCs w:val="false"/>
                <w:color w:val="000000"/>
                <w:sz w:val="20"/>
                <w:szCs w:val="20"/>
              </w:rPr>
              <w:t xml:space="preserve">No</w:t>
            </w:r>
          </w:p>
        </w:tc>
        <w:tc>
          <w:tcPr>
            <w:tcW w:type="dxa" w:w="3900"/>
            <w:shd w:fill="F2F2F2" w:val="clear"/>
          </w:tcPr>
          <w:p>
            <w:pPr>
              <w:spacing w:after="60" w:before="60"/>
              <w:ind w:left="80"/>
            </w:pPr>
            <w:r>
              <w:rPr>
                <w:b w:val="false"/>
                <w:bCs w:val="false"/>
                <w:color w:val="000000"/>
                <w:sz w:val="20"/>
                <w:szCs w:val="20"/>
              </w:rPr>
              <w:t xml:space="preserve">Only Internal; C10 path persistence = 0%</w:t>
            </w:r>
          </w:p>
        </w:tc>
      </w:tr>
      <w:tr>
        <w:trPr>
          <w:tblHeader w:val="false"/>
        </w:trPr>
        <w:tc>
          <w:tcPr>
            <w:tcW w:type="dxa" w:w="1500"/>
            <w:shd w:fill="FFFFFF" w:val="clear"/>
          </w:tcPr>
          <w:p>
            <w:pPr>
              <w:spacing w:after="60" w:before="60"/>
              <w:ind w:left="80"/>
            </w:pPr>
            <w:r>
              <w:rPr>
                <w:b w:val="false"/>
                <w:bCs w:val="false"/>
                <w:color w:val="000000"/>
                <w:sz w:val="20"/>
                <w:szCs w:val="20"/>
              </w:rPr>
              <w:t xml:space="preserve">LP-Relaxation</w:t>
            </w:r>
          </w:p>
        </w:tc>
        <w:tc>
          <w:tcPr>
            <w:tcW w:type="dxa" w:w="700"/>
            <w:shd w:fill="FFFFFF" w:val="clear"/>
          </w:tcPr>
          <w:p>
            <w:pPr>
              <w:spacing w:after="60" w:before="60"/>
              <w:ind w:left="80"/>
            </w:pPr>
            <w:r>
              <w:rPr>
                <w:b w:val="false"/>
                <w:bCs w:val="false"/>
                <w:color w:val="000000"/>
                <w:sz w:val="20"/>
                <w:szCs w:val="20"/>
              </w:rPr>
              <w:t xml:space="preserve">2,402</w:t>
            </w:r>
          </w:p>
        </w:tc>
        <w:tc>
          <w:tcPr>
            <w:tcW w:type="dxa" w:w="700"/>
            <w:shd w:fill="FFFFFF" w:val="clear"/>
          </w:tcPr>
          <w:p>
            <w:pPr>
              <w:spacing w:after="60" w:before="60"/>
              <w:ind w:left="80"/>
            </w:pPr>
            <w:r>
              <w:rPr>
                <w:b w:val="false"/>
                <w:bCs w:val="false"/>
                <w:color w:val="000000"/>
                <w:sz w:val="20"/>
                <w:szCs w:val="20"/>
              </w:rPr>
              <w:t xml:space="preserve">75%</w:t>
            </w:r>
          </w:p>
        </w:tc>
        <w:tc>
          <w:tcPr>
            <w:tcW w:type="dxa" w:w="700"/>
            <w:shd w:fill="FFFFFF" w:val="clear"/>
          </w:tcPr>
          <w:p>
            <w:pPr>
              <w:spacing w:after="60" w:before="60"/>
              <w:ind w:left="80"/>
            </w:pPr>
            <w:r>
              <w:rPr>
                <w:b w:val="false"/>
                <w:bCs w:val="false"/>
                <w:color w:val="000000"/>
                <w:sz w:val="20"/>
                <w:szCs w:val="20"/>
              </w:rPr>
              <w:t xml:space="preserve">50%</w:t>
            </w:r>
          </w:p>
        </w:tc>
        <w:tc>
          <w:tcPr>
            <w:tcW w:type="dxa" w:w="800"/>
            <w:shd w:fill="FFFFFF" w:val="clear"/>
          </w:tcPr>
          <w:p>
            <w:pPr>
              <w:spacing w:after="60" w:before="60"/>
              <w:ind w:left="80"/>
            </w:pPr>
            <w:r>
              <w:rPr>
                <w:b w:val="false"/>
                <w:bCs w:val="false"/>
                <w:color w:val="000000"/>
                <w:sz w:val="20"/>
                <w:szCs w:val="20"/>
              </w:rPr>
              <w:t xml:space="preserve">14/18</w:t>
            </w:r>
          </w:p>
        </w:tc>
        <w:tc>
          <w:tcPr>
            <w:tcW w:type="dxa" w:w="900"/>
            <w:shd w:fill="FFFFFF" w:val="clear"/>
          </w:tcPr>
          <w:p>
            <w:pPr>
              <w:spacing w:after="60" w:before="60"/>
              <w:ind w:left="80"/>
            </w:pPr>
            <w:r>
              <w:rPr>
                <w:b w:val="false"/>
                <w:bCs w:val="false"/>
                <w:color w:val="000000"/>
                <w:sz w:val="20"/>
                <w:szCs w:val="20"/>
              </w:rPr>
              <w:t xml:space="preserve">No</w:t>
            </w:r>
          </w:p>
        </w:tc>
        <w:tc>
          <w:tcPr>
            <w:tcW w:type="dxa" w:w="3900"/>
            <w:shd w:fill="FFFFFF" w:val="clear"/>
          </w:tcPr>
          <w:p>
            <w:pPr>
              <w:spacing w:after="60" w:before="60"/>
              <w:ind w:left="80"/>
            </w:pPr>
            <w:r>
              <w:rPr>
                <w:b w:val="false"/>
                <w:bCs w:val="false"/>
                <w:color w:val="000000"/>
                <w:sz w:val="20"/>
                <w:szCs w:val="20"/>
              </w:rPr>
              <w:t xml:space="preserve">C4 ignored → dns+generic conflict → burn</w:t>
            </w:r>
          </w:p>
        </w:tc>
      </w:tr>
    </w:tbl>
    <w:p>
      <w:r>
        <w:br w:type="page"/>
      </w:r>
    </w:p>
    <w:p>
      <w:pPr>
        <w:pStyle w:val="Heading1"/>
        <w:spacing w:after="120" w:before="240"/>
      </w:pPr>
      <w:r>
        <w:t xml:space="preserve">Open Problems &amp; Scope Boundaries</w:t>
      </w:r>
    </w:p>
    <w:p>
      <w:pPr>
        <w:pBdr>
          <w:bottom w:val="single" w:color="2E74B5" w:sz="6"/>
        </w:pBdr>
        <w:spacing w:after="200" w:before="200"/>
      </w:pPr>
    </w:p>
    <w:p>
      <w:pPr>
        <w:pStyle w:val="Heading2"/>
        <w:spacing w:after="120" w:before="240"/>
      </w:pPr>
      <w:r>
        <w:t xml:space="preserve">Four Explicitly Identified Open Problems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500"/>
      </w:tblGrid>
      <w:tr>
        <w:trPr>
          <w:tblHeader/>
        </w:trPr>
        <w:tc>
          <w:tcPr>
            <w:tcW w:type="dxa" w:w="500"/>
            <w:shd w:fill="1F3864" w:val="clear"/>
          </w:tcPr>
          <w:p>
            <w:pPr>
              <w:spacing w:after="60" w:before="60"/>
              <w:ind w:left="80"/>
            </w:pPr>
            <w:r>
              <w:rPr>
                <w:b/>
                <w:bCs/>
                <w:color w:val="FFFFFF"/>
                <w:sz w:val="20"/>
                <w:szCs w:val="20"/>
              </w:rPr>
              <w:t xml:space="preserve">ID</w:t>
            </w:r>
          </w:p>
        </w:tc>
        <w:tc>
          <w:tcPr>
            <w:tcW w:type="dxa" w:w="2200"/>
            <w:shd w:fill="1F3864" w:val="clear"/>
          </w:tcPr>
          <w:p>
            <w:pPr>
              <w:spacing w:after="60" w:before="60"/>
              <w:ind w:left="80"/>
            </w:pPr>
            <w:r>
              <w:rPr>
                <w:b/>
                <w:bCs/>
                <w:color w:val="FFFFFF"/>
                <w:sz w:val="20"/>
                <w:szCs w:val="20"/>
              </w:rPr>
              <w:t xml:space="preserve">Problem</w:t>
            </w:r>
          </w:p>
        </w:tc>
        <w:tc>
          <w:tcPr>
            <w:tcW w:type="dxa" w:w="6500"/>
            <w:shd w:fill="1F3864" w:val="clear"/>
          </w:tcPr>
          <w:p>
            <w:pPr>
              <w:spacing w:after="60" w:before="60"/>
              <w:ind w:left="80"/>
            </w:pPr>
            <w:r>
              <w:rPr>
                <w:b/>
                <w:bCs/>
                <w:color w:val="FFFFFF"/>
                <w:sz w:val="20"/>
                <w:szCs w:val="20"/>
              </w:rPr>
              <w:t xml:space="preserve">Direction</w:t>
            </w:r>
          </w:p>
        </w:tc>
      </w:tr>
      <w:tr>
        <w:trPr>
          <w:tblHeader w:val="false"/>
        </w:trPr>
        <w:tc>
          <w:tcPr>
            <w:tcW w:type="dxa" w:w="500"/>
            <w:shd w:fill="FFFFFF" w:val="clear"/>
          </w:tcPr>
          <w:p>
            <w:pPr>
              <w:spacing w:after="60" w:before="60"/>
              <w:ind w:left="80"/>
            </w:pPr>
            <w:r>
              <w:rPr>
                <w:b w:val="false"/>
                <w:bCs w:val="false"/>
                <w:color w:val="000000"/>
                <w:sz w:val="20"/>
                <w:szCs w:val="20"/>
              </w:rPr>
              <w:t xml:space="preserve">OP1</w:t>
            </w:r>
          </w:p>
        </w:tc>
        <w:tc>
          <w:tcPr>
            <w:tcW w:type="dxa" w:w="2200"/>
            <w:shd w:fill="FFFFFF" w:val="clear"/>
          </w:tcPr>
          <w:p>
            <w:pPr>
              <w:spacing w:after="60" w:before="60"/>
              <w:ind w:left="80"/>
            </w:pPr>
            <w:r>
              <w:rPr>
                <w:b w:val="false"/>
                <w:bCs w:val="false"/>
                <w:color w:val="000000"/>
                <w:sz w:val="20"/>
                <w:szCs w:val="20"/>
              </w:rPr>
              <w:t xml:space="preserve">Pareto frontier: r* vs. Q_med</w:t>
            </w:r>
          </w:p>
        </w:tc>
        <w:tc>
          <w:tcPr>
            <w:tcW w:type="dxa" w:w="6500"/>
            <w:shd w:fill="FFFFFF" w:val="clear"/>
          </w:tcPr>
          <w:p>
            <w:pPr>
              <w:spacing w:after="60" w:before="60"/>
              <w:ind w:left="80"/>
            </w:pPr>
            <w:r>
              <w:rPr>
                <w:b w:val="false"/>
                <w:bCs w:val="false"/>
                <w:color w:val="000000"/>
                <w:sz w:val="20"/>
                <w:szCs w:val="20"/>
              </w:rPr>
              <w:t xml:space="preserve">Two-objective MaxSAT — trade-off between worst-case and average-case performance</w:t>
            </w:r>
          </w:p>
        </w:tc>
      </w:tr>
      <w:tr>
        <w:trPr>
          <w:tblHeader w:val="false"/>
        </w:trPr>
        <w:tc>
          <w:tcPr>
            <w:tcW w:type="dxa" w:w="500"/>
            <w:shd w:fill="F2F2F2" w:val="clear"/>
          </w:tcPr>
          <w:p>
            <w:pPr>
              <w:spacing w:after="60" w:before="60"/>
              <w:ind w:left="80"/>
            </w:pPr>
            <w:r>
              <w:rPr>
                <w:b w:val="false"/>
                <w:bCs w:val="false"/>
                <w:color w:val="000000"/>
                <w:sz w:val="20"/>
                <w:szCs w:val="20"/>
              </w:rPr>
              <w:t xml:space="preserve">OP2</w:t>
            </w:r>
          </w:p>
        </w:tc>
        <w:tc>
          <w:tcPr>
            <w:tcW w:type="dxa" w:w="2200"/>
            <w:shd w:fill="F2F2F2" w:val="clear"/>
          </w:tcPr>
          <w:p>
            <w:pPr>
              <w:spacing w:after="60" w:before="60"/>
              <w:ind w:left="80"/>
            </w:pPr>
            <w:r>
              <w:rPr>
                <w:b w:val="false"/>
                <w:bCs w:val="false"/>
                <w:color w:val="000000"/>
                <w:sz w:val="20"/>
                <w:szCs w:val="20"/>
              </w:rPr>
              <w:t xml:space="preserve">Continuous Θ</w:t>
            </w:r>
          </w:p>
        </w:tc>
        <w:tc>
          <w:tcPr>
            <w:tcW w:type="dxa" w:w="6500"/>
            <w:shd w:fill="F2F2F2" w:val="clear"/>
          </w:tcPr>
          <w:p>
            <w:pPr>
              <w:spacing w:after="60" w:before="60"/>
              <w:ind w:left="80"/>
            </w:pPr>
            <w:r>
              <w:rPr>
                <w:b w:val="false"/>
                <w:bCs w:val="false"/>
                <w:color w:val="000000"/>
                <w:sz w:val="20"/>
                <w:szCs w:val="20"/>
              </w:rPr>
              <w:t xml:space="preserve">Distributionally robust MaxSAT over Wasserstein ambiguity set</w:t>
            </w:r>
          </w:p>
        </w:tc>
      </w:tr>
      <w:tr>
        <w:trPr>
          <w:tblHeader w:val="false"/>
        </w:trPr>
        <w:tc>
          <w:tcPr>
            <w:tcW w:type="dxa" w:w="500"/>
            <w:shd w:fill="FFFFFF" w:val="clear"/>
          </w:tcPr>
          <w:p>
            <w:pPr>
              <w:spacing w:after="60" w:before="60"/>
              <w:ind w:left="80"/>
            </w:pPr>
            <w:r>
              <w:rPr>
                <w:b w:val="false"/>
                <w:bCs w:val="false"/>
                <w:color w:val="000000"/>
                <w:sz w:val="20"/>
                <w:szCs w:val="20"/>
              </w:rPr>
              <w:t xml:space="preserve">OP3</w:t>
            </w:r>
          </w:p>
        </w:tc>
        <w:tc>
          <w:tcPr>
            <w:tcW w:type="dxa" w:w="2200"/>
            <w:shd w:fill="FFFFFF" w:val="clear"/>
          </w:tcPr>
          <w:p>
            <w:pPr>
              <w:spacing w:after="60" w:before="60"/>
              <w:ind w:left="80"/>
            </w:pPr>
            <w:r>
              <w:rPr>
                <w:b w:val="false"/>
                <w:bCs w:val="false"/>
                <w:color w:val="000000"/>
                <w:sz w:val="20"/>
                <w:szCs w:val="20"/>
              </w:rPr>
              <w:t xml:space="preserve">Bilevel MaxSAT</w:t>
            </w:r>
          </w:p>
        </w:tc>
        <w:tc>
          <w:tcPr>
            <w:tcW w:type="dxa" w:w="6500"/>
            <w:shd w:fill="FFFFFF" w:val="clear"/>
          </w:tcPr>
          <w:p>
            <w:pPr>
              <w:spacing w:after="60" w:before="60"/>
              <w:ind w:left="80"/>
            </w:pPr>
            <w:r>
              <w:rPr>
                <w:b w:val="false"/>
                <w:bCs w:val="false"/>
                <w:color w:val="000000"/>
                <w:sz w:val="20"/>
                <w:szCs w:val="20"/>
              </w:rPr>
              <w:t xml:space="preserve">Stackelberg-responding attacker who adapts to the defender's placement</w:t>
            </w:r>
          </w:p>
        </w:tc>
      </w:tr>
      <w:tr>
        <w:trPr>
          <w:tblHeader w:val="false"/>
        </w:trPr>
        <w:tc>
          <w:tcPr>
            <w:tcW w:type="dxa" w:w="500"/>
            <w:shd w:fill="F2F2F2" w:val="clear"/>
          </w:tcPr>
          <w:p>
            <w:pPr>
              <w:spacing w:after="60" w:before="60"/>
              <w:ind w:left="80"/>
            </w:pPr>
            <w:r>
              <w:rPr>
                <w:b w:val="false"/>
                <w:bCs w:val="false"/>
                <w:color w:val="000000"/>
                <w:sz w:val="20"/>
                <w:szCs w:val="20"/>
              </w:rPr>
              <w:t xml:space="preserve">OP4</w:t>
            </w:r>
          </w:p>
        </w:tc>
        <w:tc>
          <w:tcPr>
            <w:tcW w:type="dxa" w:w="2200"/>
            <w:shd w:fill="F2F2F2" w:val="clear"/>
          </w:tcPr>
          <w:p>
            <w:pPr>
              <w:spacing w:after="60" w:before="60"/>
              <w:ind w:left="80"/>
            </w:pPr>
            <w:r>
              <w:rPr>
                <w:b w:val="false"/>
                <w:bCs w:val="false"/>
                <w:color w:val="000000"/>
                <w:sz w:val="20"/>
                <w:szCs w:val="20"/>
              </w:rPr>
              <w:t xml:space="preserve">LLM-as-Persona-Oracle (LPO)</w:t>
            </w:r>
          </w:p>
        </w:tc>
        <w:tc>
          <w:tcPr>
            <w:tcW w:type="dxa" w:w="6500"/>
            <w:shd w:fill="F2F2F2" w:val="clear"/>
          </w:tcPr>
          <w:p>
            <w:pPr>
              <w:spacing w:after="60" w:before="60"/>
              <w:ind w:left="80"/>
            </w:pPr>
            <w:r>
              <w:rPr>
                <w:b w:val="false"/>
                <w:bCs w:val="false"/>
                <w:color w:val="000000"/>
                <w:sz w:val="20"/>
                <w:szCs w:val="20"/>
              </w:rPr>
              <w:t xml:space="preserve">Proposed in §3.5 but unevaluated — requires toy experiment or ablation before full paper</w:t>
            </w:r>
          </w:p>
        </w:tc>
      </w:tr>
    </w:tbl>
    <w:p>
      <w:pPr>
        <w:spacing w:before="160"/>
      </w:pPr>
    </w:p>
    <w:p>
      <w:pPr>
        <w:pStyle w:val="Heading2"/>
        <w:spacing w:after="120" w:before="240"/>
      </w:pPr>
      <w:r>
        <w:t xml:space="preserve">Scope Boundaries</w:t>
      </w:r>
    </w:p>
    <w:p>
      <w:pPr>
        <w:pStyle w:val="ListParagraph"/>
        <w:numPr>
          <w:ilvl w:val="0"/>
          <w:numId w:val="1"/>
        </w:numPr>
        <w:spacing w:after="40" w:before="40"/>
      </w:pPr>
      <w:r>
        <w:rPr>
          <w:sz w:val="22"/>
          <w:szCs w:val="22"/>
        </w:rPr>
        <w:t xml:space="preserve">r* is certified optimal over the stated, finite Θ = {θ_low, θ_med, θ_high, θ_burst}. Θ's adequacy for real-world coverage is an operator judgment, not a mathematical claim.</w:t>
      </w:r>
    </w:p>
    <w:p>
      <w:pPr>
        <w:pStyle w:val="ListParagraph"/>
        <w:numPr>
          <w:ilvl w:val="0"/>
          <w:numId w:val="1"/>
        </w:numPr>
        <w:spacing w:after="40" w:before="40"/>
      </w:pPr>
      <w:r>
        <w:rPr>
          <w:sz w:val="22"/>
          <w:szCs w:val="22"/>
        </w:rPr>
        <w:t xml:space="preserve">Live emulation is Level 2 (process emulation: real TCP sockets, Bernoulli-governed probes, STIX bundles from observed traffic) — not Level 3 (full VM with nmap/Metasploit). L2 validates rotation mechanism and solver correctness; it does not prove the model holds against a real adversary.</w:t>
      </w:r>
    </w:p>
    <w:p>
      <w:pPr>
        <w:pStyle w:val="ListParagraph"/>
        <w:numPr>
          <w:ilvl w:val="0"/>
          <w:numId w:val="1"/>
        </w:numPr>
        <w:spacing w:after="40" w:before="40"/>
      </w:pPr>
      <w:r>
        <w:rPr>
          <w:sz w:val="22"/>
          <w:szCs w:val="22"/>
        </w:rPr>
        <w:t xml:space="preserve">Warm-start re-solves complete in &lt; 5 seconds across all 4 emulated slots. All KEEP decisions verified correct (ΔQ &lt; 0 in every case).</w:t>
      </w:r>
    </w:p>
    <w:p>
      <w:pPr>
        <w:pStyle w:val="ListParagraph"/>
        <w:numPr>
          <w:ilvl w:val="0"/>
          <w:numId w:val="1"/>
        </w:numPr>
        <w:spacing w:after="40" w:before="40"/>
      </w:pPr>
      <w:r>
        <w:rPr>
          <w:sz w:val="22"/>
          <w:szCs w:val="22"/>
        </w:rPr>
        <w:t xml:space="preserve">The LPO extension (§3.5) is a formal algorithm proposal with no empirical evaluation. Reviewers will expect at least one ablation showing persona-prior updates improve 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w:cs="Calibri" w:eastAsia="Calibri" w:hAnsi="Calibri"/>
      <w:b/>
      <w:bCs/>
      <w:color w:val="1F3864"/>
      <w:sz w:val="32"/>
      <w:szCs w:val="32"/>
    </w:rPr>
  </w:style>
  <w:style w:type="paragraph" w:styleId="Heading2">
    <w:name w:val="Heading 2"/>
    <w:basedOn w:val="Normal"/>
    <w:next w:val="Normal"/>
    <w:pPr>
      <w:spacing w:after="80" w:before="240"/>
    </w:pPr>
    <w:rPr>
      <w:rFonts w:ascii="Calibri" w:cs="Calibri" w:eastAsia="Calibri" w:hAnsi="Calibri"/>
      <w:b/>
      <w:bCs/>
      <w:color w:val="2E74B5"/>
      <w:sz w:val="26"/>
      <w:szCs w:val="26"/>
    </w:rPr>
  </w:style>
  <w:style w:type="paragraph" w:styleId="Heading3">
    <w:name w:val="Heading 3"/>
    <w:basedOn w:val="Normal"/>
    <w:next w:val="Normal"/>
    <w:pPr>
      <w:spacing w:after="60" w:before="16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2026-07-25T23:35:44.740Z</dcterms:created>
  <dcterms:modified xsi:type="dcterms:W3CDTF">2026-07-25T23:35:44.755Z</dcterms:modified>
</cp:coreProperties>
</file>

<file path=docProps/custom.xml><?xml version="1.0" encoding="utf-8"?>
<Properties xmlns="http://schemas.openxmlformats.org/officeDocument/2006/custom-properties" xmlns:vt="http://schemas.openxmlformats.org/officeDocument/2006/docPropsVTypes"/>
</file>