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E02E3A" w14:textId="77777777" w:rsidR="002D1B51" w:rsidRDefault="00000000">
      <w:pPr>
        <w:pStyle w:val="Heading1"/>
      </w:pPr>
      <w:r>
        <w:t>Response to Reviewer: Currency of the Honeypot Literature</w:t>
      </w:r>
    </w:p>
    <w:p w14:paraId="2A5A49C1" w14:textId="77777777" w:rsidR="002D1B51" w:rsidRDefault="00000000">
      <w:pPr>
        <w:spacing w:after="120"/>
      </w:pPr>
      <w:r>
        <w:rPr>
          <w:i/>
          <w:iCs/>
        </w:rPr>
        <w:t xml:space="preserve">Manuscript: </w:t>
      </w:r>
      <w:r>
        <w:t xml:space="preserve">ZSTP: A </w:t>
      </w:r>
      <w:proofErr w:type="spellStart"/>
      <w:r>
        <w:t>MaxSAT</w:t>
      </w:r>
      <w:proofErr w:type="spellEnd"/>
      <w:r>
        <w:t xml:space="preserve"> Framework for Certified </w:t>
      </w:r>
      <w:proofErr w:type="spellStart"/>
      <w:r>
        <w:t>Adversarially</w:t>
      </w:r>
      <w:proofErr w:type="spellEnd"/>
      <w:r>
        <w:t xml:space="preserve"> Robust Honeypot Scheduling</w:t>
      </w:r>
    </w:p>
    <w:p w14:paraId="64CC2D0E" w14:textId="77777777" w:rsidR="002D1B51" w:rsidRDefault="00000000">
      <w:pPr>
        <w:pStyle w:val="Heading2"/>
        <w:spacing w:before="240" w:after="120"/>
      </w:pPr>
      <w:r>
        <w:t>Reviewer comment</w:t>
      </w:r>
    </w:p>
    <w:p w14:paraId="07E957EB" w14:textId="77777777" w:rsidR="002D1B51" w:rsidRDefault="00000000">
      <w:pPr>
        <w:spacing w:after="120"/>
      </w:pPr>
      <w:r>
        <w:t>The honeypot literature is not up to date; recent 2026 honeypot work already models attack paths, so the novelty claims need to be revisited.</w:t>
      </w:r>
    </w:p>
    <w:p w14:paraId="1DDE8014" w14:textId="77777777" w:rsidR="002D1B51" w:rsidRDefault="00000000">
      <w:pPr>
        <w:pStyle w:val="Heading2"/>
        <w:spacing w:before="240" w:after="120"/>
      </w:pPr>
      <w:r>
        <w:t>Response</w:t>
      </w:r>
    </w:p>
    <w:p w14:paraId="7BE45175" w14:textId="77777777" w:rsidR="002D1B51" w:rsidRDefault="00000000">
      <w:pPr>
        <w:spacing w:after="120"/>
      </w:pPr>
      <w:r>
        <w:t>We thank the reviewer and agree. Section 2 now compares ZSTP only with the peer-reviewed honeypot-placement papers published in 2026, and the detailed comparison (Tables 2a and 2b) is restricted to those papers; the foundational honeypot literature is credited separately in a short background paragraph at the start of Section 2. Every claim that this 2026 work already covers has been withdrawn: attack-path coverage, early interception, exact mixed-integer placement, multiple attacker types and alert-driven re-optimization are now stated as established. The novelty claims are limited to four elements that the 2026 placement papers do not provide: per-decoy, per-profile recognition (burn) inside the optimization; decoy identity as a decision axis with hard identity rules; a multi-slot schedule with inter-slot hard rules; and a worst-case optimum over attacker profiles with an independently checked optimality proof.</w:t>
      </w:r>
    </w:p>
    <w:p w14:paraId="0115FFAD" w14:textId="77777777" w:rsidR="002D1B51" w:rsidRDefault="00000000">
      <w:pPr>
        <w:pStyle w:val="Heading2"/>
        <w:spacing w:before="240" w:after="120"/>
      </w:pPr>
      <w:r>
        <w:t>Peer-reviewed 2026 honeypot-placement papers used (metadata verified against the DOI records)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160"/>
        <w:gridCol w:w="1900"/>
      </w:tblGrid>
      <w:tr w:rsidR="002D1B51" w14:paraId="55856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E413A" w14:textId="77777777" w:rsidR="002D1B51" w:rsidRDefault="00000000">
            <w:r>
              <w:rPr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5160" w:type="dxa"/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191C73" w14:textId="77777777" w:rsidR="002D1B51" w:rsidRDefault="00000000">
            <w:r>
              <w:rPr>
                <w:b/>
                <w:bCs/>
                <w:sz w:val="18"/>
                <w:szCs w:val="18"/>
              </w:rPr>
              <w:t>Venue and DOI</w:t>
            </w:r>
          </w:p>
        </w:tc>
        <w:tc>
          <w:tcPr>
            <w:tcW w:w="1900" w:type="dxa"/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52691" w14:textId="77777777" w:rsidR="002D1B51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</w:tr>
      <w:tr w:rsidR="002D1B51" w14:paraId="687C42F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D6565" w14:textId="77777777" w:rsidR="002D1B51" w:rsidRDefault="00000000">
            <w:r>
              <w:rPr>
                <w:sz w:val="18"/>
                <w:szCs w:val="18"/>
              </w:rPr>
              <w:t>[21] Park &amp; Dagher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7DA7C" w14:textId="77777777" w:rsidR="002D1B51" w:rsidRDefault="00000000">
            <w:r>
              <w:rPr>
                <w:sz w:val="18"/>
                <w:szCs w:val="18"/>
              </w:rPr>
              <w:t xml:space="preserve">Computers &amp; Security, vol. 168, Art. 104949 (Sep 2026); </w:t>
            </w:r>
            <w:proofErr w:type="gramStart"/>
            <w:r>
              <w:rPr>
                <w:sz w:val="18"/>
                <w:szCs w:val="18"/>
              </w:rPr>
              <w:t>doi:10.1016/j.cose</w:t>
            </w:r>
            <w:proofErr w:type="gramEnd"/>
            <w:r>
              <w:rPr>
                <w:sz w:val="18"/>
                <w:szCs w:val="18"/>
              </w:rPr>
              <w:t>.2026.104949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5BE90" w14:textId="77777777" w:rsidR="002D1B51" w:rsidRDefault="00000000">
            <w:r>
              <w:rPr>
                <w:sz w:val="18"/>
                <w:szCs w:val="18"/>
              </w:rPr>
              <w:t>Elsevier journal</w:t>
            </w:r>
          </w:p>
        </w:tc>
      </w:tr>
      <w:tr w:rsidR="002D1B51" w14:paraId="44E3087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322AF" w14:textId="77777777" w:rsidR="002D1B51" w:rsidRDefault="00000000">
            <w:r>
              <w:rPr>
                <w:sz w:val="18"/>
                <w:szCs w:val="18"/>
              </w:rPr>
              <w:t xml:space="preserve">[22] </w:t>
            </w:r>
            <w:proofErr w:type="spellStart"/>
            <w:r>
              <w:rPr>
                <w:sz w:val="18"/>
                <w:szCs w:val="18"/>
              </w:rPr>
              <w:t>Voznyi</w:t>
            </w:r>
            <w:proofErr w:type="spellEnd"/>
            <w:r>
              <w:rPr>
                <w:sz w:val="18"/>
                <w:szCs w:val="18"/>
              </w:rPr>
              <w:t xml:space="preserve"> et al.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F63239" w14:textId="77777777" w:rsidR="002D1B51" w:rsidRDefault="00000000">
            <w:r>
              <w:rPr>
                <w:sz w:val="18"/>
                <w:szCs w:val="18"/>
              </w:rPr>
              <w:t>Proc. 16th IEEE ACIT 2026, pp. 846–851; doi:10.1109/ACIT69831.2026.11700210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1735A" w14:textId="77777777" w:rsidR="002D1B51" w:rsidRDefault="00000000">
            <w:r>
              <w:rPr>
                <w:sz w:val="18"/>
                <w:szCs w:val="18"/>
              </w:rPr>
              <w:t>IEEE conference</w:t>
            </w:r>
          </w:p>
        </w:tc>
      </w:tr>
      <w:tr w:rsidR="002D1B51" w14:paraId="45B523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926C8" w14:textId="77777777" w:rsidR="002D1B51" w:rsidRDefault="00000000">
            <w:r>
              <w:rPr>
                <w:sz w:val="18"/>
                <w:szCs w:val="18"/>
              </w:rPr>
              <w:t>[23] Liu, Xu &amp; Hu (</w:t>
            </w:r>
            <w:proofErr w:type="spellStart"/>
            <w:r>
              <w:rPr>
                <w:sz w:val="18"/>
                <w:szCs w:val="18"/>
              </w:rPr>
              <w:t>TrapManager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1A72A" w14:textId="77777777" w:rsidR="002D1B51" w:rsidRDefault="00000000">
            <w:r>
              <w:rPr>
                <w:sz w:val="18"/>
                <w:szCs w:val="18"/>
              </w:rPr>
              <w:t>Mathematics, vol. 14, no. 4, Art. 683 (Feb 2026); doi:10.3390/math14040683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6CE4C" w14:textId="77777777" w:rsidR="002D1B51" w:rsidRDefault="00000000">
            <w:r>
              <w:rPr>
                <w:sz w:val="18"/>
                <w:szCs w:val="18"/>
              </w:rPr>
              <w:t>MDPI journal</w:t>
            </w:r>
          </w:p>
        </w:tc>
      </w:tr>
      <w:tr w:rsidR="002D1B51" w14:paraId="7F74B26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D7820" w14:textId="77777777" w:rsidR="002D1B51" w:rsidRDefault="00000000">
            <w:r>
              <w:rPr>
                <w:sz w:val="18"/>
                <w:szCs w:val="18"/>
              </w:rPr>
              <w:t xml:space="preserve">[24] </w:t>
            </w:r>
            <w:proofErr w:type="spellStart"/>
            <w:r>
              <w:rPr>
                <w:sz w:val="18"/>
                <w:szCs w:val="18"/>
              </w:rPr>
              <w:t>Lacmou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Zeutouo</w:t>
            </w:r>
            <w:proofErr w:type="spellEnd"/>
            <w:r>
              <w:rPr>
                <w:sz w:val="18"/>
                <w:szCs w:val="18"/>
              </w:rPr>
              <w:t xml:space="preserve"> et al.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64F39" w14:textId="77777777" w:rsidR="002D1B51" w:rsidRDefault="00000000">
            <w:r>
              <w:rPr>
                <w:sz w:val="18"/>
                <w:szCs w:val="18"/>
              </w:rPr>
              <w:t>AISA’25, LNNS vol. 1851, Springer, 2026, pp. 49–58; doi:10.1007/978-3-032-18860-1_5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A1140" w14:textId="77777777" w:rsidR="002D1B51" w:rsidRDefault="00000000">
            <w:r>
              <w:rPr>
                <w:sz w:val="18"/>
                <w:szCs w:val="18"/>
              </w:rPr>
              <w:t>Springer proceedings</w:t>
            </w:r>
          </w:p>
        </w:tc>
      </w:tr>
      <w:tr w:rsidR="002D1B51" w14:paraId="030F07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CA6FB" w14:textId="77777777" w:rsidR="002D1B51" w:rsidRDefault="00000000">
            <w:r>
              <w:rPr>
                <w:sz w:val="18"/>
                <w:szCs w:val="18"/>
              </w:rPr>
              <w:t>[25] Zhang et al.</w:t>
            </w:r>
          </w:p>
        </w:tc>
        <w:tc>
          <w:tcPr>
            <w:tcW w:w="51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EC061" w14:textId="77777777" w:rsidR="002D1B51" w:rsidRDefault="00000000">
            <w:r>
              <w:rPr>
                <w:sz w:val="18"/>
                <w:szCs w:val="18"/>
              </w:rPr>
              <w:t>Modelling, vol. 7, no. 1, Art. 23 (Jan 2026); doi:10.3390/modelling7010023</w:t>
            </w:r>
          </w:p>
        </w:tc>
        <w:tc>
          <w:tcPr>
            <w:tcW w:w="19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710DF" w14:textId="77777777" w:rsidR="002D1B51" w:rsidRDefault="00000000">
            <w:r>
              <w:rPr>
                <w:sz w:val="18"/>
                <w:szCs w:val="18"/>
              </w:rPr>
              <w:t>MDPI journal</w:t>
            </w:r>
          </w:p>
        </w:tc>
      </w:tr>
    </w:tbl>
    <w:p w14:paraId="729A5825" w14:textId="77777777" w:rsidR="002D1B51" w:rsidRDefault="00000000">
      <w:pPr>
        <w:pStyle w:val="Heading2"/>
        <w:spacing w:before="240" w:after="120"/>
      </w:pPr>
      <w:r>
        <w:t>Already established vs. new (as now stated in Section 2)</w:t>
      </w:r>
    </w:p>
    <w:p w14:paraId="263469B9" w14:textId="77777777" w:rsidR="002D1B51" w:rsidRDefault="00000000">
      <w:pPr>
        <w:spacing w:after="120"/>
      </w:pPr>
      <w:r>
        <w:rPr>
          <w:b/>
          <w:bCs/>
        </w:rPr>
        <w:t xml:space="preserve">Already established, not claimed: </w:t>
      </w:r>
      <w:r>
        <w:t>attack-path and critical-path coverage and early interception [21, 23, 24]; exact MIP placement [21, 23]; several attacker types [21, 22]; re-optimization on alerts [21, 23, 25]; budget constraints [21, 23, 25] and single-placement critical-path coverage [23].</w:t>
      </w:r>
    </w:p>
    <w:p w14:paraId="43C8A65D" w14:textId="77777777" w:rsidR="002D1B51" w:rsidRDefault="00000000">
      <w:pPr>
        <w:spacing w:after="120"/>
      </w:pPr>
      <w:r>
        <w:rPr>
          <w:b/>
          <w:bCs/>
        </w:rPr>
        <w:t xml:space="preserve">New in ZSTP: </w:t>
      </w:r>
      <w:r>
        <w:t xml:space="preserve">(1) burn decided per decoy and per profile inside the optimization, whereas [23] assumes traps are not recognized and [21] treats entering a honeypot as detection without modeling recognition; (2) persona = role × fingerprint with hard identity rules C12/C14, whereas in [21, 23] a decoy is a location without a separate identity; (3) a multi-slot horizon with churn and minimum-frequency/maximum-gap rules (C8, C10a, C10b), whereas [21, 23] re-solve per round or alert; (4) a max–min objective with a DRAT proof accepted by an independent checker, whereas [21, 22] optimize expected payoff, [25] learns the deployment decision and [23] solves a single-attacker program. Results </w:t>
      </w:r>
      <w:r>
        <w:lastRenderedPageBreak/>
        <w:t>that depend on the combination (zero-burn infeasibility, +28.8% from fingerprint rotation, 33.1% worst-case loss of the medium-profile optimum) are noted as such.</w:t>
      </w:r>
    </w:p>
    <w:p w14:paraId="03A3148E" w14:textId="77777777" w:rsidR="002D1B51" w:rsidRDefault="00000000">
      <w:pPr>
        <w:pStyle w:val="Heading2"/>
        <w:spacing w:before="240" w:after="120"/>
      </w:pPr>
      <w:r>
        <w:t>Paper-by-paper comparison (Table 2b in the manuscript)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2D1B51" w14:paraId="6B397A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84C1A" w14:textId="77777777" w:rsidR="002D1B51" w:rsidRDefault="00000000">
            <w:r>
              <w:rPr>
                <w:b/>
                <w:bCs/>
                <w:sz w:val="18"/>
                <w:szCs w:val="18"/>
              </w:rPr>
              <w:t>2026 placement paper</w:t>
            </w:r>
          </w:p>
        </w:tc>
        <w:tc>
          <w:tcPr>
            <w:tcW w:w="3500" w:type="dxa"/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6C43FC" w14:textId="77777777" w:rsidR="002D1B51" w:rsidRDefault="00000000">
            <w:r>
              <w:rPr>
                <w:b/>
                <w:bCs/>
                <w:sz w:val="18"/>
                <w:szCs w:val="18"/>
              </w:rPr>
              <w:t>Already does (not claimed by ZSTP)</w:t>
            </w:r>
          </w:p>
        </w:tc>
        <w:tc>
          <w:tcPr>
            <w:tcW w:w="3860" w:type="dxa"/>
            <w:shd w:val="clear" w:color="auto" w:fill="E7ECF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8D969" w14:textId="77777777" w:rsidR="002D1B51" w:rsidRDefault="00000000">
            <w:r>
              <w:rPr>
                <w:b/>
                <w:bCs/>
                <w:sz w:val="18"/>
                <w:szCs w:val="18"/>
              </w:rPr>
              <w:t>What ZSTP adds (novel)</w:t>
            </w:r>
          </w:p>
        </w:tc>
      </w:tr>
      <w:tr w:rsidR="002D1B51" w14:paraId="71913C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19CF8" w14:textId="77777777" w:rsidR="002D1B51" w:rsidRDefault="00000000">
            <w:r>
              <w:rPr>
                <w:sz w:val="18"/>
                <w:szCs w:val="18"/>
              </w:rPr>
              <w:t>Park and Dagher [21]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F909E" w14:textId="77777777" w:rsidR="002D1B51" w:rsidRDefault="00000000">
            <w:r>
              <w:rPr>
                <w:sz w:val="18"/>
                <w:szCs w:val="18"/>
              </w:rPr>
              <w:t>Attack-graph placement against several attacker types; Bayesian Stackelberg game solved as a DOBSS-style MILP each round, with beliefs updated from IDS observations.</w:t>
            </w:r>
          </w:p>
        </w:tc>
        <w:tc>
          <w:tcPr>
            <w:tcW w:w="38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BAB8D" w14:textId="77777777" w:rsidR="002D1B51" w:rsidRDefault="00000000">
            <w:r>
              <w:rPr>
                <w:sz w:val="18"/>
                <w:szCs w:val="18"/>
              </w:rPr>
              <w:t>Per-decoy recognition (C9, C13); identity rules (C12, C14); inter-slot rules (C8, C10a, C10b) over a planning horizon; worst case over profiles with an independently checked proof instead of expected payoff under a prior.</w:t>
            </w:r>
          </w:p>
        </w:tc>
      </w:tr>
      <w:tr w:rsidR="002D1B51" w14:paraId="51C98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06E82" w14:textId="77777777" w:rsidR="002D1B51" w:rsidRDefault="00000000">
            <w:proofErr w:type="spellStart"/>
            <w:r>
              <w:rPr>
                <w:sz w:val="18"/>
                <w:szCs w:val="18"/>
              </w:rPr>
              <w:t>Voznyi</w:t>
            </w:r>
            <w:proofErr w:type="spellEnd"/>
            <w:r>
              <w:rPr>
                <w:sz w:val="18"/>
                <w:szCs w:val="18"/>
              </w:rPr>
              <w:t xml:space="preserve"> et al. [22]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C7194" w14:textId="77777777" w:rsidR="002D1B51" w:rsidRDefault="00000000">
            <w:r>
              <w:rPr>
                <w:sz w:val="18"/>
                <w:szCs w:val="18"/>
              </w:rPr>
              <w:t>Bayesian Stackelberg honeypot placement coupled with attacker-type inference.</w:t>
            </w:r>
          </w:p>
        </w:tc>
        <w:tc>
          <w:tcPr>
            <w:tcW w:w="38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E1A74" w14:textId="77777777" w:rsidR="002D1B51" w:rsidRDefault="00000000">
            <w:r>
              <w:rPr>
                <w:sz w:val="18"/>
                <w:szCs w:val="18"/>
              </w:rPr>
              <w:t>Worst case over profiles instead of expected payoff; per-decoy burn; decoy identity as a decision axis.</w:t>
            </w:r>
          </w:p>
        </w:tc>
      </w:tr>
      <w:tr w:rsidR="002D1B51" w14:paraId="75B93F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26D0C" w14:textId="77777777" w:rsidR="002D1B51" w:rsidRDefault="00000000">
            <w:r>
              <w:rPr>
                <w:sz w:val="18"/>
                <w:szCs w:val="18"/>
              </w:rPr>
              <w:t>Liu et al. [23] (</w:t>
            </w:r>
            <w:proofErr w:type="spellStart"/>
            <w:r>
              <w:rPr>
                <w:sz w:val="18"/>
                <w:szCs w:val="18"/>
              </w:rPr>
              <w:t>TrapManager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E2A72" w14:textId="77777777" w:rsidR="002D1B51" w:rsidRDefault="00000000">
            <w:r>
              <w:rPr>
                <w:sz w:val="18"/>
                <w:szCs w:val="18"/>
              </w:rPr>
              <w:t xml:space="preserve">Critical attack paths ranked by a graph attention network; budgeted MIP placement with mandatory </w:t>
            </w:r>
            <w:proofErr w:type="gramStart"/>
            <w:r>
              <w:rPr>
                <w:sz w:val="18"/>
                <w:szCs w:val="18"/>
              </w:rPr>
              <w:t>top-K</w:t>
            </w:r>
            <w:proofErr w:type="gramEnd"/>
            <w:r>
              <w:rPr>
                <w:sz w:val="18"/>
                <w:szCs w:val="18"/>
              </w:rPr>
              <w:t xml:space="preserve"> path coverage; re-solve when a trap fires; early interception.</w:t>
            </w:r>
          </w:p>
        </w:tc>
        <w:tc>
          <w:tcPr>
            <w:tcW w:w="38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F1D06" w14:textId="77777777" w:rsidR="002D1B51" w:rsidRDefault="00000000">
            <w:r>
              <w:rPr>
                <w:sz w:val="18"/>
                <w:szCs w:val="18"/>
              </w:rPr>
              <w:t>Recognition per decoy and profile (</w:t>
            </w:r>
            <w:proofErr w:type="spellStart"/>
            <w:r>
              <w:rPr>
                <w:sz w:val="18"/>
                <w:szCs w:val="18"/>
              </w:rPr>
              <w:t>TrapManager</w:t>
            </w:r>
            <w:proofErr w:type="spellEnd"/>
            <w:r>
              <w:rPr>
                <w:sz w:val="18"/>
                <w:szCs w:val="18"/>
              </w:rPr>
              <w:t xml:space="preserve"> assumes traps are not recognized); identity rules; minimum-frequency and maximum-gap coverage over several slots instead of single-placement coverage; several attacker profiles; optimality proof.</w:t>
            </w:r>
          </w:p>
        </w:tc>
      </w:tr>
      <w:tr w:rsidR="002D1B51" w14:paraId="6E122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BA876E" w14:textId="77777777" w:rsidR="002D1B51" w:rsidRDefault="00000000">
            <w:proofErr w:type="spellStart"/>
            <w:r>
              <w:rPr>
                <w:sz w:val="18"/>
                <w:szCs w:val="18"/>
              </w:rPr>
              <w:t>Lacmou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Zeutouo</w:t>
            </w:r>
            <w:proofErr w:type="spellEnd"/>
            <w:r>
              <w:rPr>
                <w:sz w:val="18"/>
                <w:szCs w:val="18"/>
              </w:rPr>
              <w:t xml:space="preserve"> et al. [24]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A6333" w14:textId="77777777" w:rsidR="002D1B51" w:rsidRDefault="00000000">
            <w:r>
              <w:rPr>
                <w:sz w:val="18"/>
                <w:szCs w:val="18"/>
              </w:rPr>
              <w:t>Weighted core attack graph that ranks and preserves attack paths for honeypot allocation against lateral movement.</w:t>
            </w:r>
          </w:p>
        </w:tc>
        <w:tc>
          <w:tcPr>
            <w:tcW w:w="38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C6602" w14:textId="77777777" w:rsidR="002D1B51" w:rsidRDefault="00000000">
            <w:r>
              <w:rPr>
                <w:sz w:val="18"/>
                <w:szCs w:val="18"/>
              </w:rPr>
              <w:t>Complementary: its reduced paths could populate Π; ZSTP adds the time, identity and burn structure and the certified schedule over those paths.</w:t>
            </w:r>
          </w:p>
        </w:tc>
      </w:tr>
      <w:tr w:rsidR="002D1B51" w14:paraId="4E7611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24E18" w14:textId="77777777" w:rsidR="002D1B51" w:rsidRDefault="00000000">
            <w:r>
              <w:rPr>
                <w:sz w:val="18"/>
                <w:szCs w:val="18"/>
              </w:rPr>
              <w:t>Zhang et al. [25]</w:t>
            </w:r>
          </w:p>
        </w:tc>
        <w:tc>
          <w:tcPr>
            <w:tcW w:w="350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ABCDF" w14:textId="77777777" w:rsidR="002D1B51" w:rsidRDefault="00000000">
            <w:r>
              <w:rPr>
                <w:sz w:val="18"/>
                <w:szCs w:val="18"/>
              </w:rPr>
              <w:t>Stackelberg game plus deep Q-learning to adjust software-defined honeypots under a budget.</w:t>
            </w:r>
          </w:p>
        </w:tc>
        <w:tc>
          <w:tcPr>
            <w:tcW w:w="38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C7BCB" w14:textId="77777777" w:rsidR="002D1B51" w:rsidRDefault="00000000">
            <w:r>
              <w:rPr>
                <w:sz w:val="18"/>
                <w:szCs w:val="18"/>
              </w:rPr>
              <w:t>Exact, certified optimum rather than a learned deployment decision; per-decoy burn; identity rules; inter-slot rules over a planning horizon.</w:t>
            </w:r>
          </w:p>
        </w:tc>
      </w:tr>
    </w:tbl>
    <w:p w14:paraId="227EFEC4" w14:textId="77777777" w:rsidR="002D1B51" w:rsidRDefault="00000000">
      <w:pPr>
        <w:pStyle w:val="Heading2"/>
        <w:spacing w:before="240" w:after="120"/>
      </w:pPr>
      <w:r>
        <w:t>Changes in the manuscript</w:t>
      </w:r>
    </w:p>
    <w:p w14:paraId="7D0056E1" w14:textId="77777777" w:rsidR="002D1B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Abstract: </w:t>
      </w:r>
      <w:r>
        <w:t>acknowledges the 2026 attack-path placement work and narrows the novelty statement to per-decoy burn, identity and the certified worst case.</w:t>
      </w:r>
    </w:p>
    <w:p w14:paraId="1111DFFD" w14:textId="77777777" w:rsidR="002D1B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Section 1: </w:t>
      </w:r>
      <w:r>
        <w:t>the paragraph on prior work now covers the 2026 placement papers [21]</w:t>
      </w:r>
      <w:proofErr w:type="gramStart"/>
      <w:r>
        <w:t>–[</w:t>
      </w:r>
      <w:proofErr w:type="gramEnd"/>
      <w:r>
        <w:t xml:space="preserve">25] and states which aspects are not claimed; contributions 1, 2, 3 and 5 each state what is prior work and what is new; the claim “first </w:t>
      </w:r>
      <w:proofErr w:type="spellStart"/>
      <w:r>
        <w:t>MaxSAT</w:t>
      </w:r>
      <w:proofErr w:type="spellEnd"/>
      <w:r>
        <w:t>/RC2 formulation” has been removed.</w:t>
      </w:r>
    </w:p>
    <w:p w14:paraId="75CAB61D" w14:textId="77777777" w:rsidR="002D1B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Section 2: </w:t>
      </w:r>
      <w:r>
        <w:t>opens with a short background paragraph crediting the foundational honeypot work [3, 4, 8, 11, 12, 13, 18, 19, 20], kept separate from the comparison; then rewritten around the five 2026 placement papers: a description of each, Table 2a (positioning, including an attack-path column), an explicit list of what already exists and what is new, Table 2b (paper-by-paper comparison), and a positioning paragraph explaining why the approaches are complementary.</w:t>
      </w:r>
    </w:p>
    <w:p w14:paraId="7CB96221" w14:textId="77777777" w:rsidR="002D1B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Sections 6.1, 7.8 and 8: </w:t>
      </w:r>
      <w:r>
        <w:t>alert-driven re-optimization is credited to [21, 23]; the threats to validity explain why [21, 23] are not re-implemented as baselines; the conclusion restates the contribution relative to the 2026 work.</w:t>
      </w:r>
    </w:p>
    <w:p w14:paraId="6EF685E5" w14:textId="77777777" w:rsidR="002D1B5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References: </w:t>
      </w:r>
      <w:r>
        <w:t>the five 2026 placement papers [21]</w:t>
      </w:r>
      <w:proofErr w:type="gramStart"/>
      <w:r>
        <w:t>–[</w:t>
      </w:r>
      <w:proofErr w:type="gramEnd"/>
      <w:r>
        <w:t>25] are added; foundational honeypot references are kept for the background paragraph only; the CPS runtime-enforcement reference, no longer cited, was removed and all citations renumbered. No experimental number in the paper has changed.</w:t>
      </w:r>
    </w:p>
    <w:sectPr w:rsidR="002D1B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EE4C32"/>
    <w:multiLevelType w:val="hybridMultilevel"/>
    <w:tmpl w:val="B4222F20"/>
    <w:lvl w:ilvl="0" w:tplc="6C72BDB2">
      <w:start w:val="1"/>
      <w:numFmt w:val="bullet"/>
      <w:lvlText w:val="•"/>
      <w:lvlJc w:val="left"/>
      <w:pPr>
        <w:ind w:left="540" w:hanging="270"/>
      </w:pPr>
    </w:lvl>
    <w:lvl w:ilvl="1" w:tplc="DBD29FEC">
      <w:numFmt w:val="decimal"/>
      <w:lvlText w:val=""/>
      <w:lvlJc w:val="left"/>
    </w:lvl>
    <w:lvl w:ilvl="2" w:tplc="A358CE18">
      <w:numFmt w:val="decimal"/>
      <w:lvlText w:val=""/>
      <w:lvlJc w:val="left"/>
    </w:lvl>
    <w:lvl w:ilvl="3" w:tplc="0B74D542">
      <w:numFmt w:val="decimal"/>
      <w:lvlText w:val=""/>
      <w:lvlJc w:val="left"/>
    </w:lvl>
    <w:lvl w:ilvl="4" w:tplc="CCF21812">
      <w:numFmt w:val="decimal"/>
      <w:lvlText w:val=""/>
      <w:lvlJc w:val="left"/>
    </w:lvl>
    <w:lvl w:ilvl="5" w:tplc="EBFCEA50">
      <w:numFmt w:val="decimal"/>
      <w:lvlText w:val=""/>
      <w:lvlJc w:val="left"/>
    </w:lvl>
    <w:lvl w:ilvl="6" w:tplc="AEEC1BA0">
      <w:numFmt w:val="decimal"/>
      <w:lvlText w:val=""/>
      <w:lvlJc w:val="left"/>
    </w:lvl>
    <w:lvl w:ilvl="7" w:tplc="30082B16">
      <w:numFmt w:val="decimal"/>
      <w:lvlText w:val=""/>
      <w:lvlJc w:val="left"/>
    </w:lvl>
    <w:lvl w:ilvl="8" w:tplc="756072F8">
      <w:numFmt w:val="decimal"/>
      <w:lvlText w:val=""/>
      <w:lvlJc w:val="left"/>
    </w:lvl>
  </w:abstractNum>
  <w:abstractNum w:abstractNumId="1" w15:restartNumberingAfterBreak="0">
    <w:nsid w:val="71F46CF2"/>
    <w:multiLevelType w:val="hybridMultilevel"/>
    <w:tmpl w:val="ABBA870C"/>
    <w:lvl w:ilvl="0" w:tplc="7CE60368">
      <w:start w:val="1"/>
      <w:numFmt w:val="bullet"/>
      <w:lvlText w:val="●"/>
      <w:lvlJc w:val="left"/>
      <w:pPr>
        <w:ind w:left="720" w:hanging="360"/>
      </w:pPr>
    </w:lvl>
    <w:lvl w:ilvl="1" w:tplc="1B0274B0">
      <w:start w:val="1"/>
      <w:numFmt w:val="bullet"/>
      <w:lvlText w:val="○"/>
      <w:lvlJc w:val="left"/>
      <w:pPr>
        <w:ind w:left="1440" w:hanging="360"/>
      </w:pPr>
    </w:lvl>
    <w:lvl w:ilvl="2" w:tplc="25B05E7E">
      <w:start w:val="1"/>
      <w:numFmt w:val="bullet"/>
      <w:lvlText w:val="■"/>
      <w:lvlJc w:val="left"/>
      <w:pPr>
        <w:ind w:left="2160" w:hanging="360"/>
      </w:pPr>
    </w:lvl>
    <w:lvl w:ilvl="3" w:tplc="7034EF70">
      <w:start w:val="1"/>
      <w:numFmt w:val="bullet"/>
      <w:lvlText w:val="●"/>
      <w:lvlJc w:val="left"/>
      <w:pPr>
        <w:ind w:left="2880" w:hanging="360"/>
      </w:pPr>
    </w:lvl>
    <w:lvl w:ilvl="4" w:tplc="4C3E5E08">
      <w:start w:val="1"/>
      <w:numFmt w:val="bullet"/>
      <w:lvlText w:val="○"/>
      <w:lvlJc w:val="left"/>
      <w:pPr>
        <w:ind w:left="3600" w:hanging="360"/>
      </w:pPr>
    </w:lvl>
    <w:lvl w:ilvl="5" w:tplc="D35E6990">
      <w:start w:val="1"/>
      <w:numFmt w:val="bullet"/>
      <w:lvlText w:val="■"/>
      <w:lvlJc w:val="left"/>
      <w:pPr>
        <w:ind w:left="4320" w:hanging="360"/>
      </w:pPr>
    </w:lvl>
    <w:lvl w:ilvl="6" w:tplc="1EC6E0EA">
      <w:start w:val="1"/>
      <w:numFmt w:val="bullet"/>
      <w:lvlText w:val="●"/>
      <w:lvlJc w:val="left"/>
      <w:pPr>
        <w:ind w:left="5040" w:hanging="360"/>
      </w:pPr>
    </w:lvl>
    <w:lvl w:ilvl="7" w:tplc="EF8ED22E">
      <w:start w:val="1"/>
      <w:numFmt w:val="bullet"/>
      <w:lvlText w:val="●"/>
      <w:lvlJc w:val="left"/>
      <w:pPr>
        <w:ind w:left="5760" w:hanging="360"/>
      </w:pPr>
    </w:lvl>
    <w:lvl w:ilvl="8" w:tplc="BE96011A">
      <w:start w:val="1"/>
      <w:numFmt w:val="bullet"/>
      <w:lvlText w:val="●"/>
      <w:lvlJc w:val="left"/>
      <w:pPr>
        <w:ind w:left="6480" w:hanging="360"/>
      </w:pPr>
    </w:lvl>
  </w:abstractNum>
  <w:num w:numId="1" w16cid:durableId="1067385929">
    <w:abstractNumId w:val="1"/>
    <w:lvlOverride w:ilvl="0">
      <w:startOverride w:val="1"/>
    </w:lvlOverride>
  </w:num>
  <w:num w:numId="2" w16cid:durableId="1019352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B51"/>
    <w:rsid w:val="002D1B51"/>
    <w:rsid w:val="005071EC"/>
    <w:rsid w:val="008B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C92C4"/>
  <w15:docId w15:val="{B4DA840A-4617-6D4D-AB34-12D15F6EB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918</Words>
  <Characters>5403</Characters>
  <Application>Microsoft Office Word</Application>
  <DocSecurity>0</DocSecurity>
  <Lines>120</Lines>
  <Paragraphs>53</Paragraphs>
  <ScaleCrop>false</ScaleCrop>
  <Company/>
  <LinksUpToDate>false</LinksUpToDate>
  <CharactersWithSpaces>6268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Nguyen, Tu</cp:lastModifiedBy>
  <cp:revision>2</cp:revision>
  <dcterms:created xsi:type="dcterms:W3CDTF">2026-10-17T23:24:00Z</dcterms:created>
  <dcterms:modified xsi:type="dcterms:W3CDTF">2026-10-17T23:27:00Z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2026-10-17T23:25:41Z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acce6310-afd9-43d7-9dc1-0c1cf3e69994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