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513988">
      <w:r>
        <w:rPr>
          <w:noProof/>
        </w:rPr>
      </w:r>
      <w:r>
        <w:pict w14:anchorId="1A5115DB">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C7493" w14:textId="77777777" w:rsidR="00BB174B" w:rsidRDefault="00000000">
      <w:pPr>
        <w:pStyle w:val="Heading2"/>
      </w:pPr>
      <w:bookmarkStart w:id="1" w:name="abstract"/>
      <w:r>
        <w:t>Abstract</w:t>
      </w:r>
    </w:p>
    <w:p w14:paraId="319102FF" w14:textId="77777777" w:rsidR="00BB174B" w:rsidRDefault="00000000">
      <w:pPr>
        <w:pStyle w:val="FirstParagraph"/>
      </w:pPr>
      <w:r>
        <w:rPr/>
        <w:t>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To our knowledge, no prior approach jointly enforces the operational hard constraints, models type and identity burn for several attacker profiles, and certifies the worst case over those profiles.</w:t>
      </w:r>
    </w:p>
    <w:p w14:paraId="232CB114" w14:textId="77777777" w:rsidR="00BB174B" w:rsidRDefault="00000000">
      <w:pPr>
        <w:pStyle w:val="BodyText"/>
      </w:pPr>
      <w:r>
        <w:rPr/>
        <w:t>We present ZSTP, a honeypot scheduling framework over five dimensions — four deployment decisions and the attacker profile —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weighted soft clauses the detection objective. ZSTP uses two exact procedures: a four-pass tier-lexicographic RC2 procedure for the medium-attacker objective (Q-med), and a SAT-based max–min search for the worst-case objective r*, which emits a machine-checkable optimality certificate that is verified independently (Table 9).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rPr/>
        <w:t>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in the model scores higher than every baseline under all four profiles (1.46× the best baseline's worst case as produced and 1.80× after the baselines are repaired to follow every rule). Heuristics that optimize the worst case directly come closer but cannot certify it: a robust local search reaches r* in 1 of 11 restarts with no way to tell which, and giving each role two fingerprints lets the schedule rotate identities and raises r* by 28.8%. Under L2 process emulation with real TCP sockets and STIX 2.1 bundles, a deterministic replay reproduces every model score exactly, and with common random numbers the max–min schedule has a significantly higher emulated worst-profile score than 20 of the 22 other schedules (paired bootstrap, 95%). A validation suite — an exhaustive test of the adder encoding, a two-directional encoding-versus-checker test on 1,635 independently drawn schedules, CP-SAT cross-checks, exhaustive enumeration of a small instance, and independent verification of four optimality certificates — finds no disagreement. The certificate proves optimality for the encoded model and the four modeled attacker profiles on this instance; it is not a claim of real-world security.</w:t>
      </w:r>
    </w:p>
    <w:p w14:paraId="71435FBA" w14:textId="77777777" w:rsidR="00BB174B" w:rsidRDefault="00513988">
      <w:r>
        <w:rPr>
          <w:noProof/>
        </w:rPr>
      </w:r>
      <w:r>
        <w:pict w14:anchorId="37B2D4C0">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rP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7777777" w:rsidR="00BB174B" w:rsidRDefault="00000000">
      <w:pPr>
        <w:pStyle w:val="BodyText"/>
      </w:pPr>
      <w:r>
        <w:rPr/>
        <w:t xml:space="preserve">The problem decomposes into two layers. A </w:t>
      </w:r>
      <w:r>
        <w:rPr>
          <w:i/>
        </w:rPr>
        <w:t>hard constraint layer</w:t>
      </w:r>
      <w:r>
        <w:rPr/>
        <w:t xml:space="preserve"> governs decisions that must never be violated: budget ceilings, air-gap isolation [10], mimicry plausibility, and identity non-collision. A </w:t>
      </w:r>
      <w:r>
        <w:rPr>
          <w:i/>
        </w:rPr>
        <w:t>soft objective layer</w:t>
      </w:r>
      <w:r>
        <w:rP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14:paraId="5AE3E3B0" w14:textId="77777777" w:rsidR="00BB174B" w:rsidRDefault="00000000">
      <w:pPr>
        <w:pStyle w:val="BodyText"/>
      </w:pPr>
      <w:r>
        <w:rPr/>
        <w:t>Three research lines each address part of this challenge. Game-theoretic approaches [8, 11, 20] model attacker–defender interaction but abstract away the operational constraints that make a schedule deployable. Reinforcement-learning methods [12, 13] adapt online but return a learned policy without a worst-case certificate and without encoding burn state. Practical deployments [3, 4] and adaptive honeypots [21] rely on hand-set or heuristic placement, which cannot simultaneously enforce all hard constraints, model burn, and certify a worst-case value.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rPr/>
        <w:t>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proof, checked by an independent proof checker (Table 9),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rP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14:paraId="784A200F" w14:textId="77777777" w:rsidR="00BB174B" w:rsidRDefault="00000000">
      <w:pPr>
        <w:numPr>
          <w:ilvl w:val="0"/>
          <w:numId w:val="12"/>
        </w:numPr>
      </w:pPr>
      <w:r>
        <w:rPr>
          <w:b/>
        </w:rPr>
        <w:t>To our knowledge, the first MaxSAT/RC2 formulation</w:t>
      </w:r>
      <w:r>
        <w:rPr/>
        <w:t xml:space="preserve"> of honeypot placement jointly indexed over type × zone × time × persona, with burn state encoded for each attacker profile and NP-hardness established by reduction from Maximum k-Coverage [7].</w:t>
      </w:r>
    </w:p>
    <w:p w14:paraId="4EBCE7D1" w14:textId="77777777" w:rsidR="00BB174B" w:rsidRDefault="00000000">
      <w:pPr>
        <w:numPr>
          <w:ilvl w:val="0"/>
          <w:numId w:val="12"/>
        </w:numPr>
      </w:pPr>
      <w:r>
        <w:rPr>
          <w:b/>
        </w:rPr>
        <w:t>A hard constraint layer covering budgets, isolation, plausibility, churn, path persistence and identity, and six-tier soft objective</w:t>
      </w:r>
      <w:r>
        <w:rPr/>
        <w:t xml:space="preserve"> with an auditable prevention-vs-forensics weight ratio, and a threat-adaptive threshold update (U11), applied before each solve, whose burn thresholds tighten as attack frequency rises.</w:t>
      </w:r>
    </w:p>
    <w:p w14:paraId="40162D3E" w14:textId="77777777" w:rsidR="00BB174B" w:rsidRDefault="00000000">
      <w:pPr>
        <w:numPr>
          <w:ilvl w:val="0"/>
          <w:numId w:val="12"/>
        </w:numPr>
      </w:pPr>
      <w:r>
        <w:rPr>
          <w:b/>
        </w:rPr>
        <w:t>A certified robust objective</w:t>
      </w:r>
      <w:r>
        <w:rPr/>
        <w:t xml:space="preserve"> r* = max_x min_{θ∈Θ} Q_θ(x), computed exactly by a SAT-based threshold search over adder-encoded scores, with an independently verified optimality certificate; on the test instance r* = 7,052.62.</w:t>
      </w:r>
    </w:p>
    <w:p w14:paraId="2DD28814" w14:textId="77777777" w:rsidR="00BB174B" w:rsidRDefault="00000000">
      <w:pPr>
        <w:numPr>
          <w:ilvl w:val="0"/>
          <w:numId w:val="12"/>
        </w:numPr>
      </w:pPr>
      <w:r>
        <w:rPr>
          <w:b/>
        </w:rPr>
        <w:t>L2 process-emulation validation</w:t>
      </w:r>
      <w:r>
        <w:rPr/>
        <w:t xml:space="preserve"> — real TCP honeypot sockets, Bernoulli-driven attacker connection trials, STIX 2.1 bundles from observed traffic — against ten baseline solvers and two worst-case-optimizing heuristics, with a scaling study, with every reported number traced to a run ID in one results file, an independent CP-SAT cross-check, exhaustive enumeration of a small instance, a reproducible validation test suite with paired statistics for the emulation, and full transparency on the trade-offs the robust schedule accepts.</w:t>
      </w:r>
    </w:p>
    <w:p w14:paraId="00BB37F8" w14:textId="77777777" w:rsidR="00BB174B" w:rsidRDefault="00000000">
      <w:pPr>
        <w:numPr>
          <w:ilvl w:val="0"/>
          <w:numId w:val="12"/>
        </w:numPr>
      </w:pPr>
      <w:r>
        <w:rPr>
          <w:b/>
        </w:rPr>
        <w:t>Three architectural refinements</w:t>
      </w:r>
      <w:r>
        <w:rPr/>
        <w:t xml:space="preserve"> that each resolve a specific limitation of prior methods: the persona decomposition P ⊆ R̂ × F, with at most |F| simultaneous honeypots per slot, which lets a role rotate fingerprints (+28.8% in r* with two fingerprints per role); the C10a/C10b path-constraint split; and the four-pass tier-lexicographic MaxSAT procedure with hard floors.</w:t>
      </w:r>
    </w:p>
    <w:p>
      <w:pPr>
        <w:pStyle w:val="BodyText"/>
      </w:pPr>
      <w:r>
        <w:rPr>
          <w:b/>
          <w:bCs/>
        </w:rPr>
        <w:t xml:space="preserve">How the contributions fit together.</w:t>
      </w:r>
      <w:r>
        <w:rPr/>
        <w:t xml:space="preserve"> The five contributions form a layered hierarchy (Figure 1, Table 1), and Section 3.5 maps each of them onto a concrete utility network. C1 defines the decision space: one Boolean per (trap type, zone, slot, persona), together with derived burn and credit variables for each attacker profile. C2 populates that space with the hard constraint layer — rules that may never be violated — and the soft objective that defines what a schedule is worth, and specifies how threat intelligence updates both before each solve (U11). C3 is the solution concept built on C1 and C2: the schedule whose worst score over the modeled attacker profiles is highest, returned with a checkable optimality certificate. C4 validates C3’s output against an independent rule checker, an independent solver, exhaustive enumeration of a small instance and a process-level emulation. C5 collects three refinements on which the other layers rely: the persona decomposition refines the identity axis of C1 and raises r*; the C10a/C10b split belongs to the rule layer of C2 and is central to the zero-burn infeasibility result of Section 4.2; and the four-pass procedure enforces the tier order of C2.</w:t>
      </w:r>
    </w:p>
    <w:p>
      <w:pPr>
        <w:pStyle w:val="BodyText"/>
      </w:pPr>
      <w:r>
        <w:rPr>
          <w:b/>
          <w:bCs/>
        </w:rPr>
        <w:t xml:space="preserve">The two ways a decoy is recognized.</w:t>
      </w:r>
      <w:r>
        <w:rPr/>
        <w:t xml:space="preserve"> A decoy is useful only until the attacker recognizes it, and recognition has a spatial and a temporal side. </w:t>
      </w:r>
      <w:r>
        <w:rPr>
          <w:i/>
          <w:iCs/>
        </w:rPr>
        <w:t xml:space="preserve">Spatially</w:t>
      </w:r>
      <w:r>
        <w:rPr/>
        <w:t xml:space="preserve">, an attacker compares what it observes in different zones at the same time: an identity that answers in two zones at once, or a role that does not belong in the zone where it appears. </w:t>
      </w:r>
      <w:r>
        <w:rPr>
          <w:i/>
          <w:iCs/>
        </w:rPr>
        <w:t xml:space="preserve">Temporally</w:t>
      </w:r>
      <w:r>
        <w:rPr/>
        <w:t xml:space="preserve">, it compares what it observes in consecutive slots: the same trap type left in the same zone, or the same identity reused. Figure 2 illustrates both. ZSTP therefore decides </w:t>
      </w:r>
      <w:r>
        <w:rPr>
          <w:i/>
          <w:iCs/>
        </w:rPr>
        <w:t xml:space="preserve">where</w:t>
      </w:r>
      <w:r>
        <w:rPr/>
        <w:t xml:space="preserve"> (zone), </w:t>
      </w:r>
      <w:r>
        <w:rPr>
          <w:i/>
          <w:iCs/>
        </w:rPr>
        <w:t xml:space="preserve">when</w:t>
      </w:r>
      <w:r>
        <w:rPr/>
        <w:t xml:space="preserve"> (slot) and </w:t>
      </w:r>
      <w:r>
        <w:rPr>
          <w:i/>
          <w:iCs/>
        </w:rPr>
        <w:t xml:space="preserve">as whom</w:t>
      </w:r>
      <w:r>
        <w:rPr/>
        <w:t xml:space="preserve"> (persona) jointly rather than one axis at a time. Table 1 gives, for each contribution, a plain-language statement, what it builds on and feeds, and its spatial and temporal role; a small running example (Section 3.5) applies each contribution to one corridor of the network and is revisited at the end of Sections 4–7.</w:t>
      </w:r>
    </w:p>
    <w:p>
      <w:pPr>
        <w:pStyle w:val="CaptionedFigure"/>
        <w:keepNext/>
        <w:jc w:val="center"/>
      </w:pPr>
      <w:r>
        <w:drawing>
          <wp:inline distT="0" distB="0" distL="0" distR="0">
            <wp:extent cx="5943600" cy="3230456"/>
            <wp:docPr id="9000" name="Figure 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structure.png"/>
                    <pic:cNvPicPr/>
                  </pic:nvPicPr>
                  <pic:blipFill>
                    <a:blip r:embed="rIdFig0"/>
                    <a:stretch>
                      <a:fillRect/>
                    </a:stretch>
                  </pic:blipFill>
                  <pic:spPr>
                    <a:xfrm>
                      <a:off x="0" y="0"/>
                      <a:ext cx="5943600" cy="3230456"/>
                    </a:xfrm>
                    <a:prstGeom prst="rect">
                      <a:avLst/>
                    </a:prstGeom>
                  </pic:spPr>
                </pic:pic>
              </a:graphicData>
            </a:graphic>
          </wp:inline>
        </w:drawing>
      </w:r>
    </w:p>
    <w:p>
      <w:pPr>
        <w:pStyle w:val="ImageCaption"/>
      </w:pPr>
      <w:r>
        <w:rPr>
          <w:b/>
          <w:bCs/>
        </w:rPr>
        <w:t xml:space="preserve">Figure 1.</w:t>
      </w:r>
      <w:r>
        <w:t xml:space="preserve"> Structure of ZSTP. Solid arrows show dependencies between the contributions: C1 defines the decision space, C2 the rules and objective over it, and C3 the certified worst-case solution, which C4 validates; the refinements of C5 act on C1–C3. Each box lists its spatial (where) and temporal (when) role. The dashed arrow is the threat-adaptive loop of Section 6.</w:t>
      </w:r>
    </w:p>
    <w:p>
      <w:pPr>
        <w:pStyle w:val="CaptionedFigure"/>
        <w:keepNext/>
        <w:jc w:val="center"/>
      </w:pPr>
      <w:r>
        <w:drawing>
          <wp:inline distT="0" distB="0" distL="0" distR="0">
            <wp:extent cx="5943600" cy="2190024"/>
            <wp:docPr id="9102" name="Fig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gnition.png"/>
                    <pic:cNvPicPr/>
                  </pic:nvPicPr>
                  <pic:blipFill>
                    <a:blip r:embed="rIdN9102"/>
                    <a:stretch>
                      <a:fillRect/>
                    </a:stretch>
                  </pic:blipFill>
                  <pic:spPr>
                    <a:xfrm>
                      <a:off x="0" y="0"/>
                      <a:ext cx="5943600" cy="2190024"/>
                    </a:xfrm>
                    <a:prstGeom prst="rect">
                      <a:avLst/>
                    </a:prstGeom>
                  </pic:spPr>
                </pic:pic>
              </a:graphicData>
            </a:graphic>
          </wp:inline>
        </w:drawing>
      </w:r>
    </w:p>
    <w:p>
      <w:pPr>
        <w:pStyle w:val="ImageCaption"/>
      </w:pPr>
      <w:r>
        <w:rPr>
          <w:b/>
          <w:bCs/>
        </w:rPr>
        <w:t xml:space="preserve">Figure 2.</w:t>
      </w:r>
      <w:r>
        <w:t xml:space="preserve"> How an attacker recognizes a decoy. (a) Space: the same identity in two zones in the same slot would unmask both decoys, so rules C12 and C14 forbid it outright. (b) Time: on the running example (Section 3.5), a deployment is recognized by θ_burst when the same type stood in the same zone in the slot before (C9) or when its fingerprint was seen in the slot before, in any zone (C13); green cells marked ✓ still earn credit, grey hatched cells marked ✗ do not. In plain terms: a decoy is unmasked by being seen in two places at once, or in the same place or under the same name again</w:t>
      </w:r>
    </w:p>
    <w:p>
      <w:pPr>
        <w:pStyle w:val="BodyText"/>
        <w:keepNext/>
      </w:pPr>
      <w:r>
        <w:rPr>
          <w:b/>
          <w:bCs/>
        </w:rPr>
        <w:t>Table 1.</w:t>
      </w:r>
      <w:r>
        <w:t xml:space="preserve"> The contributions at a glance: plain-language summary, dependencies, and spatial and temporal role.</w:t>
      </w:r>
    </w:p>
    <w:tbl>
      <w:tblPr>
        <w:tblStyle w:val="Table"/>
        <w:tblW w:w="5000" w:type="pct"/>
        <w:tblLook w:val="0020" w:firstRow="1" w:lastRow="0" w:firstColumn="0" w:lastColumn="0" w:noHBand="0" w:noVBand="0"/>
      </w:tblPr>
      <w:tblGrid>
        <w:gridCol w:w="1750"/>
        <w:gridCol w:w="2750"/>
        <w:gridCol w:w="1450"/>
        <w:gridCol w:w="1813"/>
        <w:gridCol w:w="1813"/>
      </w:tblGrid>
      <w:tr>
        <w:trPr>
          <w:cnfStyle w:val="100000000000" w:firstRow="1" w:lastRow="0" w:firstColumn="0" w:lastColumn="0" w:oddVBand="0" w:evenVBand="0" w:oddHBand="0" w:evenHBand="0" w:firstRowFirstColumn="0" w:firstRowLastColumn="0" w:lastRowFirstColumn="0" w:lastRowLastColumn="0"/>
          <w:tblHeader/>
        </w:trPr>
        <w:tc>
          <w:tcPr>
            <w:tcW w:w="1750" w:type="dxa"/>
          </w:tcPr>
          <w:p>
            <w:pPr>
              <w:pStyle w:val="Compact"/>
            </w:pPr>
            <w:r>
              <w:rPr>
                <w:b/>
                <w:bCs/>
              </w:rPr>
              <w:t xml:space="preserve">Contribution</w:t>
            </w:r>
          </w:p>
        </w:tc>
        <w:tc>
          <w:tcPr>
            <w:tcW w:w="2750" w:type="dxa"/>
          </w:tcPr>
          <w:p>
            <w:pPr>
              <w:pStyle w:val="Compact"/>
            </w:pPr>
            <w:r>
              <w:rPr>
                <w:b/>
                <w:bCs/>
              </w:rPr>
              <w:t xml:space="preserve">In plain terms</w:t>
            </w:r>
          </w:p>
        </w:tc>
        <w:tc>
          <w:tcPr>
            <w:tcW w:w="1450" w:type="dxa"/>
          </w:tcPr>
          <w:p>
            <w:pPr>
              <w:pStyle w:val="Compact"/>
            </w:pPr>
            <w:r>
              <w:rPr>
                <w:b/>
                <w:bCs/>
              </w:rPr>
              <w:t xml:space="preserve">Builds on → feeds</w:t>
            </w:r>
          </w:p>
        </w:tc>
        <w:tc>
          <w:tcPr>
            <w:tcW w:w="1813" w:type="dxa"/>
          </w:tcPr>
          <w:p>
            <w:pPr>
              <w:pStyle w:val="Compact"/>
            </w:pPr>
            <w:r>
              <w:rPr>
                <w:b/>
                <w:bCs/>
              </w:rPr>
              <w:t xml:space="preserve">Spatial role (where)</w:t>
            </w:r>
          </w:p>
        </w:tc>
        <w:tc>
          <w:tcPr>
            <w:tcW w:w="1813" w:type="dxa"/>
          </w:tcPr>
          <w:p>
            <w:pPr>
              <w:pStyle w:val="Compact"/>
            </w:pPr>
            <w:r>
              <w:rPr>
                <w:b/>
                <w:bCs/>
              </w:rPr>
              <w:t xml:space="preserve">Temporal role (when)</w:t>
            </w:r>
          </w:p>
        </w:tc>
      </w:tr>
      <w:tr>
        <w:trPr>
          <w:cantSplit/>
        </w:trPr>
        <w:tc>
          <w:tcPr>
            <w:tcW w:w="1750" w:type="dxa"/>
          </w:tcPr>
          <w:p>
            <w:pPr>
              <w:pStyle w:val="Compact"/>
            </w:pPr>
            <w:r>
              <w:rPr>
                <w:b/>
                <w:bCs/>
              </w:rPr>
              <w:t xml:space="preserve">C1</w:t>
            </w:r>
            <w:r>
              <w:rPr/>
              <w:t xml:space="preserve"> Formulation</w:t>
            </w:r>
          </w:p>
        </w:tc>
        <w:tc>
          <w:tcPr>
            <w:tcW w:w="2750" w:type="dxa"/>
          </w:tcPr>
          <w:p>
            <w:pPr>
              <w:pStyle w:val="Compact"/>
            </w:pPr>
            <w:r>
              <w:rPr/>
              <w:t xml:space="preserve">Writes every deployment choice — what, where, when, as whom — as one Boolean, so that rules, burn and scores are evaluated jointly rather than one axis at a time.</w:t>
            </w:r>
          </w:p>
        </w:tc>
        <w:tc>
          <w:tcPr>
            <w:tcW w:w="1450" w:type="dxa"/>
          </w:tcPr>
          <w:p>
            <w:pPr>
              <w:pStyle w:val="Compact"/>
            </w:pPr>
            <w:r>
              <w:rPr/>
              <w:t xml:space="preserve">— → C2, C3, C5(a)</w:t>
            </w:r>
          </w:p>
        </w:tc>
        <w:tc>
          <w:tcPr>
            <w:tcW w:w="1813" w:type="dxa"/>
          </w:tcPr>
          <w:p>
            <w:pPr>
              <w:pStyle w:val="Compact"/>
            </w:pPr>
            <w:r>
              <w:rPr/>
              <w:t xml:space="preserve">Zone index z; budgets, air gap and attack paths are indexed by zone</w:t>
            </w:r>
          </w:p>
        </w:tc>
        <w:tc>
          <w:tcPr>
            <w:tcW w:w="1813" w:type="dxa"/>
          </w:tcPr>
          <w:p>
            <w:pPr>
              <w:pStyle w:val="Compact"/>
            </w:pPr>
            <w:r>
              <w:rPr/>
              <w:t xml:space="preserve">Slot index t; burn looks back τ_d or τ_dp slots</w:t>
            </w:r>
          </w:p>
        </w:tc>
      </w:tr>
      <w:tr>
        <w:trPr>
          <w:cantSplit/>
        </w:trPr>
        <w:tc>
          <w:tcPr>
            <w:tcW w:w="1750" w:type="dxa"/>
          </w:tcPr>
          <w:p>
            <w:pPr>
              <w:pStyle w:val="Compact"/>
            </w:pPr>
            <w:r>
              <w:rPr>
                <w:b/>
                <w:bCs/>
              </w:rPr>
              <w:t xml:space="preserve">C2</w:t>
            </w:r>
            <w:r>
              <w:rPr/>
              <w:t xml:space="preserve"> Constraint and objective layer</w:t>
            </w:r>
          </w:p>
        </w:tc>
        <w:tc>
          <w:tcPr>
            <w:tcW w:w="2750" w:type="dxa"/>
          </w:tcPr>
          <w:p>
            <w:pPr>
              <w:pStyle w:val="Compact"/>
            </w:pPr>
            <w:r>
              <w:rPr/>
              <w:t xml:space="preserve">Separates what may never happen (hard rules) from what should be maximized (six weighted terms in four priority levels), and shortens recognition thresholds as attack frequency rises (U11).</w:t>
            </w:r>
          </w:p>
        </w:tc>
        <w:tc>
          <w:tcPr>
            <w:tcW w:w="1450" w:type="dxa"/>
          </w:tcPr>
          <w:p>
            <w:pPr>
              <w:pStyle w:val="Compact"/>
            </w:pPr>
            <w:r>
              <w:rPr/>
              <w:t xml:space="preserve">C1 → C3; contains C5(b), C5(c)</w:t>
            </w:r>
          </w:p>
        </w:tc>
        <w:tc>
          <w:tcPr>
            <w:tcW w:w="1813" w:type="dxa"/>
          </w:tcPr>
          <w:p>
            <w:pPr>
              <w:pStyle w:val="Compact"/>
            </w:pPr>
            <w:r>
              <w:rPr/>
              <w:t xml:space="preserve">C3–C5b, C12, C14 restrict where; U11 is set per zone</w:t>
            </w:r>
          </w:p>
        </w:tc>
        <w:tc>
          <w:tcPr>
            <w:tcW w:w="1813" w:type="dxa"/>
          </w:tcPr>
          <w:p>
            <w:pPr>
              <w:pStyle w:val="Compact"/>
            </w:pPr>
            <w:r>
              <w:rPr/>
              <w:t xml:space="preserve">C2, C8, C10a, C10b, F15 restrict when; L4 rewards earlier interception</w:t>
            </w:r>
          </w:p>
        </w:tc>
      </w:tr>
      <w:tr>
        <w:trPr>
          <w:cantSplit/>
        </w:trPr>
        <w:tc>
          <w:tcPr>
            <w:tcW w:w="1750" w:type="dxa"/>
          </w:tcPr>
          <w:p>
            <w:pPr>
              <w:pStyle w:val="Compact"/>
            </w:pPr>
            <w:r>
              <w:rPr>
                <w:b/>
                <w:bCs/>
              </w:rPr>
              <w:t xml:space="preserve">C3</w:t>
            </w:r>
            <w:r>
              <w:rPr/>
              <w:t xml:space="preserve"> Certified robust objective</w:t>
            </w:r>
          </w:p>
        </w:tc>
        <w:tc>
          <w:tcPr>
            <w:tcW w:w="2750" w:type="dxa"/>
          </w:tcPr>
          <w:p>
            <w:pPr>
              <w:pStyle w:val="Compact"/>
            </w:pPr>
            <w:r>
              <w:rPr/>
              <w:t xml:space="preserve">Selects the schedule whose lowest score across the attacker profiles is highest, and proves that no rule-compliant schedule does better in the encoded model.</w:t>
            </w:r>
          </w:p>
        </w:tc>
        <w:tc>
          <w:tcPr>
            <w:tcW w:w="1450" w:type="dxa"/>
          </w:tcPr>
          <w:p>
            <w:pPr>
              <w:pStyle w:val="Compact"/>
            </w:pPr>
            <w:r>
              <w:rPr/>
              <w:t xml:space="preserve">C1, C2 → Algorithm 1, C4</w:t>
            </w:r>
          </w:p>
        </w:tc>
        <w:tc>
          <w:tcPr>
            <w:tcW w:w="1813" w:type="dxa"/>
          </w:tcPr>
          <w:p>
            <w:pPr>
              <w:pStyle w:val="Compact"/>
            </w:pPr>
            <w:r>
              <w:rPr/>
              <w:t xml:space="preserve">Worst case taken over all zones jointly</w:t>
            </w:r>
          </w:p>
        </w:tc>
        <w:tc>
          <w:tcPr>
            <w:tcW w:w="1813" w:type="dxa"/>
          </w:tcPr>
          <w:p>
            <w:pPr>
              <w:pStyle w:val="Compact"/>
            </w:pPr>
            <w:r>
              <w:rPr/>
              <w:t xml:space="preserve">Q_θ summed over all H slots; profiles differ in recognition speed</w:t>
            </w:r>
          </w:p>
        </w:tc>
      </w:tr>
      <w:tr>
        <w:trPr>
          <w:cantSplit/>
        </w:trPr>
        <w:tc>
          <w:tcPr>
            <w:tcW w:w="1750" w:type="dxa"/>
          </w:tcPr>
          <w:p>
            <w:pPr>
              <w:pStyle w:val="Compact"/>
            </w:pPr>
            <w:r>
              <w:rPr>
                <w:b/>
                <w:bCs/>
              </w:rPr>
              <w:t xml:space="preserve">C4</w:t>
            </w:r>
            <w:r>
              <w:rPr/>
              <w:t xml:space="preserve"> Validation</w:t>
            </w:r>
          </w:p>
        </w:tc>
        <w:tc>
          <w:tcPr>
            <w:tcW w:w="2750" w:type="dxa"/>
          </w:tcPr>
          <w:p>
            <w:pPr>
              <w:pStyle w:val="Compact"/>
            </w:pPr>
            <w:r>
              <w:rPr/>
              <w:t xml:space="preserve">Checks that the encoding, an independent rule checker, an independent solver and a socket-level emulation agree, with paired statistics and one-command reproducibility.</w:t>
            </w:r>
          </w:p>
        </w:tc>
        <w:tc>
          <w:tcPr>
            <w:tcW w:w="1450" w:type="dxa"/>
          </w:tcPr>
          <w:p>
            <w:pPr>
              <w:pStyle w:val="Compact"/>
            </w:pPr>
            <w:r>
              <w:rPr/>
              <w:t xml:space="preserve">C2, C3 → evidence for C3</w:t>
            </w:r>
          </w:p>
        </w:tc>
        <w:tc>
          <w:tcPr>
            <w:tcW w:w="1813" w:type="dxa"/>
          </w:tcPr>
          <w:p>
            <w:pPr>
              <w:pStyle w:val="Compact"/>
            </w:pPr>
            <w:r>
              <w:rPr/>
              <w:t xml:space="preserve">Attacker probes each zone and walks paths across zones</w:t>
            </w:r>
          </w:p>
        </w:tc>
        <w:tc>
          <w:tcPr>
            <w:tcW w:w="1813" w:type="dxa"/>
          </w:tcPr>
          <w:p>
            <w:pPr>
              <w:pStyle w:val="Compact"/>
            </w:pPr>
            <w:r>
              <w:rPr/>
              <w:t xml:space="preserve">Slot-by-slot observe-then-burn replay; horizon scaled to H = 8</w:t>
            </w:r>
          </w:p>
        </w:tc>
      </w:tr>
      <w:tr>
        <w:trPr>
          <w:cantSplit/>
        </w:trPr>
        <w:tc>
          <w:tcPr>
            <w:tcW w:w="1750" w:type="dxa"/>
          </w:tcPr>
          <w:p>
            <w:pPr>
              <w:pStyle w:val="Compact"/>
            </w:pPr>
            <w:r>
              <w:rPr>
                <w:b/>
                <w:bCs/>
              </w:rPr>
              <w:t xml:space="preserve">C5</w:t>
            </w:r>
            <w:r>
              <w:rPr/>
              <w:t xml:space="preserve"> Refinements</w:t>
            </w:r>
          </w:p>
        </w:tc>
        <w:tc>
          <w:tcPr>
            <w:tcW w:w="2750" w:type="dxa"/>
          </w:tcPr>
          <w:p>
            <w:pPr>
              <w:pStyle w:val="Compact"/>
            </w:pPr>
            <w:r>
              <w:rPr/>
              <w:t xml:space="preserve">(a) Separate the role a decoy plays from the fingerprint it shows; (b) require both a minimum coverage frequency and a maximum coverage gap; (c) enforce the tier order with hard floors.</w:t>
            </w:r>
          </w:p>
        </w:tc>
        <w:tc>
          <w:tcPr>
            <w:tcW w:w="1450" w:type="dxa"/>
          </w:tcPr>
          <w:p>
            <w:pPr>
              <w:pStyle w:val="Compact"/>
            </w:pPr>
            <w:r>
              <w:rPr/>
              <w:t xml:space="preserve">C1, C2 → C3</w:t>
            </w:r>
          </w:p>
        </w:tc>
        <w:tc>
          <w:tcPr>
            <w:tcW w:w="1813" w:type="dxa"/>
          </w:tcPr>
          <w:p>
            <w:pPr>
              <w:pStyle w:val="Compact"/>
            </w:pPr>
            <w:r>
              <w:rPr/>
              <w:t xml:space="preserve">(a) one fingerprint per zone and slot; (b) the critical hop is a location</w:t>
            </w:r>
          </w:p>
        </w:tc>
        <w:tc>
          <w:tcPr>
            <w:tcW w:w="1813" w:type="dxa"/>
          </w:tcPr>
          <w:p>
            <w:pPr>
              <w:pStyle w:val="Compact"/>
            </w:pPr>
            <w:r>
              <w:rPr/>
              <w:t xml:space="preserve">(a) fingerprints rotate across slots; (b) how often vs. how long uncovered; (c) earlier before wider</w:t>
            </w:r>
          </w:p>
        </w:tc>
      </w:tr>
    </w:tbl>
    <w:p w14:paraId="295ECA43" w14:textId="77777777" w:rsidR="00BB174B" w:rsidRDefault="00513988">
      <w:r>
        <w:rPr>
          <w:noProof/>
        </w:rPr>
      </w:r>
      <w:r>
        <w:pict w14:anchorId="156D8137">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14:paraId="7F956BE3" w14:textId="77777777" w:rsidR="00BB174B" w:rsidRDefault="00000000">
      <w:pPr>
        <w:pStyle w:val="FirstParagraph"/>
      </w:pPr>
      <w:r>
        <w:rPr/>
        <w:t>Prior honeypot-placement research falls into three lines; to our knowledge, none combines an optimality certificate with joint identity, time, and zone modeling under multi-profile adversarial evaluation.</w:t>
      </w:r>
      <w:r>
        <w:rPr/>
        <w:t xml:space="preserve"> Table 2 summarizes how each line addresses the dimensions that ZSTP combines, as characterized in this section.</w:t>
      </w:r>
    </w:p>
    <w:p w14:paraId="2258EBE0" w14:textId="77777777" w:rsidR="00BB174B" w:rsidRDefault="00000000">
      <w:pPr>
        <w:pStyle w:val="BodyText"/>
      </w:pPr>
      <w:r>
        <w:rPr>
          <w:b/>
        </w:rPr>
        <w:t>Game-theoretic deception</w:t>
      </w:r>
      <w:r>
        <w:rPr/>
        <w:t xml:space="preserve"> models attacker–defender interaction as a strategic game: honeypot allocation between defender and attacker [8], a taxonomy of defensive-deception games [11], and feedback-driven multi-stage moving-target defense [20]. These works have produced important results on deception and strategic resource allocation. In practice, however, they abstract away the operational constraints — budget ceilings, air-gap isolation, identity non-collision — that a deployed schedule must satisfy, and they do not encode burn state for repeated placements or reused identities.</w:t>
      </w:r>
    </w:p>
    <w:p w14:paraId="485DAA98" w14:textId="77777777" w:rsidR="00BB174B" w:rsidRDefault="00000000">
      <w:pPr>
        <w:pStyle w:val="BodyText"/>
      </w:pPr>
      <w:r>
        <w:rPr>
          <w:b/>
        </w:rPr>
        <w:t>Reinforcement-learning methods</w:t>
      </w:r>
      <w:r>
        <w:rPr/>
        <w:t xml:space="preserve"> adapt honeypot engagement online, for example by learning engagement policies over a semi-Markov decision process [12]. The cost of that flexibility is formal: a policy optimized in expectation provides no worst-case guarantee and no assurance that hard constraints hold on out-of-distribution inputs. To our knowledge, no RL-based method evaluates schedules under multi-profile scoring with explicit burn semantics.</w:t>
      </w:r>
    </w:p>
    <w:p w14:paraId="4C66683A" w14:textId="77777777" w:rsidR="00BB174B" w:rsidRDefault="00000000">
      <w:pPr>
        <w:pStyle w:val="BodyText"/>
      </w:pPr>
      <w:r>
        <w:rPr>
          <w:b/>
        </w:rPr>
        <w:t>Heuristic and greedy placement</w:t>
      </w:r>
      <w:r>
        <w:rPr/>
        <w:t xml:space="preserve"> remains common in practice: honeypot frameworks [3] and deployment guides [4] leave placement to hand-set or rule-based choices, and adaptive honeypots [21] adapt their interaction rather than the placement schedule. Greedy methods are cheap and can satisfy individual hard constraints, but they cannot certify optimality over a combinatorial space. In our evaluation all ten heuristic baselines break at least one hard rule, most often the maximum-gap rule C10b (7 of 10) and the minimum-frequency and cross-zone identity rules C10a and C14 (6 and 6 of 10).</w:t>
      </w:r>
    </w:p>
    <w:p w14:paraId="0FB95F33" w14:textId="77777777" w:rsidR="00BB174B" w:rsidRDefault="00000000">
      <w:pPr>
        <w:pStyle w:val="BodyText"/>
      </w:pPr>
      <w:r>
        <w:rPr>
          <w:b/>
        </w:rPr>
        <w:t>Combinatorial optimization in adjacent security problems</w:t>
      </w:r>
      <w:r>
        <w:rPr/>
        <w:t xml:space="preserve"> — attack-graph-based sensor placement [19] and formal runtime enforcement in cyber-physical systems [18] — shows that exact and formal methods are viable at security-relevant scales. These works operate over other decision spaces: sensor placement addresses the spatial dimension alone; CPS enforcement addresses property satisfaction without multi-profile adversarial scoring or persona burn. Neither schedules identity, time, and zone jointly. To our knowledge, ZSTP is the first exact-optimization formulation to span the full type × zone × time × persona space with burn state for each attacker profile and a certificate checked by an independent tool.</w:t>
      </w:r>
    </w:p>
    <w:p w14:paraId="5585F11B" w14:textId="77777777" w:rsidR="00BB174B" w:rsidRDefault="00000000">
      <w:pPr>
        <w:pStyle w:val="BodyText"/>
      </w:pPr>
      <w:r>
        <w:rPr>
          <w:b/>
        </w:rPr>
        <w:t>Recent work</w:t>
      </w:r>
      <w:r>
        <w:rPr/>
        <w:t xml:space="preserve"> has sharpened these lines without closing the joint gap. Reinforcement learning with self-play finds effective intrusion-prevention strategies [13] but provides no worst-case certificate and does not enforce deployment rules as hard constraints. ZSTP addresses these dimensions jointly for the modeled attacker profiles.</w:t>
      </w:r>
    </w:p>
    <w:p>
      <w:pPr>
        <w:pStyle w:val="BodyText"/>
        <w:keepNext/>
      </w:pPr>
      <w:r>
        <w:rPr>
          <w:b/>
          <w:bCs/>
        </w:rPr>
        <w:t>Table 2.</w:t>
      </w:r>
      <w:r>
        <w:t xml:space="preserve"> Positioning of ZSTP relative to the three research lines and adjacent formal methods, as characterized in this section (✓ addressed; ◐ partly, i.e., individual rules can be satisfied; ✗ not addressed; · not discussed). “Joint 4-axis plan” means type, zone, time and persona are chosen together.</w:t>
      </w:r>
    </w:p>
    <w:tbl>
      <w:tblPr>
        <w:tblStyle w:val="Table"/>
        <w:tblW w:w="5000" w:type="pct"/>
        <w:tblLook w:val="0020" w:firstRow="1" w:lastRow="0" w:firstColumn="0" w:lastColumn="0" w:noHBand="0" w:noVBand="0"/>
      </w:tblPr>
      <w:tblGrid>
        <w:gridCol w:w="2400"/>
        <w:gridCol w:w="1000"/>
        <w:gridCol w:w="1150"/>
        <w:gridCol w:w="1100"/>
        <w:gridCol w:w="1150"/>
        <w:gridCol w:w="1450"/>
        <w:gridCol w:w="1326"/>
      </w:tblGrid>
      <w:tr>
        <w:trPr>
          <w:cnfStyle w:val="100000000000" w:firstRow="1" w:lastRow="0" w:firstColumn="0" w:lastColumn="0" w:oddVBand="0" w:evenVBand="0" w:oddHBand="0" w:evenHBand="0" w:firstRowFirstColumn="0" w:firstRowLastColumn="0" w:lastRowFirstColumn="0" w:lastRowLastColumn="0"/>
          <w:tblHeader/>
        </w:trPr>
        <w:tc>
          <w:tcPr>
            <w:tcW w:w="2400" w:type="dxa"/>
          </w:tcPr>
          <w:p>
            <w:pPr>
              <w:pStyle w:val="Compact"/>
            </w:pPr>
            <w:r>
              <w:rPr>
                <w:b/>
                <w:bCs/>
              </w:rPr>
              <w:t xml:space="preserve">Line of work</w:t>
            </w:r>
          </w:p>
        </w:tc>
        <w:tc>
          <w:tcPr>
            <w:tcW w:w="1000" w:type="dxa"/>
          </w:tcPr>
          <w:p>
            <w:pPr>
              <w:pStyle w:val="Compact"/>
            </w:pPr>
            <w:r>
              <w:rPr>
                <w:b/>
                <w:bCs/>
              </w:rPr>
              <w:t xml:space="preserve">Exact / formal</w:t>
            </w:r>
          </w:p>
        </w:tc>
        <w:tc>
          <w:tcPr>
            <w:tcW w:w="1150" w:type="dxa"/>
          </w:tcPr>
          <w:p>
            <w:pPr>
              <w:pStyle w:val="Compact"/>
            </w:pPr>
            <w:r>
              <w:rPr>
                <w:b/>
                <w:bCs/>
              </w:rPr>
              <w:t xml:space="preserve">Hard rules</w:t>
            </w:r>
          </w:p>
        </w:tc>
        <w:tc>
          <w:tcPr>
            <w:tcW w:w="1100" w:type="dxa"/>
          </w:tcPr>
          <w:p>
            <w:pPr>
              <w:pStyle w:val="Compact"/>
            </w:pPr>
            <w:r>
              <w:rPr>
                <w:b/>
                <w:bCs/>
              </w:rPr>
              <w:t xml:space="preserve">Burns repeats</w:t>
            </w:r>
          </w:p>
        </w:tc>
        <w:tc>
          <w:tcPr>
            <w:tcW w:w="1150" w:type="dxa"/>
          </w:tcPr>
          <w:p>
            <w:pPr>
              <w:pStyle w:val="Compact"/>
            </w:pPr>
            <w:r>
              <w:rPr>
                <w:b/>
                <w:bCs/>
              </w:rPr>
              <w:t xml:space="preserve">Multi-profile</w:t>
            </w:r>
          </w:p>
        </w:tc>
        <w:tc>
          <w:tcPr>
            <w:tcW w:w="1450" w:type="dxa"/>
          </w:tcPr>
          <w:p>
            <w:pPr>
              <w:pStyle w:val="Compact"/>
            </w:pPr>
            <w:r>
              <w:rPr>
                <w:b/>
                <w:bCs/>
              </w:rPr>
              <w:t xml:space="preserve">Worst-case certificate</w:t>
            </w:r>
          </w:p>
        </w:tc>
        <w:tc>
          <w:tcPr>
            <w:tcW w:w="1326" w:type="dxa"/>
          </w:tcPr>
          <w:p>
            <w:pPr>
              <w:pStyle w:val="Compact"/>
            </w:pPr>
            <w:r>
              <w:rPr>
                <w:b/>
                <w:bCs/>
              </w:rPr>
              <w:t xml:space="preserve">Joint 4-axis plan</w:t>
            </w:r>
          </w:p>
        </w:tc>
      </w:tr>
      <w:tr>
        <w:trPr>
          <w:cantSplit/>
        </w:trPr>
        <w:tc>
          <w:tcPr>
            <w:tcW w:w="2400" w:type="dxa"/>
          </w:tcPr>
          <w:p>
            <w:pPr>
              <w:pStyle w:val="Compact"/>
            </w:pPr>
            <w:r>
              <w:rPr/>
              <w:t xml:space="preserve">Game-theoretic deception [8, 11, 20]</w:t>
            </w:r>
          </w:p>
        </w:tc>
        <w:tc>
          <w:tcPr>
            <w:tcW w:w="1000" w:type="dxa"/>
          </w:tcPr>
          <w:p>
            <w:pPr>
              <w:pStyle w:val="Compact"/>
            </w:pPr>
            <w:r>
              <w:rPr/>
              <w:t xml:space="preserve">·</w:t>
            </w:r>
          </w:p>
        </w:tc>
        <w:tc>
          <w:tcPr>
            <w:tcW w:w="1150" w:type="dxa"/>
          </w:tcPr>
          <w:p>
            <w:pPr>
              <w:pStyle w:val="Compact"/>
            </w:pPr>
            <w:r>
              <w:rPr/>
              <w:t xml:space="preserve">✗</w:t>
            </w:r>
          </w:p>
        </w:tc>
        <w:tc>
          <w:tcPr>
            <w:tcW w:w="1100" w:type="dxa"/>
          </w:tcPr>
          <w:p>
            <w:pPr>
              <w:pStyle w:val="Compact"/>
            </w:pPr>
            <w:r>
              <w:rPr/>
              <w:t xml:space="preserve">✗</w:t>
            </w:r>
          </w:p>
        </w:tc>
        <w:tc>
          <w:tcPr>
            <w:tcW w:w="1150" w:type="dxa"/>
          </w:tcPr>
          <w:p>
            <w:pPr>
              <w:pStyle w:val="Compact"/>
            </w:pPr>
            <w:r>
              <w:rPr/>
              <w:t xml:space="preserve">·</w:t>
            </w:r>
          </w:p>
        </w:tc>
        <w:tc>
          <w:tcPr>
            <w:tcW w:w="1450" w:type="dxa"/>
          </w:tcPr>
          <w:p>
            <w:pPr>
              <w:pStyle w:val="Compact"/>
            </w:pPr>
            <w:r>
              <w:rPr/>
              <w:t xml:space="preserve">·</w:t>
            </w:r>
          </w:p>
        </w:tc>
        <w:tc>
          <w:tcPr>
            <w:tcW w:w="1326" w:type="dxa"/>
          </w:tcPr>
          <w:p>
            <w:pPr>
              <w:pStyle w:val="Compact"/>
            </w:pPr>
            <w:r>
              <w:rPr/>
              <w:t xml:space="preserve">·</w:t>
            </w:r>
          </w:p>
        </w:tc>
      </w:tr>
      <w:tr>
        <w:trPr>
          <w:cantSplit/>
        </w:trPr>
        <w:tc>
          <w:tcPr>
            <w:tcW w:w="2400" w:type="dxa"/>
          </w:tcPr>
          <w:p>
            <w:pPr>
              <w:pStyle w:val="Compact"/>
            </w:pPr>
            <w:r>
              <w:rPr/>
              <w:t xml:space="preserve">Reinforcement learning [12, 13]</w:t>
            </w:r>
          </w:p>
        </w:tc>
        <w:tc>
          <w:tcPr>
            <w:tcW w:w="1000" w:type="dxa"/>
          </w:tcPr>
          <w:p>
            <w:pPr>
              <w:pStyle w:val="Compact"/>
            </w:pPr>
            <w:r>
              <w:rPr/>
              <w:t xml:space="preserve">·</w:t>
            </w:r>
          </w:p>
        </w:tc>
        <w:tc>
          <w:tcPr>
            <w:tcW w:w="1150" w:type="dxa"/>
          </w:tcPr>
          <w:p>
            <w:pPr>
              <w:pStyle w:val="Compact"/>
            </w:pPr>
            <w:r>
              <w:rPr/>
              <w:t xml:space="preserve">✗</w:t>
            </w:r>
          </w:p>
        </w:tc>
        <w:tc>
          <w:tcPr>
            <w:tcW w:w="1100" w:type="dxa"/>
          </w:tcPr>
          <w:p>
            <w:pPr>
              <w:pStyle w:val="Compact"/>
            </w:pPr>
            <w:r>
              <w:rPr/>
              <w:t xml:space="preserve">✗</w:t>
            </w:r>
          </w:p>
        </w:tc>
        <w:tc>
          <w:tcPr>
            <w:tcW w:w="1150" w:type="dxa"/>
          </w:tcPr>
          <w:p>
            <w:pPr>
              <w:pStyle w:val="Compact"/>
            </w:pPr>
            <w:r>
              <w:rPr/>
              <w:t xml:space="preserve">✗</w:t>
            </w:r>
          </w:p>
        </w:tc>
        <w:tc>
          <w:tcPr>
            <w:tcW w:w="1450" w:type="dxa"/>
          </w:tcPr>
          <w:p>
            <w:pPr>
              <w:pStyle w:val="Compact"/>
            </w:pPr>
            <w:r>
              <w:rPr/>
              <w:t xml:space="preserve">✗</w:t>
            </w:r>
          </w:p>
        </w:tc>
        <w:tc>
          <w:tcPr>
            <w:tcW w:w="1326" w:type="dxa"/>
          </w:tcPr>
          <w:p>
            <w:pPr>
              <w:pStyle w:val="Compact"/>
            </w:pPr>
            <w:r>
              <w:rPr/>
              <w:t xml:space="preserve">·</w:t>
            </w:r>
          </w:p>
        </w:tc>
      </w:tr>
      <w:tr>
        <w:trPr>
          <w:cantSplit/>
        </w:trPr>
        <w:tc>
          <w:tcPr>
            <w:tcW w:w="2400" w:type="dxa"/>
          </w:tcPr>
          <w:p>
            <w:pPr>
              <w:pStyle w:val="Compact"/>
            </w:pPr>
            <w:r>
              <w:rPr/>
              <w:t xml:space="preserve">Heuristic / greedy placement [3, 4, 21]</w:t>
            </w:r>
          </w:p>
        </w:tc>
        <w:tc>
          <w:tcPr>
            <w:tcW w:w="1000" w:type="dxa"/>
          </w:tcPr>
          <w:p>
            <w:pPr>
              <w:pStyle w:val="Compact"/>
            </w:pPr>
            <w:r>
              <w:rPr/>
              <w:t xml:space="preserve">·</w:t>
            </w:r>
          </w:p>
        </w:tc>
        <w:tc>
          <w:tcPr>
            <w:tcW w:w="1150" w:type="dxa"/>
          </w:tcPr>
          <w:p>
            <w:pPr>
              <w:pStyle w:val="Compact"/>
            </w:pPr>
            <w:r>
              <w:rPr/>
              <w:t xml:space="preserve">◐</w:t>
            </w:r>
          </w:p>
        </w:tc>
        <w:tc>
          <w:tcPr>
            <w:tcW w:w="1100" w:type="dxa"/>
          </w:tcPr>
          <w:p>
            <w:pPr>
              <w:pStyle w:val="Compact"/>
            </w:pPr>
            <w:r>
              <w:rPr/>
              <w:t xml:space="preserve">·</w:t>
            </w:r>
          </w:p>
        </w:tc>
        <w:tc>
          <w:tcPr>
            <w:tcW w:w="1150" w:type="dxa"/>
          </w:tcPr>
          <w:p>
            <w:pPr>
              <w:pStyle w:val="Compact"/>
            </w:pPr>
            <w:r>
              <w:rPr/>
              <w:t xml:space="preserve">·</w:t>
            </w:r>
          </w:p>
        </w:tc>
        <w:tc>
          <w:tcPr>
            <w:tcW w:w="1450" w:type="dxa"/>
          </w:tcPr>
          <w:p>
            <w:pPr>
              <w:pStyle w:val="Compact"/>
            </w:pPr>
            <w:r>
              <w:rPr/>
              <w:t xml:space="preserve">✗</w:t>
            </w:r>
          </w:p>
        </w:tc>
        <w:tc>
          <w:tcPr>
            <w:tcW w:w="1326" w:type="dxa"/>
          </w:tcPr>
          <w:p>
            <w:pPr>
              <w:pStyle w:val="Compact"/>
            </w:pPr>
            <w:r>
              <w:rPr/>
              <w:t xml:space="preserve">·</w:t>
            </w:r>
          </w:p>
        </w:tc>
      </w:tr>
      <w:tr>
        <w:trPr>
          <w:cantSplit/>
        </w:trPr>
        <w:tc>
          <w:tcPr>
            <w:tcW w:w="2400" w:type="dxa"/>
          </w:tcPr>
          <w:p>
            <w:pPr>
              <w:pStyle w:val="Compact"/>
            </w:pPr>
            <w:r>
              <w:rPr/>
              <w:t xml:space="preserve">Attack-graph sensor placement [19]</w:t>
            </w:r>
          </w:p>
        </w:tc>
        <w:tc>
          <w:tcPr>
            <w:tcW w:w="1000" w:type="dxa"/>
          </w:tcPr>
          <w:p>
            <w:pPr>
              <w:pStyle w:val="Compact"/>
            </w:pPr>
            <w:r>
              <w:rPr/>
              <w:t xml:space="preserve">✓</w:t>
            </w:r>
          </w:p>
        </w:tc>
        <w:tc>
          <w:tcPr>
            <w:tcW w:w="1150" w:type="dxa"/>
          </w:tcPr>
          <w:p>
            <w:pPr>
              <w:pStyle w:val="Compact"/>
            </w:pPr>
            <w:r>
              <w:rPr/>
              <w:t xml:space="preserve">·</w:t>
            </w:r>
          </w:p>
        </w:tc>
        <w:tc>
          <w:tcPr>
            <w:tcW w:w="1100" w:type="dxa"/>
          </w:tcPr>
          <w:p>
            <w:pPr>
              <w:pStyle w:val="Compact"/>
            </w:pPr>
            <w:r>
              <w:rPr/>
              <w:t xml:space="preserve">·</w:t>
            </w:r>
          </w:p>
        </w:tc>
        <w:tc>
          <w:tcPr>
            <w:tcW w:w="1150" w:type="dxa"/>
          </w:tcPr>
          <w:p>
            <w:pPr>
              <w:pStyle w:val="Compact"/>
            </w:pPr>
            <w:r>
              <w:rPr/>
              <w:t xml:space="preserve">·</w:t>
            </w:r>
          </w:p>
        </w:tc>
        <w:tc>
          <w:tcPr>
            <w:tcW w:w="1450" w:type="dxa"/>
          </w:tcPr>
          <w:p>
            <w:pPr>
              <w:pStyle w:val="Compact"/>
            </w:pPr>
            <w:r>
              <w:rPr/>
              <w:t xml:space="preserve">·</w:t>
            </w:r>
          </w:p>
        </w:tc>
        <w:tc>
          <w:tcPr>
            <w:tcW w:w="1326" w:type="dxa"/>
          </w:tcPr>
          <w:p>
            <w:pPr>
              <w:pStyle w:val="Compact"/>
            </w:pPr>
            <w:r>
              <w:rPr/>
              <w:t xml:space="preserve">✗</w:t>
            </w:r>
          </w:p>
        </w:tc>
      </w:tr>
      <w:tr>
        <w:trPr>
          <w:cantSplit/>
        </w:trPr>
        <w:tc>
          <w:tcPr>
            <w:tcW w:w="2400" w:type="dxa"/>
          </w:tcPr>
          <w:p>
            <w:pPr>
              <w:pStyle w:val="Compact"/>
            </w:pPr>
            <w:r>
              <w:rPr/>
              <w:t xml:space="preserve">CPS runtime enforcement [18]</w:t>
            </w:r>
          </w:p>
        </w:tc>
        <w:tc>
          <w:tcPr>
            <w:tcW w:w="1000" w:type="dxa"/>
          </w:tcPr>
          <w:p>
            <w:pPr>
              <w:pStyle w:val="Compact"/>
            </w:pPr>
            <w:r>
              <w:rPr/>
              <w:t xml:space="preserve">✓</w:t>
            </w:r>
          </w:p>
        </w:tc>
        <w:tc>
          <w:tcPr>
            <w:tcW w:w="1150" w:type="dxa"/>
          </w:tcPr>
          <w:p>
            <w:pPr>
              <w:pStyle w:val="Compact"/>
            </w:pPr>
            <w:r>
              <w:rPr/>
              <w:t xml:space="preserve">·</w:t>
            </w:r>
          </w:p>
        </w:tc>
        <w:tc>
          <w:tcPr>
            <w:tcW w:w="1100" w:type="dxa"/>
          </w:tcPr>
          <w:p>
            <w:pPr>
              <w:pStyle w:val="Compact"/>
            </w:pPr>
            <w:r>
              <w:rPr/>
              <w:t xml:space="preserve">✗</w:t>
            </w:r>
          </w:p>
        </w:tc>
        <w:tc>
          <w:tcPr>
            <w:tcW w:w="1150" w:type="dxa"/>
          </w:tcPr>
          <w:p>
            <w:pPr>
              <w:pStyle w:val="Compact"/>
            </w:pPr>
            <w:r>
              <w:rPr/>
              <w:t xml:space="preserve">✗</w:t>
            </w:r>
          </w:p>
        </w:tc>
        <w:tc>
          <w:tcPr>
            <w:tcW w:w="1450" w:type="dxa"/>
          </w:tcPr>
          <w:p>
            <w:pPr>
              <w:pStyle w:val="Compact"/>
            </w:pPr>
            <w:r>
              <w:rPr/>
              <w:t xml:space="preserve">·</w:t>
            </w:r>
          </w:p>
        </w:tc>
        <w:tc>
          <w:tcPr>
            <w:tcW w:w="1326" w:type="dxa"/>
          </w:tcPr>
          <w:p>
            <w:pPr>
              <w:pStyle w:val="Compact"/>
            </w:pPr>
            <w:r>
              <w:rPr/>
              <w:t xml:space="preserve">✗</w:t>
            </w:r>
          </w:p>
        </w:tc>
      </w:tr>
      <w:tr>
        <w:trPr>
          <w:cantSplit/>
        </w:trPr>
        <w:tc>
          <w:tcPr>
            <w:tcW w:w="2400" w:type="dxa"/>
          </w:tcPr>
          <w:p>
            <w:pPr>
              <w:pStyle w:val="Compact"/>
            </w:pPr>
            <w:r>
              <w:rPr>
                <w:b/>
                <w:bCs/>
              </w:rPr>
              <w:t xml:space="preserve">ZSTP (this paper)</w:t>
            </w:r>
          </w:p>
        </w:tc>
        <w:tc>
          <w:tcPr>
            <w:tcW w:w="1000" w:type="dxa"/>
          </w:tcPr>
          <w:p>
            <w:pPr>
              <w:pStyle w:val="Compact"/>
            </w:pPr>
            <w:r>
              <w:rPr/>
              <w:t xml:space="preserve">✓</w:t>
            </w:r>
          </w:p>
        </w:tc>
        <w:tc>
          <w:tcPr>
            <w:tcW w:w="1150" w:type="dxa"/>
          </w:tcPr>
          <w:p>
            <w:pPr>
              <w:pStyle w:val="Compact"/>
            </w:pPr>
            <w:r>
              <w:rPr/>
              <w:t xml:space="preserve">✓</w:t>
            </w:r>
          </w:p>
        </w:tc>
        <w:tc>
          <w:tcPr>
            <w:tcW w:w="1100" w:type="dxa"/>
          </w:tcPr>
          <w:p>
            <w:pPr>
              <w:pStyle w:val="Compact"/>
            </w:pPr>
            <w:r>
              <w:rPr/>
              <w:t xml:space="preserve">✓</w:t>
            </w:r>
          </w:p>
        </w:tc>
        <w:tc>
          <w:tcPr>
            <w:tcW w:w="1150" w:type="dxa"/>
          </w:tcPr>
          <w:p>
            <w:pPr>
              <w:pStyle w:val="Compact"/>
            </w:pPr>
            <w:r>
              <w:rPr/>
              <w:t xml:space="preserve">✓</w:t>
            </w:r>
          </w:p>
        </w:tc>
        <w:tc>
          <w:tcPr>
            <w:tcW w:w="1450" w:type="dxa"/>
          </w:tcPr>
          <w:p>
            <w:pPr>
              <w:pStyle w:val="Compact"/>
            </w:pPr>
            <w:r>
              <w:rPr/>
              <w:t xml:space="preserve">✓</w:t>
            </w:r>
          </w:p>
        </w:tc>
        <w:tc>
          <w:tcPr>
            <w:tcW w:w="1326" w:type="dxa"/>
          </w:tcPr>
          <w:p>
            <w:pPr>
              <w:pStyle w:val="Compact"/>
            </w:pPr>
            <w:r>
              <w:rPr/>
              <w:t xml:space="preserve">✓</w:t>
            </w:r>
          </w:p>
        </w:tc>
      </w:tr>
    </w:tbl>
    <w:p w14:paraId="0E7F80E3" w14:textId="77777777" w:rsidR="00BB174B" w:rsidRDefault="00513988">
      <w:r>
        <w:rPr>
          <w:noProof/>
        </w:rPr>
      </w:r>
      <w:r>
        <w:pict w14:anchorId="5BFC1987">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w:t>
      </w:r>
      <w:r>
        <w:rPr/>
        <w:t xml:space="preserve"> Figure 3 illustrates this mapping.</w:t>
      </w:r>
    </w:p>
    <w:p>
      <w:pPr>
        <w:pStyle w:val="CaptionedFigure"/>
        <w:keepNext/>
        <w:jc w:val="center"/>
      </w:pPr>
      <w:r>
        <w:drawing>
          <wp:inline distT="0" distB="0" distL="0" distR="0">
            <wp:extent cx="5943600" cy="2041362"/>
            <wp:docPr id="9302" name="Figure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hardsoft.png"/>
                    <pic:cNvPicPr/>
                  </pic:nvPicPr>
                  <pic:blipFill>
                    <a:blip r:embed="rIdN9302"/>
                    <a:stretch>
                      <a:fillRect/>
                    </a:stretch>
                  </pic:blipFill>
                  <pic:spPr>
                    <a:xfrm>
                      <a:off x="0" y="0"/>
                      <a:ext cx="5943600" cy="2041362"/>
                    </a:xfrm>
                    <a:prstGeom prst="rect">
                      <a:avLst/>
                    </a:prstGeom>
                  </pic:spPr>
                </pic:pic>
              </a:graphicData>
            </a:graphic>
          </wp:inline>
        </w:drawing>
      </w:r>
    </w:p>
    <w:p>
      <w:pPr>
        <w:pStyle w:val="ImageCaption"/>
      </w:pPr>
      <w:r>
        <w:rPr>
          <w:b/>
          <w:bCs/>
        </w:rPr>
        <w:t xml:space="preserve">Figure 3.</w:t>
      </w:r>
      <w:r>
        <w:t xml:space="preserve"> From scheduling rules to one weighted partial MaxSAT instance. In plain terms: rules that must never break become hard clauses the solver may not violate; goals to maximize become soft clauses with weights ×1,000 … ×1; an exact solver then returns a schedule that breaks no rule. The bottom line names why LP rounding, greedy search and RL fall short.</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rPr/>
        <w:t>The ZSTP instance is defined by the tuple I = (K, Z, H, R̂, F, P, Θ, Π, J, G_K, C, Z_air, W, B_t, B_z, c_max, τ_d0, τ_dp0, ρ_max, α, κ, κ_min, λ), where K is the set of trap types, Z the set of network zones, H the planning horizon (slots T = {1, …, H}), R̂ the role templates, F the fingerprint bundles, P ⊆ R̂ × F the persona catalogue with priors q_p, Θ the set of attacker profiles (each with attack strength ρ_θ and path emphasis ω_θ,π), Π the attack paths (each with frequency ρ_π, a critical hop, and a zone, technique and interception value per hop), J the ATT&amp;CK techniques with their tactic families, weights w_j and the trap types that detect them, G_K the plausibility table over (type, zone, role), C the conflicting type pairs, Z_air the air-gapped zones with the trap types forbidden there, W the gap window, B_t and B_z the slot and zone budgets, c_max the churn limit, τ_d0 and τ_dp0 the base recognition thresholds, ρ_max the strength normalizer of U11, α the prior update rate, κ and κ_min the slot lengths and their minimum, and λ the layer weights. Every rule and objective term, and the emulator, reads its parameters from I.</w:t>
      </w:r>
    </w:p>
    <w:p w14:paraId="5510B7CD" w14:textId="77777777" w:rsidR="00BB174B" w:rsidRDefault="00000000">
      <w:pPr>
        <w:pStyle w:val="BodyText"/>
      </w:pPr>
      <w:r>
        <w:rPr/>
        <w:t xml:space="preserve">The </w:t>
      </w:r>
      <w:r>
        <w:rPr>
          <w:b/>
        </w:rPr>
        <w:t>decision variable</w:t>
      </w:r>
      <w:r>
        <w:rPr/>
        <w:t xml:space="preserve"> is x_{i,z,t,p} ∈ {0,1} — deploy trap type i ∈ K in zone z ∈ Z at time slot t ∈ T as persona p ∈ P. For the XLarge instance (|K| = 8, |Z| = 5, H = 4, |P| = 4), this yields </w:t>
      </w:r>
      <w:r>
        <w:rPr>
          <w:b/>
        </w:rPr>
        <w:t>640 binary decisions</w:t>
      </w:r>
      <w:r>
        <w:rP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pPr>
        <w:pStyle w:val="BodyText"/>
      </w:pPr>
      <w:r>
        <w:rPr>
          <w:b/>
          <w:bCs/>
        </w:rPr>
        <w:t xml:space="preserve">Attack paths, hops and the force multiplier in plain terms.</w:t>
      </w:r>
      <w:r>
        <w:rPr/>
        <w:t xml:space="preserve"> An attack path π is the route an intruder takes toward a target, written as a chain of hops. Each hop is one step taken in one zone with one ATT&amp;CK technique, for example using remote services (T1021) on the administrators’ jump hosts in the Mgmt zone, or sending an unauthorized command (T0855) to the plant controls in OT. A decoy covers a hop when it is live in that zone in that slot and its trap type detects that technique. Each path has a frequency ρ_π, how often attackers use it, and a critical hop, the step into the target zone, which C10a and C10b keep watched. Catching the intruder on a hop before the target is early interception (L4); covering hops at all is path coverage (L3). Because paths share zones, one well-placed decoy can cover hops of several paths at once. The force multiplier (Section 7.4) measures this: with equally valued hops, a decoy that earns credit on two hops has FM = 2, a decoy on one hop has FM = 1, and a recognized decoy has FM = 0. Figure 4 shows the three ideas on the utility network and on the running example of Section 3.5.</w:t>
      </w:r>
    </w:p>
    <w:p>
      <w:pPr>
        <w:pStyle w:val="CaptionedFigure"/>
        <w:keepNext/>
        <w:jc w:val="center"/>
      </w:pPr>
      <w:r>
        <w:drawing>
          <wp:inline distT="0" distB="0" distL="0" distR="0">
            <wp:extent cx="5943600" cy="4737652"/>
            <wp:docPr id="9401" name="Figure 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paths.png"/>
                    <pic:cNvPicPr/>
                  </pic:nvPicPr>
                  <pic:blipFill>
                    <a:blip r:embed="rIdN9401"/>
                    <a:stretch>
                      <a:fillRect/>
                    </a:stretch>
                  </pic:blipFill>
                  <pic:spPr>
                    <a:xfrm>
                      <a:off x="0" y="0"/>
                      <a:ext cx="5943600" cy="4737652"/>
                    </a:xfrm>
                    <a:prstGeom prst="rect">
                      <a:avLst/>
                    </a:prstGeom>
                  </pic:spPr>
                </pic:pic>
              </a:graphicData>
            </a:graphic>
          </wp:inline>
        </w:drawing>
      </w:r>
    </w:p>
    <w:p>
      <w:pPr>
        <w:pStyle w:val="ImageCaption"/>
      </w:pPr>
      <w:r>
        <w:rPr>
          <w:b/>
          <w:bCs/>
        </w:rPr>
        <w:t xml:space="preserve">Figure 4.</w:t>
      </w:r>
      <w:r>
        <w:t xml:space="preserve"> Attack paths, hops and the force multiplier in plain terms. (a) A four-hop path through an illustrative utility network; the running example keeps the last two hops (Mgmt and OT), and the step into OT is the critical hop. (b) The max–min schedule of the running example under θ_burst, hop by hop and shift by shift: the credits add up to r* = 2,583, and the OT decoy repeated in shift 2 is recognized and earns nothing. (c) An illustrative two-path network with equal hop credits: a decoy at a shared hop serves both paths (FM = 2), a decoy on one path has FM = 1, and a recognized decoy has FM = 0. On the XLarge instance FM-avg at θ_burst is 1.11 for max–min against 0.25–0.59 for the baselines (Section 7.4).</w:t>
      </w:r>
    </w:p>
    <w:p w14:paraId="7D682669" w14:textId="77777777" w:rsidR="00BB174B" w:rsidRDefault="00000000">
      <w:pPr>
        <w:pStyle w:val="BodyText"/>
      </w:pPr>
      <w:r>
        <w:rPr/>
        <w:t>ZSTP treats placement as a three-axis optimization problem, summarized in Table 3. Each rule governs one axis; the threshold update U11 and the slot check F15 are applied before solving (Section 4.1).</w:t>
      </w:r>
      <w:r>
        <w:rPr/>
        <w:t xml:space="preserve"> Table 4 restates the key symbols in plain words, with their values in the running example of Section 3.5.</w:t>
      </w:r>
    </w:p>
    <w:p w14:paraId="1F967C6A" w14:textId="77777777" w:rsidR="00BB174B" w:rsidRDefault="00000000">
      <w:pPr>
        <w:pStyle w:val="BodyText"/>
      </w:pPr>
      <w:r>
        <w:rPr>
          <w:b/>
          <w:bCs/>
        </w:rPr>
        <w:t>Table 3.</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rPr/>
              <w:t>Spatial (zone z ∈ Z)</w:t>
            </w:r>
          </w:p>
        </w:tc>
        <w:tc>
          <w:tcPr>
            <w:tcW w:w="0" w:type="auto"/>
          </w:tcPr>
          <w:p w14:paraId="452EFA09" w14:textId="77777777" w:rsidR="00BB174B" w:rsidRDefault="00000000">
            <w:pPr>
              <w:pStyle w:val="Compact"/>
            </w:pPr>
            <w:r>
              <w:rPr/>
              <w:t>z ∈ {DMZ, Internal, Cloud, OT, Mgmt}</w:t>
            </w:r>
          </w:p>
        </w:tc>
        <w:tc>
          <w:tcPr>
            <w:tcW w:w="0" w:type="auto"/>
          </w:tcPr>
          <w:p w14:paraId="363AFED1" w14:textId="77777777" w:rsidR="00BB174B" w:rsidRDefault="00000000">
            <w:pPr>
              <w:pStyle w:val="Compact"/>
            </w:pPr>
            <w:r>
              <w:rPr/>
              <w:t>Where?</w:t>
            </w:r>
          </w:p>
        </w:tc>
        <w:tc>
          <w:tcPr>
            <w:tcW w:w="0" w:type="auto"/>
          </w:tcPr>
          <w:p w14:paraId="104E5FB6" w14:textId="77777777" w:rsidR="00BB174B" w:rsidRDefault="00000000">
            <w:pPr>
              <w:pStyle w:val="Compact"/>
            </w:pPr>
            <w:r>
              <w:rPr/>
              <w:t>C2–C5b: budget, type conflict, air-gap, plausibility; C1, C6, C7 define credit, coverage, interception</w:t>
            </w:r>
          </w:p>
        </w:tc>
      </w:tr>
      <w:tr w:rsidR="00BB174B" w14:paraId="5A7CE90D" w14:textId="77777777">
        <w:tc>
          <w:tcPr>
            <w:tcW w:w="0" w:type="auto"/>
          </w:tcPr>
          <w:p w14:paraId="725BE41D" w14:textId="77777777" w:rsidR="00BB174B" w:rsidRDefault="00000000">
            <w:pPr>
              <w:pStyle w:val="Compact"/>
            </w:pPr>
            <w:r>
              <w:rPr/>
              <w:t>Temporal (slot t ∈ T)</w:t>
            </w:r>
          </w:p>
        </w:tc>
        <w:tc>
          <w:tcPr>
            <w:tcW w:w="0" w:type="auto"/>
          </w:tcPr>
          <w:p w14:paraId="4A4B1390" w14:textId="77777777" w:rsidR="00BB174B" w:rsidRDefault="00000000">
            <w:pPr>
              <w:pStyle w:val="Compact"/>
            </w:pPr>
            <w:r>
              <w:rPr/>
              <w:t>t = 1, ..., H</w:t>
            </w:r>
          </w:p>
        </w:tc>
        <w:tc>
          <w:tcPr>
            <w:tcW w:w="0" w:type="auto"/>
          </w:tcPr>
          <w:p w14:paraId="3D3A4BDC" w14:textId="77777777" w:rsidR="00BB174B" w:rsidRDefault="00000000">
            <w:pPr>
              <w:pStyle w:val="Compact"/>
            </w:pPr>
            <w:r>
              <w:rPr/>
              <w:t>When?</w:t>
            </w:r>
          </w:p>
        </w:tc>
        <w:tc>
          <w:tcPr>
            <w:tcW w:w="0" w:type="auto"/>
          </w:tcPr>
          <w:p w14:paraId="007D1AE1" w14:textId="77777777" w:rsidR="00BB174B" w:rsidRDefault="00000000">
            <w:pPr>
              <w:pStyle w:val="Compact"/>
            </w:pPr>
            <w:r>
              <w:rP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rPr/>
              <w:t>Identity (persona p ∈ P)</w:t>
            </w:r>
          </w:p>
        </w:tc>
        <w:tc>
          <w:tcPr>
            <w:tcW w:w="0" w:type="auto"/>
          </w:tcPr>
          <w:p w14:paraId="3FAE3E3F" w14:textId="77777777" w:rsidR="00BB174B" w:rsidRDefault="00000000">
            <w:pPr>
              <w:pStyle w:val="Compact"/>
            </w:pPr>
            <w:r>
              <w:rPr/>
              <w:t>p ∈ P ⊆ R̂ × F</w:t>
            </w:r>
          </w:p>
        </w:tc>
        <w:tc>
          <w:tcPr>
            <w:tcW w:w="0" w:type="auto"/>
          </w:tcPr>
          <w:p w14:paraId="1A96D1ED" w14:textId="77777777" w:rsidR="00BB174B" w:rsidRDefault="00000000">
            <w:pPr>
              <w:pStyle w:val="Compact"/>
            </w:pPr>
            <w:r>
              <w:rPr/>
              <w:t>As whom?</w:t>
            </w:r>
          </w:p>
        </w:tc>
        <w:tc>
          <w:tcPr>
            <w:tcW w:w="0" w:type="auto"/>
          </w:tcPr>
          <w:p w14:paraId="27003F2D" w14:textId="77777777" w:rsidR="00BB174B" w:rsidRDefault="00000000">
            <w:pPr>
              <w:pStyle w:val="Compact"/>
            </w:pPr>
            <w:r>
              <w:rPr/>
              <w:t>C12, C14: fingerprint collision and cross-zone uniqueness; C13 persona burn (definition)</w:t>
            </w:r>
          </w:p>
        </w:tc>
      </w:tr>
    </w:tbl>
    <w:p>
      <w:pPr>
        <w:pStyle w:val="BodyText"/>
        <w:keepNext/>
      </w:pPr>
      <w:r>
        <w:rPr>
          <w:b/>
          <w:bCs/>
        </w:rPr>
        <w:t>Table 4.</w:t>
      </w:r>
      <w:r>
        <w:t xml:space="preserve"> Key symbols in plain words, with their values in the running example (Section 3.5).</w:t>
      </w:r>
    </w:p>
    <w:tbl>
      <w:tblPr>
        <w:tblStyle w:val="Table"/>
        <w:tblW w:w="5000" w:type="pct"/>
        <w:tblLook w:val="0020" w:firstRow="1" w:lastRow="0" w:firstColumn="0" w:lastColumn="0" w:noHBand="0" w:noVBand="0"/>
      </w:tblPr>
      <w:tblGrid>
        <w:gridCol w:w="1700"/>
        <w:gridCol w:w="4700"/>
        <w:gridCol w:w="3176"/>
      </w:tblGrid>
      <w:tr>
        <w:trPr>
          <w:cnfStyle w:val="100000000000" w:firstRow="1" w:lastRow="0" w:firstColumn="0" w:lastColumn="0" w:oddVBand="0" w:evenVBand="0" w:oddHBand="0" w:evenHBand="0" w:firstRowFirstColumn="0" w:firstRowLastColumn="0" w:lastRowFirstColumn="0" w:lastRowLastColumn="0"/>
          <w:tblHeader/>
        </w:trPr>
        <w:tc>
          <w:tcPr>
            <w:tcW w:w="1700" w:type="dxa"/>
          </w:tcPr>
          <w:p>
            <w:pPr>
              <w:pStyle w:val="Compact"/>
            </w:pPr>
            <w:r>
              <w:rPr>
                <w:b/>
                <w:bCs/>
              </w:rPr>
              <w:t xml:space="preserve">Symbol</w:t>
            </w:r>
          </w:p>
        </w:tc>
        <w:tc>
          <w:tcPr>
            <w:tcW w:w="4700" w:type="dxa"/>
          </w:tcPr>
          <w:p>
            <w:pPr>
              <w:pStyle w:val="Compact"/>
            </w:pPr>
            <w:r>
              <w:rPr>
                <w:b/>
                <w:bCs/>
              </w:rPr>
              <w:t xml:space="preserve">Meaning in plain words</w:t>
            </w:r>
          </w:p>
        </w:tc>
        <w:tc>
          <w:tcPr>
            <w:tcW w:w="3176" w:type="dxa"/>
          </w:tcPr>
          <w:p>
            <w:pPr>
              <w:pStyle w:val="Compact"/>
            </w:pPr>
            <w:r>
              <w:rPr>
                <w:b/>
                <w:bCs/>
              </w:rPr>
              <w:t xml:space="preserve">Running example</w:t>
            </w:r>
          </w:p>
        </w:tc>
      </w:tr>
      <w:tr>
        <w:trPr>
          <w:cantSplit/>
        </w:trPr>
        <w:tc>
          <w:tcPr>
            <w:tcW w:w="1700" w:type="dxa"/>
          </w:tcPr>
          <w:p>
            <w:pPr>
              <w:pStyle w:val="Compact"/>
            </w:pPr>
            <w:r>
              <w:rPr/>
              <w:t xml:space="preserve">K, i</w:t>
            </w:r>
          </w:p>
        </w:tc>
        <w:tc>
          <w:tcPr>
            <w:tcW w:w="4700" w:type="dxa"/>
          </w:tcPr>
          <w:p>
            <w:pPr>
              <w:pStyle w:val="Compact"/>
            </w:pPr>
            <w:r>
              <w:rPr/>
              <w:t xml:space="preserve">Trap types: the kinds of decoy service that can be deployed</w:t>
            </w:r>
          </w:p>
        </w:tc>
        <w:tc>
          <w:tcPr>
            <w:tcW w:w="3176" w:type="dxa"/>
          </w:tcPr>
          <w:p>
            <w:pPr>
              <w:pStyle w:val="Compact"/>
            </w:pPr>
            <w:r>
              <w:rPr/>
              <w:t xml:space="preserve">SSH, RDP, Modbus</w:t>
            </w:r>
          </w:p>
        </w:tc>
      </w:tr>
      <w:tr>
        <w:trPr>
          <w:cantSplit/>
        </w:trPr>
        <w:tc>
          <w:tcPr>
            <w:tcW w:w="1700" w:type="dxa"/>
          </w:tcPr>
          <w:p>
            <w:pPr>
              <w:pStyle w:val="Compact"/>
            </w:pPr>
            <w:r>
              <w:rPr/>
              <w:t xml:space="preserve">Z, z</w:t>
            </w:r>
          </w:p>
        </w:tc>
        <w:tc>
          <w:tcPr>
            <w:tcW w:w="4700" w:type="dxa"/>
          </w:tcPr>
          <w:p>
            <w:pPr>
              <w:pStyle w:val="Compact"/>
            </w:pPr>
            <w:r>
              <w:rPr/>
              <w:t xml:space="preserve">Zones: the parts of the network a decoy can be placed in</w:t>
            </w:r>
          </w:p>
        </w:tc>
        <w:tc>
          <w:tcPr>
            <w:tcW w:w="3176" w:type="dxa"/>
          </w:tcPr>
          <w:p>
            <w:pPr>
              <w:pStyle w:val="Compact"/>
            </w:pPr>
            <w:r>
              <w:rPr/>
              <w:t xml:space="preserve">Mgmt, OT</w:t>
            </w:r>
          </w:p>
        </w:tc>
      </w:tr>
      <w:tr>
        <w:trPr>
          <w:cantSplit/>
        </w:trPr>
        <w:tc>
          <w:tcPr>
            <w:tcW w:w="1700" w:type="dxa"/>
          </w:tcPr>
          <w:p>
            <w:pPr>
              <w:pStyle w:val="Compact"/>
            </w:pPr>
            <w:r>
              <w:rPr/>
              <w:t xml:space="preserve">H, t</w:t>
            </w:r>
          </w:p>
        </w:tc>
        <w:tc>
          <w:tcPr>
            <w:tcW w:w="4700" w:type="dxa"/>
          </w:tcPr>
          <w:p>
            <w:pPr>
              <w:pStyle w:val="Compact"/>
            </w:pPr>
            <w:r>
              <w:rPr/>
              <w:t xml:space="preserve">Slots: the planning periods (here 8-hour shifts)</w:t>
            </w:r>
          </w:p>
        </w:tc>
        <w:tc>
          <w:tcPr>
            <w:tcW w:w="3176" w:type="dxa"/>
          </w:tcPr>
          <w:p>
            <w:pPr>
              <w:pStyle w:val="Compact"/>
            </w:pPr>
            <w:r>
              <w:rPr/>
              <w:t xml:space="preserve">H = 3</w:t>
            </w:r>
          </w:p>
        </w:tc>
      </w:tr>
      <w:tr>
        <w:trPr>
          <w:cantSplit/>
        </w:trPr>
        <w:tc>
          <w:tcPr>
            <w:tcW w:w="1700" w:type="dxa"/>
          </w:tcPr>
          <w:p>
            <w:pPr>
              <w:pStyle w:val="Compact"/>
            </w:pPr>
            <w:r>
              <w:rPr/>
              <w:t xml:space="preserve">R̂, F, p = (r, f)</w:t>
            </w:r>
          </w:p>
        </w:tc>
        <w:tc>
          <w:tcPr>
            <w:tcW w:w="4700" w:type="dxa"/>
          </w:tcPr>
          <w:p>
            <w:pPr>
              <w:pStyle w:val="Compact"/>
            </w:pPr>
            <w:r>
              <w:rPr/>
              <w:t xml:space="preserve">Role (what the decoy pretends to be), fingerprint (the name tag an attacker sees), persona (a role wearing a fingerprint)</w:t>
            </w:r>
          </w:p>
        </w:tc>
        <w:tc>
          <w:tcPr>
            <w:tcW w:w="3176" w:type="dxa"/>
          </w:tcPr>
          <w:p>
            <w:pPr>
              <w:pStyle w:val="Compact"/>
            </w:pPr>
            <w:r>
              <w:rPr/>
              <w:t xml:space="preserve">DevOps_JumpHost as fpA; Generic_Linux as fpB</w:t>
            </w:r>
          </w:p>
        </w:tc>
      </w:tr>
      <w:tr>
        <w:trPr>
          <w:cantSplit/>
        </w:trPr>
        <w:tc>
          <w:tcPr>
            <w:tcW w:w="1700" w:type="dxa"/>
          </w:tcPr>
          <w:p>
            <w:pPr>
              <w:pStyle w:val="Compact"/>
            </w:pPr>
            <w:r>
              <w:rPr/>
              <w:t xml:space="preserve">x_{i,z,t,p}</w:t>
            </w:r>
          </w:p>
        </w:tc>
        <w:tc>
          <w:tcPr>
            <w:tcW w:w="4700" w:type="dxa"/>
          </w:tcPr>
          <w:p>
            <w:pPr>
              <w:pStyle w:val="Compact"/>
            </w:pPr>
            <w:r>
              <w:rPr/>
              <w:t xml:space="preserve">Yes/no decision: deploy type i in zone z in slot t as persona p</w:t>
            </w:r>
          </w:p>
        </w:tc>
        <w:tc>
          <w:tcPr>
            <w:tcW w:w="3176" w:type="dxa"/>
          </w:tcPr>
          <w:p>
            <w:pPr>
              <w:pStyle w:val="Compact"/>
            </w:pPr>
            <w:r>
              <w:rPr/>
              <w:t xml:space="preserve">36 decisions, 12 free</w:t>
            </w:r>
          </w:p>
        </w:tc>
      </w:tr>
      <w:tr>
        <w:trPr>
          <w:cantSplit/>
        </w:trPr>
        <w:tc>
          <w:tcPr>
            <w:tcW w:w="1700" w:type="dxa"/>
          </w:tcPr>
          <w:p>
            <w:pPr>
              <w:pStyle w:val="Compact"/>
            </w:pPr>
            <w:r>
              <w:rPr/>
              <w:t xml:space="preserve">Θ, θ</w:t>
            </w:r>
          </w:p>
        </w:tc>
        <w:tc>
          <w:tcPr>
            <w:tcW w:w="4700" w:type="dxa"/>
          </w:tcPr>
          <w:p>
            <w:pPr>
              <w:pStyle w:val="Compact"/>
            </w:pPr>
            <w:r>
              <w:rPr/>
              <w:t xml:space="preserve">Attacker profiles: the kinds of attacker planned for</w:t>
            </w:r>
          </w:p>
        </w:tc>
        <w:tc>
          <w:tcPr>
            <w:tcW w:w="3176" w:type="dxa"/>
          </w:tcPr>
          <w:p>
            <w:pPr>
              <w:pStyle w:val="Compact"/>
            </w:pPr>
            <w:r>
              <w:rPr/>
              <w:t xml:space="preserve">θ_low, θ_med, θ_burst</w:t>
            </w:r>
          </w:p>
        </w:tc>
      </w:tr>
      <w:tr>
        <w:trPr>
          <w:cantSplit/>
        </w:trPr>
        <w:tc>
          <w:tcPr>
            <w:tcW w:w="1700" w:type="dxa"/>
          </w:tcPr>
          <w:p>
            <w:pPr>
              <w:pStyle w:val="Compact"/>
            </w:pPr>
            <w:r>
              <w:rPr/>
              <w:t xml:space="preserve">τ_d, τ_dp</w:t>
            </w:r>
          </w:p>
        </w:tc>
        <w:tc>
          <w:tcPr>
            <w:tcW w:w="4700" w:type="dxa"/>
          </w:tcPr>
          <w:p>
            <w:pPr>
              <w:pStyle w:val="Compact"/>
            </w:pPr>
            <w:r>
              <w:rPr/>
              <w:t xml:space="preserve">How many consecutive slots of repetition an attacker needs to recognize a repeated type in a zone, or a reused fingerprint</w:t>
            </w:r>
          </w:p>
        </w:tc>
        <w:tc>
          <w:tcPr>
            <w:tcW w:w="3176" w:type="dxa"/>
          </w:tcPr>
          <w:p>
            <w:pPr>
              <w:pStyle w:val="Compact"/>
            </w:pPr>
            <w:r>
              <w:rPr/>
              <w:t xml:space="preserve">(2, 3), (2, 2), (1, 1)</w:t>
            </w:r>
          </w:p>
        </w:tc>
      </w:tr>
      <w:tr>
        <w:trPr>
          <w:cantSplit/>
        </w:trPr>
        <w:tc>
          <w:tcPr>
            <w:tcW w:w="1700" w:type="dxa"/>
          </w:tcPr>
          <w:p>
            <w:pPr>
              <w:pStyle w:val="Compact"/>
            </w:pPr>
            <w:r>
              <w:rPr/>
              <w:t xml:space="preserve">Burn (u, v)</w:t>
            </w:r>
          </w:p>
        </w:tc>
        <w:tc>
          <w:tcPr>
            <w:tcW w:w="4700" w:type="dxa"/>
          </w:tcPr>
          <w:p>
            <w:pPr>
              <w:pStyle w:val="Compact"/>
            </w:pPr>
            <w:r>
              <w:rPr/>
              <w:t xml:space="preserve">The attacker has recognized the decoy; it no longer earns credit</w:t>
            </w:r>
          </w:p>
        </w:tc>
        <w:tc>
          <w:tcPr>
            <w:tcW w:w="3176" w:type="dxa"/>
          </w:tcPr>
          <w:p>
            <w:pPr>
              <w:pStyle w:val="Compact"/>
            </w:pPr>
            <w:r>
              <w:rPr/>
              <w:t xml:space="preserve">static schedule: 4 of 6 recognized by θ_burst</w:t>
            </w:r>
          </w:p>
        </w:tc>
      </w:tr>
      <w:tr>
        <w:trPr>
          <w:cantSplit/>
        </w:trPr>
        <w:tc>
          <w:tcPr>
            <w:tcW w:w="1700" w:type="dxa"/>
          </w:tcPr>
          <w:p>
            <w:pPr>
              <w:pStyle w:val="Compact"/>
            </w:pPr>
            <w:r>
              <w:rPr/>
              <w:t xml:space="preserve">Q_θ(x)</w:t>
            </w:r>
          </w:p>
        </w:tc>
        <w:tc>
          <w:tcPr>
            <w:tcW w:w="4700" w:type="dxa"/>
          </w:tcPr>
          <w:p>
            <w:pPr>
              <w:pStyle w:val="Compact"/>
            </w:pPr>
            <w:r>
              <w:rPr/>
              <w:t xml:space="preserve">Score of schedule x against attacker θ: six weighted terms counting only unrecognized decoys</w:t>
            </w:r>
          </w:p>
        </w:tc>
        <w:tc>
          <w:tcPr>
            <w:tcW w:w="3176" w:type="dxa"/>
          </w:tcPr>
          <w:p>
            <w:pPr>
              <w:pStyle w:val="Compact"/>
            </w:pPr>
            <w:r>
              <w:rPr/>
              <w:t xml:space="preserve">max–min schedule: 2,754 / 2,754 / 2,583</w:t>
            </w:r>
          </w:p>
        </w:tc>
      </w:tr>
      <w:tr>
        <w:trPr>
          <w:cantSplit/>
        </w:trPr>
        <w:tc>
          <w:tcPr>
            <w:tcW w:w="1700" w:type="dxa"/>
          </w:tcPr>
          <w:p>
            <w:pPr>
              <w:pStyle w:val="Compact"/>
            </w:pPr>
            <w:r>
              <w:rPr/>
              <w:t xml:space="preserve">r*</w:t>
            </w:r>
          </w:p>
        </w:tc>
        <w:tc>
          <w:tcPr>
            <w:tcW w:w="4700" w:type="dxa"/>
          </w:tcPr>
          <w:p>
            <w:pPr>
              <w:pStyle w:val="Compact"/>
            </w:pPr>
            <w:r>
              <w:rPr/>
              <w:t xml:space="preserve">The best worst-case score that any rule-following schedule can guarantee</w:t>
            </w:r>
          </w:p>
        </w:tc>
        <w:tc>
          <w:tcPr>
            <w:tcW w:w="3176" w:type="dxa"/>
          </w:tcPr>
          <w:p>
            <w:pPr>
              <w:pStyle w:val="Compact"/>
            </w:pPr>
            <w:r>
              <w:rPr/>
              <w:t xml:space="preserve">2,583</w:t>
            </w:r>
          </w:p>
        </w:tc>
      </w:tr>
      <w:tr>
        <w:trPr>
          <w:cantSplit/>
        </w:trPr>
        <w:tc>
          <w:tcPr>
            <w:tcW w:w="1700" w:type="dxa"/>
          </w:tcPr>
          <w:p>
            <w:pPr>
              <w:pStyle w:val="Compact"/>
            </w:pPr>
            <w:r>
              <w:rPr/>
              <w:t xml:space="preserve">Certificate</w:t>
            </w:r>
          </w:p>
        </w:tc>
        <w:tc>
          <w:tcPr>
            <w:tcW w:w="4700" w:type="dxa"/>
          </w:tcPr>
          <w:p>
            <w:pPr>
              <w:pStyle w:val="Compact"/>
            </w:pPr>
            <w:r>
              <w:rPr/>
              <w:t xml:space="preserve">A machine-checkable proof, verified by a separate program, that no rule-following schedule beats r*</w:t>
            </w:r>
          </w:p>
        </w:tc>
        <w:tc>
          <w:tcPr>
            <w:tcW w:w="3176" w:type="dxa"/>
          </w:tcPr>
          <w:p>
            <w:pPr>
              <w:pStyle w:val="Compact"/>
            </w:pPr>
            <w:r>
              <w:rPr/>
              <w:t xml:space="preserve">small enough to enumerate instead: no schedule reaches 2,584</w:t>
            </w:r>
          </w:p>
        </w:tc>
      </w:tr>
      <w:tr>
        <w:trPr>
          <w:cantSplit/>
        </w:trPr>
        <w:tc>
          <w:tcPr>
            <w:tcW w:w="1700" w:type="dxa"/>
          </w:tcPr>
          <w:p>
            <w:pPr>
              <w:pStyle w:val="Compact"/>
            </w:pPr>
            <w:r>
              <w:rPr/>
              <w:t xml:space="preserve">U11</w:t>
            </w:r>
          </w:p>
        </w:tc>
        <w:tc>
          <w:tcPr>
            <w:tcW w:w="4700" w:type="dxa"/>
          </w:tcPr>
          <w:p>
            <w:pPr>
              <w:pStyle w:val="Compact"/>
            </w:pPr>
            <w:r>
              <w:rPr/>
              <w:t xml:space="preserve">The update that shortens τ when threat intelligence reports more frequent attacks</w:t>
            </w:r>
          </w:p>
        </w:tc>
        <w:tc>
          <w:tcPr>
            <w:tcW w:w="3176" w:type="dxa"/>
          </w:tcPr>
          <w:p>
            <w:pPr>
              <w:pStyle w:val="Compact"/>
            </w:pPr>
            <w:r>
              <w:rPr/>
              <w:t xml:space="preserve">τ_d from 2 to 1 after the OT bulletin</w:t>
            </w:r>
          </w:p>
        </w:tc>
      </w:tr>
    </w:tbl>
    <w:p w14:paraId="2443A27B" w14:textId="77777777" w:rsidR="00BB174B" w:rsidRDefault="00000000">
      <w:pPr>
        <w:pStyle w:val="Heading3"/>
      </w:pPr>
      <w:bookmarkStart w:id="7" w:name="X91314b7dbea8da209002bcc7c2b9fd8d3f08168"/>
      <w:bookmarkEnd w:id="6"/>
      <w:r>
        <w:t>3.3 Persona Space: Product-Space Decomposition P = R̂ × F</w:t>
      </w:r>
    </w:p>
    <w:p w14:paraId="51BD0274" w14:textId="77777777" w:rsidR="00BB174B" w:rsidRDefault="00000000">
      <w:pPr>
        <w:pStyle w:val="FirstParagraph"/>
      </w:pPr>
      <w:r>
        <w:rP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rP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rP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77777777" w:rsidR="00BB174B" w:rsidRDefault="00000000">
      <w:pPr>
        <w:pStyle w:val="FirstParagraph"/>
      </w:pPr>
      <w:r>
        <w:rPr/>
        <w:t>ZSTP models four discrete attacker profiles Θ = {θ_low, θ_med, θ_high, θ_burst} with attack strength ρ = 0.10, 0.30, 0.60, and 0.85. Profiles differ in recognition thresholds (from U11: τ_d = 2, 2, 1, 1 slots for a repeated trap type and τ_dp = 3, 2, 1, 1 slots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rPr/>
        <w:t xml:space="preserve">The </w:t>
      </w:r>
      <w:r>
        <w:rPr>
          <w:b/>
        </w:rPr>
        <w:t>certified robust objective</w:t>
      </w:r>
      <w:r>
        <w:rP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an independently verified unsatisfiability proof that no feasible schedule reaches r* + 0.01. On the test instance r* = 7,052.62; an independent CP-SAT model gives the same value, and the binding profile is θ_high.</w:t>
      </w:r>
    </w:p>
    <w:p>
      <w:pPr>
        <w:pStyle w:val="BodyText"/>
      </w:pPr>
      <w:r>
        <w:rPr>
          <w:b/>
          <w:bCs/>
        </w:rPr>
        <w:t xml:space="preserve">Reading the objective.</w:t>
      </w:r>
      <w:r>
        <w:rPr/>
        <w:t xml:space="preserve"> For each feasible schedule, Q_θ is evaluated under every profile and only the lowest value is kept; r* is the largest such value over all feasible schedules. This differs from maximizing the mean score: a schedule scoring 9,000 under three profiles and 2,000 under the fourth has a higher mean than one scoring 7,000 under all four, but guarantees less. Because the binding profile depends on the schedule — θ_high binds for 10 of the 13 schedules in Table 7 and θ_burst for 3 — no single profile can be chosen in advance as the one to optimize, which is why both the Q-med and the burst-first schedules fall below r* (Section 7.2).</w:t>
      </w:r>
    </w:p>
    <w:p w14:paraId="6A64593A" w14:textId="77777777" w:rsidR="00BB174B" w:rsidRDefault="00000000">
      <w:pPr>
        <w:pStyle w:val="BodyText"/>
      </w:pPr>
      <w:r>
        <w:rPr>
          <w:b/>
        </w:rPr>
        <w:t>NP-hardness.</w:t>
      </w:r>
      <w:r>
        <w:rP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requires nothing), with one slot (H = 1 &lt; W) C10b has no window, the slot is valid, and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pPr>
        <w:pStyle w:val="Heading3"/>
      </w:pPr>
      <w:r>
        <w:rPr/>
        <w:t xml:space="preserve">3.5 Running Example: One Corridor, Three Slots</w:t>
      </w:r>
    </w:p>
    <w:p>
      <w:pPr>
        <w:pStyle w:val="BodyText"/>
      </w:pPr>
      <w:r>
        <w:rPr/>
        <w:t xml:space="preserve">To make the formulation concrete, we use a deliberately small instance in the remainder of the paper. It keeps one corridor of the XLarge network — the Mgmt zone, where administrators’ jump hosts bridge IT and the plant, and the OT zone that controls physical equipment — over H = 3 slots of 8 h. There are three trap types: SSH and RDP services, plausible only in Mgmt, and a Modbus/TCP controller, plausible only in OT and only as Generic_Linux; C5 forbids SSH and RDP in OT. There are two personas, DevOps_JumpHost with fingerprint fpA and Generic_Linux with fpB; budgets B_t = 2 and B_z = 1; c_max = 2 and W = 2; one attack path Mgmt (T1021) → OT (T0855) whose OT hop is critical (ρ_π = 0.5); and three profiles θ_low, θ_med and θ_burst with the U11 thresholds of Section 3.4, (τ_d, τ_dp) = (2, 3), (2, 2) and (1, 1). The objective uses the layer weights of Table 6, with L3_fwd and L3_bwd applied together as 170 per covered hop and L2 computed from technique weights only. The instance is small enough that every assignment of its free variables can be enumerated, so each number reported for it was also checked exhaustively. It illustrates the mechanisms; the results of the paper are those of Section 7.</w:t>
      </w:r>
    </w:p>
    <w:p>
      <w:pPr>
        <w:pStyle w:val="BodyText"/>
      </w:pPr>
      <w:r>
        <w:rPr>
          <w:b/>
          <w:bCs/>
        </w:rPr>
        <w:t xml:space="preserve">Real-world reading.</w:t>
      </w:r>
      <w:r>
        <w:rPr/>
        <w:t xml:space="preserve"> Figure 5 places the instance in context: a regional water and power utility whose attack path runs DMZ → Internal → Mgmt → OT, with an air gap in front of the plant controls. The corridor modeled here is the last hop of that path, and each contribution acts at a definite place and time: C1 turns every (decoy type, zone, shift, identity) choice into one decision; C2 forbids, for example, IT-type decoys behind the air gap and ranks an interception at Mgmt above one at OT; C3 judges a plan by the attacker type it handles worst; C4 replays the plan against an emulated attacker before deployment; and C5 lets the jump-host decoy keep its role while its identity rotates, and keeps the Mgmt → OT hop both frequently covered and never uncovered for long.</w:t>
      </w:r>
    </w:p>
    <w:p>
      <w:pPr>
        <w:pStyle w:val="CaptionedFigure"/>
        <w:keepNext/>
        <w:jc w:val="center"/>
      </w:pPr>
      <w:r>
        <w:drawing>
          <wp:inline distT="0" distB="0" distL="0" distR="0">
            <wp:extent cx="5943600" cy="3599243"/>
            <wp:docPr id="9301" name="Figure 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realworld.png"/>
                    <pic:cNvPicPr/>
                  </pic:nvPicPr>
                  <pic:blipFill>
                    <a:blip r:embed="rIdN9301"/>
                    <a:stretch>
                      <a:fillRect/>
                    </a:stretch>
                  </pic:blipFill>
                  <pic:spPr>
                    <a:xfrm>
                      <a:off x="0" y="0"/>
                      <a:ext cx="5943600" cy="3599243"/>
                    </a:xfrm>
                    <a:prstGeom prst="rect">
                      <a:avLst/>
                    </a:prstGeom>
                  </pic:spPr>
                </pic:pic>
              </a:graphicData>
            </a:graphic>
          </wp:inline>
        </w:drawing>
      </w:r>
    </w:p>
    <w:p>
      <w:pPr>
        <w:pStyle w:val="ImageCaption"/>
      </w:pPr>
      <w:r>
        <w:rPr>
          <w:b/>
          <w:bCs/>
        </w:rPr>
        <w:t xml:space="preserve">Figure 5.</w:t>
      </w:r>
      <w:r>
        <w:t xml:space="preserve"> Real-world reading of the five contributions on a regional water and power utility (illustrative). The attack path runs DMZ → Internal → Mgmt → OT across an air gap, with 8-hour shifts as time slots; badges C1–C5 show where each contribution acts, and the highlighted Mgmt and OT zones are the corridor of the running example. In plain terms: the cards below the network state what each contribution does for the operator.</w:t>
      </w:r>
    </w:p>
    <w:p>
      <w:pPr>
        <w:pStyle w:val="BodyText"/>
      </w:pPr>
      <w:r>
        <w:rPr>
          <w:b/>
          <w:bCs/>
        </w:rPr>
        <w:t xml:space="preserve">C1 on the example.</w:t>
      </w:r>
      <w:r>
        <w:rPr/>
        <w:t xml:space="preserve"> The decision space has 3 × 2 × 3 × 2 = 36 variables. C5 (air gap) and C5b (plausibility) fix 24 of them to 0, leaving 12 — per slot: SSH in Mgmt as fpA or as fpB, RDP in Mgmt as fpA, and Modbus in OT as fpB — and the hard rules admit 87 of the 2^12 = 4,096 assignments. Burn couples the slots: a Modbus deployment in OT in slots 1 and 2 earns credit in slot 1 under every profile, but its slot-2 copy is recognized by θ_burst (τ_d = 1) and not by θ_med (τ_d = 2). Figure 2(b) shows how burn couples cells in time (same zone, next slot) and across zones (same fingerprint, next slot). C1 is therefore the layer on which every later contribution operates: C2 writes its rules over these cells, C3 searches them, and C5(a) refines their identity axis.</w:t>
      </w:r>
    </w:p>
    <w:p>
      <w:pPr>
        <w:pStyle w:val="BodyText"/>
      </w:pPr>
      <w:r>
        <w:rPr>
          <w:b/>
          <w:bCs/>
        </w:rPr>
        <w:t xml:space="preserve">The whole scenario at a glance.</w:t>
      </w:r>
      <w:r>
        <w:rPr/>
        <w:t xml:space="preserve"> Figure 6 follows the running example from start to finish in six steps, each drawn as the same zone × shift timetable so that the reader can compare them directly. (1) The setting: the Mgmt → OT corridor, three shifts, two decoys at a time and three attacker types. (2) The habitual static schedule, which the fast attacker unmasks from the second shift on. (3) The max–min schedule (C3), which changes the decoy type and rests the identity in Mgmt; with the two available fingerprints no rule-following schedule scores higher. (4) A threat bulletin that tightens the rules (U11, Algorithm 1) and forces a redeployment. (5) A different setup in which the defender has one more fingerprint for the same role (C5(a)): max–min is solved again, and the new certified schedule keeps the Mgmt decoy live in every shift. (6) The worst-case scores, grouped by setup. Step 5 does not beat max–min; it shows that max–min, applied to a setup with more identities, certifies a higher optimum — the same effect as the +28.8% reported for XLarge in Section 7.7. Sections 4–7 return to these steps when they introduce each contribution formally.</w:t>
      </w:r>
    </w:p>
    <w:p>
      <w:pPr>
        <w:pStyle w:val="CaptionedFigure"/>
        <w:keepNext/>
        <w:jc w:val="center"/>
      </w:pPr>
      <w:r>
        <w:drawing>
          <wp:inline distT="0" distB="0" distL="0" distR="0">
            <wp:extent cx="5943600" cy="4416425"/>
            <wp:docPr id="9120" name="Fig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yboard.png"/>
                    <pic:cNvPicPr/>
                  </pic:nvPicPr>
                  <pic:blipFill>
                    <a:blip r:embed="rIdN9120"/>
                    <a:stretch>
                      <a:fillRect/>
                    </a:stretch>
                  </pic:blipFill>
                  <pic:spPr>
                    <a:xfrm>
                      <a:off x="0" y="0"/>
                      <a:ext cx="5943600" cy="4416425"/>
                    </a:xfrm>
                    <a:prstGeom prst="rect">
                      <a:avLst/>
                    </a:prstGeom>
                  </pic:spPr>
                </pic:pic>
              </a:graphicData>
            </a:graphic>
          </wp:inline>
        </w:drawing>
      </w:r>
    </w:p>
    <w:p>
      <w:pPr>
        <w:pStyle w:val="ImageCaption"/>
      </w:pPr>
      <w:r>
        <w:rPr>
          <w:b/>
          <w:bCs/>
        </w:rPr>
        <w:t xml:space="preserve">Figure 6.</w:t>
      </w:r>
      <w:r>
        <w:t xml:space="preserve"> The running example end to end. Each timetable shows two zones (rows) over three 8-hour shifts (columns); green cells marked ✓ are decoys that still earn credit, grey hatched cells marked ✗ are decoys the fast attacker θ_burst has recognized, and white cells are empty; A, B and C abbreviate the fingerprints fpA, fpB and fpC. The number at the top right of each step is the worst-case score over the attacker profiles. Steps 2–3 share one setup (two fingerprints); step 5 is a second setup with a third fingerprint, solved again by max–min. For this small example, optimality is proven by enumerating every schedule; on XLarge it is proven by the certificate of Section 7.5. In plain terms: within a given setup nothing beats the max–min plan; giving the defender more identities to rotate raises the best achievable score, and max–min finds that new best.</w:t>
      </w:r>
    </w:p>
    <w:p>
      <w:pPr>
        <w:pStyle w:val="BodyText"/>
      </w:pPr>
      <w:r>
        <w:rPr>
          <w:b/>
          <w:bCs/>
        </w:rPr>
        <w:t xml:space="preserve">Spatio-temporal view.</w:t>
      </w:r>
      <w:r>
        <w:rPr/>
        <w:t xml:space="preserve"> Steps 2 and 3 of Figure 6 draw two schedules as zone × shift timetables under θ_burst. The static schedule — the same decoys under the same identities in every slot — loses four of its six deployments to recognition from slot 2 onward and scores 1,402 under θ_burst (2,744 under θ_low and θ_med). The max–min schedule changes the type of the Mgmt decoy between slots 1 and 3 and rests fpA in slot 2, so nothing in Mgmt repeats; in OT, the path rules force the only plausible decoy into two adjacent slots, so exactly one deployment is recognized. Its worst case is r* = 2,583 (2,754 under θ_low and θ_med), 1.84× that of the static schedule.</w:t>
      </w:r>
    </w:p>
    <w:p w14:paraId="26BFE4A2" w14:textId="77777777" w:rsidR="00BB174B" w:rsidRDefault="00513988">
      <w:r>
        <w:rPr>
          <w:noProof/>
        </w:rPr>
      </w:r>
      <w:r>
        <w:pict w14:anchorId="04EDE591">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rPr/>
        <w:t>4.1 Hard Constraint Layer and Pre-Solve Updates</w:t>
      </w:r>
    </w:p>
    <w:p w14:paraId="47AD5FED" w14:textId="77777777" w:rsidR="00BB174B" w:rsidRDefault="00000000">
      <w:pPr>
        <w:pStyle w:val="FirstParagraph"/>
      </w:pPr>
      <w:r>
        <w:rP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5 lists every rule with its real-world meaning and how often the ten baselines break it.</w:t>
      </w:r>
    </w:p>
    <w:p w14:paraId="6145DB2A" w14:textId="77777777" w:rsidR="00BB174B" w:rsidRDefault="00000000">
      <w:pPr>
        <w:pStyle w:val="BodyText"/>
      </w:pPr>
      <w:r>
        <w:rPr>
          <w:b/>
        </w:rPr>
        <w:t>Table 5.</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6ADE97CD" w14:textId="77777777">
        <w:tc>
          <w:tcPr>
            <w:tcW w:w="700" w:type="dxa"/>
          </w:tcPr>
          <w:p w14:paraId="09DB33CB" w14:textId="77777777" w:rsidR="00BB174B" w:rsidRDefault="00000000">
            <w:pPr>
              <w:pStyle w:val="Compact"/>
            </w:pPr>
            <w:r>
              <w:rPr>
                <w:sz w:val="17"/>
              </w:rPr>
              <w:t>C14</w:t>
            </w:r>
          </w:p>
        </w:tc>
        <w:tc>
          <w:tcPr>
            <w:tcW w:w="3000" w:type="dxa"/>
          </w:tcPr>
          <w:p w14:paraId="395EAE04" w14:textId="77777777" w:rsidR="00BB174B" w:rsidRDefault="00000000">
            <w:pPr>
              <w:pStyle w:val="Compact"/>
            </w:pPr>
            <w:r>
              <w:rPr>
                <w:sz w:val="17"/>
              </w:rPr>
              <w:t>Cross-zone fingerprint uniqueness per slot</w:t>
            </w:r>
          </w:p>
        </w:tc>
        <w:tc>
          <w:tcPr>
            <w:tcW w:w="2700" w:type="dxa"/>
          </w:tcPr>
          <w:p w14:paraId="00469CEF" w14:textId="77777777" w:rsidR="00BB174B" w:rsidRDefault="00000000">
            <w:pPr>
              <w:pStyle w:val="Compact"/>
            </w:pPr>
            <w:r>
              <w:rPr>
                <w:sz w:val="17"/>
              </w:rPr>
              <w:t>Same identity cannot appear in two zones at once</w:t>
            </w:r>
          </w:p>
        </w:tc>
        <w:tc>
          <w:tcPr>
            <w:tcW w:w="2960" w:type="dxa"/>
          </w:tcPr>
          <w:p w14:paraId="2FFF2942" w14:textId="77777777" w:rsidR="00BB174B" w:rsidRDefault="00000000">
            <w:pPr>
              <w:pStyle w:val="Compact"/>
            </w:pPr>
            <w:r>
              <w:rPr>
                <w:sz w:val="17"/>
              </w:rPr>
              <w:t>6 of 10 baselines</w:t>
            </w:r>
          </w:p>
        </w:tc>
      </w:tr>
      <w:tr w:rsidR="00BB174B" w14:paraId="6ADE97CD" w14:textId="77777777">
        <w:tc>
          <w:tcPr>
            <w:tcW w:w="700" w:type="dxa"/>
          </w:tcPr>
          <w:p w14:paraId="09DB33CB" w14:textId="77777777" w:rsidR="00BB174B" w:rsidRDefault="00000000">
            <w:pPr>
              <w:pStyle w:val="Compact"/>
            </w:pPr>
            <w:r>
              <w:rPr>
                <w:sz w:val="17"/>
              </w:rPr>
              <w:t>F15</w:t>
            </w:r>
          </w:p>
        </w:tc>
        <w:tc>
          <w:tcPr>
            <w:tcW w:w="3000" w:type="dxa"/>
          </w:tcPr>
          <w:p w14:paraId="395EAE04" w14:textId="77777777" w:rsidR="00BB174B" w:rsidRDefault="00000000">
            <w:pPr>
              <w:pStyle w:val="Compact"/>
            </w:pPr>
            <w:r>
              <w:rPr>
                <w:sz w:val="17"/>
              </w:rPr>
              <w:t>Slot validity before solving: κ_t ≥ κ_min (8 h ≥ 2 h)</w:t>
            </w:r>
          </w:p>
        </w:tc>
        <w:tc>
          <w:tcPr>
            <w:tcW w:w="2700" w:type="dxa"/>
          </w:tcPr>
          <w:p w14:paraId="00469CEF" w14:textId="77777777" w:rsidR="00BB174B" w:rsidRDefault="00000000">
            <w:pPr>
              <w:pStyle w:val="Compact"/>
            </w:pPr>
            <w:r>
              <w:rPr>
                <w:sz w:val="17"/>
              </w:rPr>
              <w:t>Placements only in valid slots</w:t>
            </w:r>
          </w:p>
        </w:tc>
        <w:tc>
          <w:tcPr>
            <w:tcW w:w="2960" w:type="dxa"/>
          </w:tcPr>
          <w:p w14:paraId="2FFF2942" w14:textId="77777777" w:rsidR="00BB174B" w:rsidRDefault="00000000">
            <w:pPr>
              <w:pStyle w:val="Compact"/>
            </w:pPr>
            <w:r>
              <w:rPr>
                <w:sz w:val="17"/>
              </w:rPr>
              <w:t>All slots valid</w:t>
            </w:r>
          </w:p>
        </w:tc>
      </w:tr>
    </w:tbl>
    <w:p>
      <w:pPr>
        <w:pStyle w:val="BodyText"/>
      </w:pPr>
      <w:r>
        <w:rPr>
          <w:b/>
          <w:bCs/>
        </w:rPr>
        <w:t xml:space="preserve">Hard rules on the running example.</w:t>
      </w:r>
      <w:r>
        <w:rPr/>
        <w:t xml:space="preserve"> Figure 7(a) checks every hard rule against one concrete timetable, the max–min schedule of Section 3.5. Each rule restricts a cell (where), a row over time (when) or the name tags used in a shift (identity), and the timetable passes all of them. Of the 4,096 possible timetables only 87 pass, and the solver chooses among these only: a hard rule is never traded for score. Figure 7(b) counts, for each rule, how many of the ten baselines of Section 7 break it on the XLarge instance. The critical-hop rules C10a and C10b and the identity rules C12 and C14 are broken most often; no ZSTP schedule breaks any rule.</w:t>
      </w:r>
    </w:p>
    <w:p>
      <w:pPr>
        <w:pStyle w:val="CaptionedFigure"/>
        <w:keepNext/>
        <w:jc w:val="center"/>
      </w:pPr>
      <w:r>
        <w:drawing>
          <wp:inline distT="0" distB="0" distL="0" distR="0">
            <wp:extent cx="5943600" cy="4292600"/>
            <wp:docPr id="9402" name="Figure 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hard.png"/>
                    <pic:cNvPicPr/>
                  </pic:nvPicPr>
                  <pic:blipFill>
                    <a:blip r:embed="rIdN9402"/>
                    <a:stretch>
                      <a:fillRect/>
                    </a:stretch>
                  </pic:blipFill>
                  <pic:spPr>
                    <a:xfrm>
                      <a:off x="0" y="0"/>
                      <a:ext cx="5943600" cy="4292600"/>
                    </a:xfrm>
                    <a:prstGeom prst="rect">
                      <a:avLst/>
                    </a:prstGeom>
                  </pic:spPr>
                </pic:pic>
              </a:graphicData>
            </a:graphic>
          </wp:inline>
        </w:drawing>
      </w:r>
    </w:p>
    <w:p>
      <w:pPr>
        <w:pStyle w:val="ImageCaption"/>
      </w:pPr>
      <w:r>
        <w:rPr>
          <w:b/>
          <w:bCs/>
        </w:rPr>
        <w:t xml:space="preserve">Figure 7.</w:t>
      </w:r>
      <w:r>
        <w:t xml:space="preserve"> Hard rules made concrete. (a) The rules of Table 5 checked on the max–min timetable of the running example, grouped by the axis they restrict. (b) Number of the ten baselines that break each rule on the XLarge instance, as produced (Table 5, last column); every ZSTP schedule passes the hard-rule audit (Table 9).</w:t>
      </w:r>
    </w:p>
    <w:p>
      <w:pPr>
        <w:pStyle w:val="BodyText"/>
      </w:pPr>
      <w:r>
        <w:rPr>
          <w:b/>
          <w:bCs/>
        </w:rPr>
        <w:t xml:space="preserve">Running example (C2, C5b).</w:t>
      </w:r>
      <w:r>
        <w:rPr/>
        <w:t xml:space="preserve"> Each rule becomes a short clause over the twelve free variables; for example, C14 for fpB in slot 1 is ¬x_{SSH,Mgmt,1,Generic_Linux} ∨ ¬x_{Modbus,OT,1,Generic_Linux}, and C8 forbids the on–off–on pattern x_1 ∧ ¬x_2 ∧ x_3 of any deployment. With ρ_π = 0.5 and H = 3, C10a requires the OT hop to be covered in at least two slots, while C10b forbids two consecutive uncovered slots. The two rules are not redundant: with ρ_π = 0.3, coverage in slot 1 only satisfies C10a but violates C10b, and with ρ_π = 0.5, coverage in slot 2 only satisfies C10b but violates C10a. With ρ_π = 0.5, the only coverage patterns that C10a, C10b and C8 allow together are slots {1, 2}, {2, 3} and {1, 2, 3}; each places the single plausible OT deployment in adjacent slots, so θ_burst must recognize it once — the mechanism behind the zero-burn infeasibility shown for XLarge in Section 4.2 (see also Figure 19(b)).</w:t>
      </w:r>
    </w:p>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rP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w:t>
      </w:r>
      <w:r>
        <w:rPr/>
        <w:t xml:space="preserve"> Figure 8 shows this order across two consecutive slots.</w:t>
      </w:r>
    </w:p>
    <w:p>
      <w:pPr>
        <w:pStyle w:val="CaptionedFigure"/>
        <w:keepNext/>
        <w:jc w:val="center"/>
      </w:pPr>
      <w:r>
        <w:drawing>
          <wp:inline distT="0" distB="0" distL="0" distR="0">
            <wp:extent cx="5943600" cy="2056921"/>
            <wp:docPr id="9303" name="Figure 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observeburn.png"/>
                    <pic:cNvPicPr/>
                  </pic:nvPicPr>
                  <pic:blipFill>
                    <a:blip r:embed="rIdN9303"/>
                    <a:stretch>
                      <a:fillRect/>
                    </a:stretch>
                  </pic:blipFill>
                  <pic:spPr>
                    <a:xfrm>
                      <a:off x="0" y="0"/>
                      <a:ext cx="5943600" cy="2056921"/>
                    </a:xfrm>
                    <a:prstGeom prst="rect">
                      <a:avLst/>
                    </a:prstGeom>
                  </pic:spPr>
                </pic:pic>
              </a:graphicData>
            </a:graphic>
          </wp:inline>
        </w:drawing>
      </w:r>
    </w:p>
    <w:p>
      <w:pPr>
        <w:pStyle w:val="ImageCaption"/>
      </w:pPr>
      <w:r>
        <w:rPr>
          <w:b/>
          <w:bCs/>
        </w:rPr>
        <w:t xml:space="preserve">Figure 8.</w:t>
      </w:r>
      <w:r>
        <w:t xml:space="preserve"> Observe-then-burn order within each slot, shared by the encoding, the evaluator and the emulation. In plain terms: what the attacker sees in one slot can only unmask a repeat in the next slot, so every decoy earns credit the first time it is seen, even against θ_burst (τ = 1).</w:t>
      </w:r>
    </w:p>
    <w:p w14:paraId="42DFABB8" w14:textId="77777777" w:rsidR="00BB174B" w:rsidRDefault="00000000">
      <w:pPr>
        <w:pStyle w:val="BodyText"/>
      </w:pPr>
      <w:r>
        <w:rPr/>
        <w:t>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recognizes the repeat. Zero burn under θ_low and θ_med alone costs nothing (best worst case 7,052.62 = r*).</w:t>
      </w:r>
    </w:p>
    <w:p w14:paraId="19CB84F1" w14:textId="77777777" w:rsidR="00BB174B" w:rsidRDefault="00513988">
      <w:r>
        <w:rPr>
          <w:noProof/>
        </w:rPr>
      </w:r>
      <w:r>
        <w:pict w14:anchorId="52755C90">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rP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6.</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coverage across attack path π; L3_fwd and L3_bwd are summed, so each covered hop earns weight 170</w:t>
            </w:r>
          </w:p>
        </w:tc>
      </w:tr>
      <w:tr w:rsidR="00BB174B" w14:paraId="4922EA13" w14:textId="77777777">
        <w:tc>
          <w:tcPr>
            <w:tcW w:w="0" w:type="auto"/>
          </w:tcPr>
          <w:p w14:paraId="206B057E" w14:textId="77777777" w:rsidR="00BB174B" w:rsidRDefault="00000000">
            <w:pPr>
              <w:pStyle w:val="Compact"/>
            </w:pPr>
            <w:r>
              <w:lastRenderedPageBreak/>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Backward component of the same hop-coverage term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Distinct ATT&amp;CK tactic families covered, each weighted by the sum of its technique weights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Distinct ATT&amp;CK techniques covered, each weighted by its weight w_j</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pPr>
        <w:pStyle w:val="BodyText"/>
      </w:pPr>
      <w:r>
        <w:rPr>
          <w:b/>
          <w:bCs/>
        </w:rPr>
        <w:t xml:space="preserve">Soft objective on the running example.</w:t>
      </w:r>
      <w:r>
        <w:rPr/>
        <w:t xml:space="preserve"> Figure 9(a) builds the worst-case score of the max–min schedule of Section 3.5 from its parts: the Mgmt hop is caught early in shifts 1 and 3 (L4: 2 × 1,000); three hop-shifts are covered (L3: 3 × 170, the forward and backward weights 100 + 70 combined); four techniques with weights 2, 1, 1 and 3 are seen (L2: 7 × 10); and three decoy-shifts are live (L1: 3 × 1), for a total of 2,583. Figure 9(b) splits the θ_burst scores of three timetables the same way. The habitual static schedule loses an early catch because θ_burst recognizes its repeated decoys; the schedule that is best for θ_med loses hop coverage and technique breadth for the same reason.</w:t>
      </w:r>
    </w:p>
    <w:p>
      <w:pPr>
        <w:pStyle w:val="CaptionedFigure"/>
        <w:keepNext/>
        <w:jc w:val="center"/>
      </w:pPr>
      <w:r>
        <w:drawing>
          <wp:inline distT="0" distB="0" distL="0" distR="0">
            <wp:extent cx="5943600" cy="3013075"/>
            <wp:docPr id="9403" name="Figure 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soft.png"/>
                    <pic:cNvPicPr/>
                  </pic:nvPicPr>
                  <pic:blipFill>
                    <a:blip r:embed="rIdN9403"/>
                    <a:stretch>
                      <a:fillRect/>
                    </a:stretch>
                  </pic:blipFill>
                  <pic:spPr>
                    <a:xfrm>
                      <a:off x="0" y="0"/>
                      <a:ext cx="5943600" cy="3013075"/>
                    </a:xfrm>
                    <a:prstGeom prst="rect">
                      <a:avLst/>
                    </a:prstGeom>
                  </pic:spPr>
                </pic:pic>
              </a:graphicData>
            </a:graphic>
          </wp:inline>
        </w:drawing>
      </w:r>
    </w:p>
    <w:p>
      <w:pPr>
        <w:pStyle w:val="ImageCaption"/>
      </w:pPr>
      <w:r>
        <w:rPr>
          <w:b/>
          <w:bCs/>
        </w:rPr>
        <w:t xml:space="preserve">Figure 9.</w:t>
      </w:r>
      <w:r>
        <w:t xml:space="preserve"> The soft objective made concrete on the running example (θ_burst). (a) The score 2,583 of the max–min schedule, level by level. (b) The same levels for the habitual static schedule, the schedule that is best for θ_med, and the max–min schedule. Weights follow Table 6 (L3 = 100 + 70 per covered hop); the running example has a single L2 term.</w:t>
      </w:r>
    </w:p>
    <w:p>
      <w:pPr>
        <w:pStyle w:val="BodyText"/>
      </w:pPr>
      <w:r>
        <w:rPr/>
        <w:t xml:space="preserve">The six terms form four priority levels: L4; L3 = L3_fwd + L3_bwd, which score the same covered hop; L2 = L2_fam + L2_tech, which both measure ATT&amp;CK breadth; and L1. Strict priority is enforced between these four levels (Section 5.2), while terms within a level are added with their weights. </w:t>
      </w:r>
      <w:r>
        <w:rPr>
          <w:b/>
          <w:bCs/>
        </w:rPr>
        <w:t xml:space="preserve">Running example.</w:t>
      </w:r>
      <w:r>
        <w:rPr/>
        <w:t xml:space="preserve"> For the static schedule of Figure 6 (step 2) under θ_burst, only slot 1 earns credit: L4 = 1,000 (the Mgmt hop is intercepted once before the target), L3 = 2 × 170 = 340, L2 = 10 × (2 + 1 + 3) = 60 for techniques T1021, T1021.004 and T0855, and L1 = 2, so Q_burst = 1,402. Under θ_low and θ_med nothing is yet recognized and the same schedule scores 2,744: the burn profile, not the placement, separates the scores. Figure 10 summarizes this layer: the hard rules grouped by the axis they restrict, and the six terms grouped into the four levels that the passes of Section 5.2 enforce. In the hierarchy of Figure 1, C2 is what C3 optimizes over, and refinements C5(b) and C5(c) belong to it.</w:t>
      </w:r>
    </w:p>
    <w:p>
      <w:pPr>
        <w:pStyle w:val="CaptionedFigure"/>
        <w:keepNext/>
        <w:jc w:val="center"/>
      </w:pPr>
      <w:r>
        <w:drawing>
          <wp:inline distT="0" distB="0" distL="0" distR="0">
            <wp:extent cx="5943600" cy="2344288"/>
            <wp:docPr id="9208" name="Figure 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2_rules_levels.png"/>
                    <pic:cNvPicPr/>
                  </pic:nvPicPr>
                  <pic:blipFill>
                    <a:blip r:embed="rIdN9208"/>
                    <a:stretch>
                      <a:fillRect/>
                    </a:stretch>
                  </pic:blipFill>
                  <pic:spPr>
                    <a:xfrm>
                      <a:off x="0" y="0"/>
                      <a:ext cx="5943600" cy="2344288"/>
                    </a:xfrm>
                    <a:prstGeom prst="rect">
                      <a:avLst/>
                    </a:prstGeom>
                  </pic:spPr>
                </pic:pic>
              </a:graphicData>
            </a:graphic>
          </wp:inline>
        </w:drawing>
      </w:r>
    </w:p>
    <w:p>
      <w:pPr>
        <w:pStyle w:val="ImageCaption"/>
      </w:pPr>
      <w:r>
        <w:rPr>
          <w:b/>
          <w:bCs/>
        </w:rPr>
        <w:t xml:space="preserve">Figure 10.</w:t>
      </w:r>
      <w:r>
        <w:t xml:space="preserve"> C2 at a glance. (a) The hard rules grouped by the axis they restrict: where (spatial), when (temporal) and identity. (b) The six weighted terms of Table 6 grouped into the four priority levels enforced by the four passes, with the XLarge pass optima at θ_med and their share of Q-med. Real-world reading: the operator states what must never happen (left) and what matters most, in order (right).</w:t>
      </w:r>
    </w:p>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rP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rP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rP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rPr/>
        <w:t xml:space="preserve"> Maximize L2 (ATT&amp;CK breadth), with the L4 and L3 floors. Optimum: 464.20.</w:t>
      </w:r>
    </w:p>
    <w:p w14:paraId="0405B04E" w14:textId="77777777" w:rsidR="00BB174B" w:rsidRDefault="00000000">
      <w:pPr>
        <w:pStyle w:val="Compact"/>
        <w:numPr>
          <w:ilvl w:val="0"/>
          <w:numId w:val="14"/>
        </w:numPr>
      </w:pPr>
      <w:r>
        <w:rPr>
          <w:b/>
        </w:rPr>
        <w:t>Pass 4:</w:t>
      </w:r>
      <w:r>
        <w:rPr/>
        <w:t xml:space="preserve"> Maximize L1 (basic detection), with all three floors. Optimum: 17.12 (Q-med = 10,497.84).</w:t>
      </w:r>
    </w:p>
    <w:p w14:paraId="69495442" w14:textId="77777777" w:rsidR="00BB174B" w:rsidRDefault="00000000">
      <w:pPr>
        <w:pStyle w:val="FirstParagraph"/>
      </w:pPr>
      <w:r>
        <w:rPr/>
        <w:t>Because each earlier optimum is a hard floor, no lower-tier gain can reduce a higher tier; an independent CP-SAT model running the same four passes reaches the same four values, and the passes take 0.79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21.2 s). The optimality certificate is the exported CNF with the claim Q_θ(x) ≥ r* + 0.01 for every θ together with its refutation proof; its size and verification are reported in Table 9. A burst-first procedure (maximize Q_burst, then Q_high, Q_med, and Q_low with floors) is not equivalent: its worst case is 6,610.37, 6.3% below r*, because θ_burst is not the worst profile for every schedule (Section 7.2). The four-pass construction adds polynomial WCNF overhead and requires no modification to the RC2 solver itself.</w:t>
      </w:r>
    </w:p>
    <w:p>
      <w:pPr>
        <w:pStyle w:val="BodyText"/>
      </w:pPr>
      <w:r>
        <w:rPr>
          <w:b/>
          <w:bCs/>
        </w:rPr>
        <w:t xml:space="preserve">Running example (C3, C5c).</w:t>
      </w:r>
      <w:r>
        <w:rPr/>
        <w:t xml:space="preserve"> At θ_med the four passes give L4 = 3,000, L3 = 680, L2 = 70 and L1 = 4 (Q-med = 3,754). Here the levels never conflict, so a single weighted pass gives the same value; on XLarge they can (Section 5.1), which is why the floors are needed. The resulting Q-med schedule scores only 2,382 under θ_burst, because it shows fpB in Mgmt in slot 1 and in OT in slot 2 — a reuse that θ_med (τ_dp = 2) tolerates and θ_burst (τ_dp = 1) recognizes. The max–min threshold search over the three profiles needs 12 feasibility calls (T = 2,051 feasible, 3,077 infeasible, 2,564 feasible, …, 2,584 infeasible, 2,583 feasible); the infeasible call at T = 2,584 is the kind of statement that the certificate proves on XLarge (Section 7.5); for this small instance it is confirmed directly by enumerating all 87 feasible schedules, which gives r* = 2,583. Figure 11(a) plots those schedules: the one that is best for a single profile is not the one with the best worst case, which is the relationship between the objective of C2 and the certified solution of C3; Figure 11(b) shows the threshold search converging to r*.</w:t>
      </w:r>
    </w:p>
    <w:p>
      <w:pPr>
        <w:pStyle w:val="CaptionedFigure"/>
        <w:keepNext/>
        <w:jc w:val="center"/>
      </w:pPr>
      <w:r>
        <w:drawing>
          <wp:inline distT="0" distB="0" distL="0" distR="0">
            <wp:extent cx="5943600" cy="3145155"/>
            <wp:docPr id="9105" name="Fig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3_maxmin.png"/>
                    <pic:cNvPicPr/>
                  </pic:nvPicPr>
                  <pic:blipFill>
                    <a:blip r:embed="rIdN9105"/>
                    <a:stretch>
                      <a:fillRect/>
                    </a:stretch>
                  </pic:blipFill>
                  <pic:spPr>
                    <a:xfrm>
                      <a:off x="0" y="0"/>
                      <a:ext cx="5943600" cy="3145155"/>
                    </a:xfrm>
                    <a:prstGeom prst="rect">
                      <a:avLst/>
                    </a:prstGeom>
                  </pic:spPr>
                </pic:pic>
              </a:graphicData>
            </a:graphic>
          </wp:inline>
        </w:drawing>
      </w:r>
    </w:p>
    <w:p>
      <w:pPr>
        <w:pStyle w:val="ImageCaption"/>
      </w:pPr>
      <w:r>
        <w:rPr>
          <w:b/>
          <w:bCs/>
        </w:rPr>
        <w:t xml:space="preserve">Figure 11.</w:t>
      </w:r>
      <w:r>
        <w:t xml:space="preserve"> C3. (a) All 87 feasible schedules of the running example by their score under θ_med and their worst case (several coincide): the schedule that is best for θ_med is not the one with the best worst case, and only the max–min schedule reaches r*. (b) The threshold search on the running example: filled markers are thresholds some schedule reaches under every profile, hollow markers are thresholds none reaches; 2,584 is unreachable (confirmed by enumeration). (c) On XLarge the corresponding claim is proven by a SAT solver and its proof is accepted by a separate checker (Section 7.5, Table 9). In plain terms: a plan is judged by its weakest match-up, and the result comes with a proof that no rule-following plan does better</w:t>
      </w:r>
    </w:p>
    <w:p w14:paraId="3D326375" w14:textId="77777777" w:rsidR="00BB174B" w:rsidRDefault="00513988">
      <w:r>
        <w:rPr>
          <w:noProof/>
        </w:rPr>
      </w:r>
      <w:r>
        <w:pict w14:anchorId="314608E0">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t>6. Threat-Adaptive Loop</w:t>
      </w:r>
    </w:p>
    <w:p w14:paraId="16503FE2" w14:textId="77777777" w:rsidR="00BB174B" w:rsidRDefault="00000000">
      <w:pPr>
        <w:pStyle w:val="Heading3"/>
      </w:pPr>
      <w:bookmarkStart w:id="16" w:name="algorithm-1"/>
      <w:r>
        <w:t>6.1 Algorithm 1</w:t>
      </w:r>
    </w:p>
    <w:p w14:paraId="1FAF77BA" w14:textId="77777777" w:rsidR="00BB174B" w:rsidRDefault="00000000">
      <w:pPr>
        <w:pStyle w:val="FirstParagraph"/>
      </w:pPr>
      <w:r>
        <w:rPr/>
        <w:t>Algorithm 1 implements the threat-adaptive loop. It responds to STIX 2.1 intelligence bundles [16] by updating persona priors and recognition thresholds, rebuilding the WCNF, re-running the max–min search, and applying an acceptance decision. The deployed schedule is the max–min schedule, so the certificate is renewed for the updated inputs after every update. The critical safety property is that Step 5 — the audit of every hard rule by the independent rule checker and independent verification of the new certificate — executes before any schedule change reaches the deployment controller. No proposed schedule update bypasses this gate.</w:t>
      </w:r>
      <w:r>
        <w:rPr/>
        <w:t xml:space="preserve"> Figure 12 shows the loop together with the two outcomes reported in Section 6.2.</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rP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rP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rPr/>
        <w:t xml:space="preserve"> set ρ_π from B if given; τ_d(θ,z) := max(1, ⌊τ_d0 (1 − ρ_eff/ρ_max)⌋) with ρ_eff = max(ρ_θ, max ρ_π over paths through z), and τ_dp(θ) := max(1, ⌊τ_dp0 (1 − ρ_θ/ρ_max)⌋), with τ_d0 = 3, τ_dp0 = 4, ρ_max = 1; re-check slot validity; rebuild the WCNF.</w:t>
      </w:r>
    </w:p>
    <w:p w14:paraId="3DC68C17" w14:textId="77777777" w:rsidR="00BB174B" w:rsidRDefault="00000000">
      <w:pPr>
        <w:pStyle w:val="Compact"/>
        <w:numPr>
          <w:ilvl w:val="0"/>
          <w:numId w:val="15"/>
        </w:numPr>
      </w:pPr>
      <w:r>
        <w:rPr>
          <w:b/>
        </w:rPr>
        <w:t>Robust re-solve:</w:t>
      </w:r>
      <w:r>
        <w:rP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rP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rPr/>
        <w:t xml:space="preserve"> re-test the schedule to be deployed against every hard rule with the independent checker and verify its certificate with an independent proof checker before pushing it to the deployment controller.</w:t>
      </w:r>
    </w:p>
    <w:p>
      <w:pPr>
        <w:pStyle w:val="CaptionedFigure"/>
        <w:keepNext/>
        <w:jc w:val="center"/>
      </w:pPr>
      <w:r>
        <w:drawing>
          <wp:inline distT="0" distB="0" distL="0" distR="0">
            <wp:extent cx="5943600" cy="2311400"/>
            <wp:docPr id="9110" name="Fig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1.png"/>
                    <pic:cNvPicPr/>
                  </pic:nvPicPr>
                  <pic:blipFill>
                    <a:blip r:embed="rIdN9110"/>
                    <a:stretch>
                      <a:fillRect/>
                    </a:stretch>
                  </pic:blipFill>
                  <pic:spPr>
                    <a:xfrm>
                      <a:off x="0" y="0"/>
                      <a:ext cx="5943600" cy="2311400"/>
                    </a:xfrm>
                    <a:prstGeom prst="rect">
                      <a:avLst/>
                    </a:prstGeom>
                  </pic:spPr>
                </pic:pic>
              </a:graphicData>
            </a:graphic>
          </wp:inline>
        </w:drawing>
      </w:r>
    </w:p>
    <w:p>
      <w:pPr>
        <w:pStyle w:val="ImageCaption"/>
      </w:pPr>
      <w:r>
        <w:rPr>
          <w:b/>
          <w:bCs/>
        </w:rPr>
        <w:t xml:space="preserve">Figure 12.</w:t>
      </w:r>
      <w:r>
        <w:t xml:space="preserve"> The threat-adaptive loop of Algorithm 1, annotated with the REDEPLOY and KEEP outcomes of Section 6.2. In plain terms: new intelligence triggers a fresh certified plan, and nothing is deployed before an independent audit.</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rP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15,771.50, the highest Q-med among all schedules that attain r*′), passes the audit of every hard rule, and its certificate is verified (Table 9).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rP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pPr>
        <w:pStyle w:val="BodyText"/>
      </w:pPr>
      <w:r>
        <w:rPr>
          <w:b/>
          <w:bCs/>
        </w:rPr>
        <w:t xml:space="preserve">Running example (U11, Algorithm 1).</w:t>
      </w:r>
      <w:r>
        <w:rPr/>
        <w:t xml:space="preserve"> Suppose a bundle with confidence 0.92 raises the corridor’s path frequency from 0.50 to 0.72. Step 1 raises the prior of Generic_Linux from 0.5 to 0.608. Step 2 sets ρ_eff = 0.72 in both zones, because both lie on the updated path, so τ_d falls to 1 for all three profiles — recognition becomes faster in exactly the zones the campaign traverses — and C10a now requires ⌈0.72 × 3⌉ = 3 covered slots for the OT hop. The deployed max–min schedule covers OT in slots 1–2 only, so it fails the updated hard rules and Algorithm 1 chooses REDEPLOY. The re-solve (23 feasible schedules) returns a schedule that adds the OT deployment in slot 3 and attains the new optimum of 2,583. Figure 13 plots the thresholds U11 assigns: the update links the temporal axis (how many slots a deployment may repeat before recognition) to the spatial one (which zones lie on the reported path), and it feeds C3, which re-solves and re-certifies.</w:t>
      </w:r>
    </w:p>
    <w:p>
      <w:pPr>
        <w:pStyle w:val="CaptionedFigure"/>
        <w:keepNext/>
        <w:jc w:val="center"/>
      </w:pPr>
      <w:r>
        <w:drawing>
          <wp:inline distT="0" distB="0" distL="0" distR="0">
            <wp:extent cx="5943600" cy="2236337"/>
            <wp:docPr id="9304" name="Figure 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u11.png"/>
                    <pic:cNvPicPr/>
                  </pic:nvPicPr>
                  <pic:blipFill>
                    <a:blip r:embed="rIdN9304"/>
                    <a:stretch>
                      <a:fillRect/>
                    </a:stretch>
                  </pic:blipFill>
                  <pic:spPr>
                    <a:xfrm>
                      <a:off x="0" y="0"/>
                      <a:ext cx="5943600" cy="2236337"/>
                    </a:xfrm>
                    <a:prstGeom prst="rect">
                      <a:avLst/>
                    </a:prstGeom>
                  </pic:spPr>
                </pic:pic>
              </a:graphicData>
            </a:graphic>
          </wp:inline>
        </w:drawing>
      </w:r>
    </w:p>
    <w:p>
      <w:pPr>
        <w:pStyle w:val="ImageCaption"/>
      </w:pPr>
      <w:r>
        <w:rPr>
          <w:b/>
          <w:bCs/>
        </w:rPr>
        <w:t xml:space="preserve">Figure 13.</w:t>
      </w:r>
      <w:r>
        <w:t xml:space="preserve"> U11 thresholds as a function of attack strength ρ: slots before a repeated type in a zone (τ_d, solid) or a reused fingerprint (τ_dp, dashed) is recognized; vertical lines mark the four profiles. In plain terms: after the OT bundle of Section 6.2 (ρ_eff = 0.72), any repeat in DMZ, Mgmt or OT is spotted after one slot.</w:t>
      </w:r>
    </w:p>
    <w:p w14:paraId="65764011" w14:textId="77777777" w:rsidR="00BB174B" w:rsidRDefault="00513988">
      <w:r>
        <w:rPr>
          <w:noProof/>
        </w:rPr>
      </w:r>
      <w:r>
        <w:pict w14:anchorId="21F7AAAB">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rPr/>
        <w:t xml:space="preserve">All experiments use the XLarge instance (|K| = 8, |Z| = 5, H = 4, |P| = 4; 640 binary decisions; 4 attacker profiles) and come from one pipeline run (code version 32d54d7e7d96, instance hash 5cb2c5f369c5; Python 3.13, PySAT 1.9 with RC2 [9, 14], OR-Tools CP-SAT 9.15 [15]; 2 CPU cores, under 2 GB of memory, 6.7 minutes). Every schedule carries a run ID derived from the instance, the method, and the code version, and every table is generated from one results file, provided with the certificates, STIX bundles, and scripts as supplementary material (see Data and Code Availability). Validation is at L2: real TCP honeypot sockets, Bernoulli-governed attacker connection trials, and STIX bundles generated from observed connections. The attacker's random stream depends only on the instance, the profile and the episode, so every schedule faces the same attacker episodes (common random numbers) and schedules can be compared pairwise. In each slot the attacker probes each zone with probability ρ_θ, observing every honeypot there, and traverses each attack path with probability min(1, ρ_π ω_θ,π), contacting at each hop every unrecognized honeypot that detects the hop's technique; recognition uses only the attacker's own observations and the thresholds τ_d and τ_dp of Section 3.4, and credit follows the layer definitions of Section 5.1. The emulator reads only the schedule and instance parameters (Θ, Π, J, F and the U11 thresholds); the budget, plausibility, churn, path and identity rules act through the schedule. The rule checker tests every schedule before emulation and reports its violations, and baselines are emulated as produced, violations included, so that they can be compared (Table 10). The emulator gives a broken rule no direct attacker-visible effect (for example, a conflicting cover story or an identity shown in two zones at once is not itself recognized), which favours the rule-breaking baselines and makes the comparison conservative. We evaluate three RC2 procedures — the max–min schedule (r*), the four-pass Q-med schedule, and a burst-first comparison — and ten baselines. All are scored through the same </w:t>
      </w:r>
      <w:r>
        <w:rPr>
          <w:b/>
        </w:rPr>
        <w:t>unified evaluation pipeline</w:t>
      </w:r>
      <w:r>
        <w:rP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w:t>
      </w:r>
      <w:r>
        <w:rPr/>
        <w:t xml:space="preserve"> Naming convention: in the tables and figures, “RC2 max–min” denotes the schedule returned by the SAT-based max–min search of Section 5.2 on the same encoding (RC2 itself computes the Q-med and burst-first schedules), and “burst-first (V3)” denotes the burst-first procedure of Section 5.2.</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7.</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24A3BE5B" w14:textId="77777777">
        <w:tc>
          <w:tcPr>
            <w:tcW w:w="1650" w:type="dxa"/>
          </w:tcPr>
          <w:p w14:paraId="1301DA7B" w14:textId="77777777" w:rsidR="00BB174B" w:rsidRDefault="00000000">
            <w:pPr>
              <w:pStyle w:val="Compact"/>
            </w:pPr>
            <w:r>
              <w:rPr>
                <w:sz w:val="15"/>
              </w:rPr>
              <w:t>ThreatIntel-Only</w:t>
            </w:r>
          </w:p>
        </w:tc>
        <w:tc>
          <w:tcPr>
            <w:tcW w:w="880" w:type="dxa"/>
          </w:tcPr>
          <w:p w14:paraId="49276B50" w14:textId="77777777" w:rsidR="00BB174B" w:rsidRDefault="00000000">
            <w:pPr>
              <w:pStyle w:val="Compact"/>
            </w:pPr>
            <w:r>
              <w:rPr>
                <w:sz w:val="15"/>
              </w:rPr>
              <w:t>2,994.06</w:t>
            </w:r>
          </w:p>
        </w:tc>
        <w:tc>
          <w:tcPr>
            <w:tcW w:w="880" w:type="dxa"/>
          </w:tcPr>
          <w:p w14:paraId="084CB29C" w14:textId="77777777" w:rsidR="00BB174B" w:rsidRDefault="00000000">
            <w:pPr>
              <w:pStyle w:val="Compact"/>
            </w:pPr>
            <w:r>
              <w:rPr>
                <w:sz w:val="15"/>
              </w:rPr>
              <w:t>4,196.92</w:t>
            </w:r>
          </w:p>
        </w:tc>
        <w:tc>
          <w:tcPr>
            <w:tcW w:w="880" w:type="dxa"/>
          </w:tcPr>
          <w:p w14:paraId="016CB649" w14:textId="77777777" w:rsidR="00BB174B" w:rsidRDefault="00000000">
            <w:pPr>
              <w:pStyle w:val="Compact"/>
            </w:pPr>
            <w:r>
              <w:rPr>
                <w:sz w:val="15"/>
              </w:rPr>
              <w:t>2,090.52</w:t>
            </w:r>
          </w:p>
        </w:tc>
        <w:tc>
          <w:tcPr>
            <w:tcW w:w="880" w:type="dxa"/>
          </w:tcPr>
          <w:p w14:paraId="4299B70E" w14:textId="77777777" w:rsidR="00BB174B" w:rsidRDefault="00000000">
            <w:pPr>
              <w:pStyle w:val="Compact"/>
            </w:pPr>
            <w:r>
              <w:rPr>
                <w:sz w:val="15"/>
              </w:rPr>
              <w:t>2,331.56</w:t>
            </w:r>
          </w:p>
        </w:tc>
        <w:tc>
          <w:tcPr>
            <w:tcW w:w="1150" w:type="dxa"/>
          </w:tcPr>
          <w:p w14:paraId="1E107832" w14:textId="77777777" w:rsidR="00BB174B" w:rsidRDefault="00000000">
            <w:pPr>
              <w:pStyle w:val="Compact"/>
            </w:pPr>
            <w:r>
              <w:rPr>
                <w:sz w:val="15"/>
              </w:rPr>
              <w:t>2,090.52 (high)</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C10a×3, C10b×9</w:t>
            </w:r>
          </w:p>
        </w:tc>
      </w:tr>
      <w:tr w:rsidR="00BB174B" w14:paraId="24A3BE5B" w14:textId="77777777">
        <w:tc>
          <w:tcPr>
            <w:tcW w:w="1650" w:type="dxa"/>
          </w:tcPr>
          <w:p w14:paraId="1301DA7B" w14:textId="77777777" w:rsidR="00BB174B" w:rsidRDefault="00000000">
            <w:pPr>
              <w:pStyle w:val="Compact"/>
            </w:pPr>
            <w:r>
              <w:rPr>
                <w:sz w:val="15"/>
              </w:rPr>
              <w:t>Greedy-HighRho</w:t>
            </w:r>
          </w:p>
        </w:tc>
        <w:tc>
          <w:tcPr>
            <w:tcW w:w="880" w:type="dxa"/>
          </w:tcPr>
          <w:p w14:paraId="49276B50" w14:textId="77777777" w:rsidR="00BB174B" w:rsidRDefault="00000000">
            <w:pPr>
              <w:pStyle w:val="Compact"/>
            </w:pPr>
            <w:r>
              <w:rPr>
                <w:sz w:val="15"/>
              </w:rPr>
              <w:t>3,538.24</w:t>
            </w:r>
          </w:p>
        </w:tc>
        <w:tc>
          <w:tcPr>
            <w:tcW w:w="880" w:type="dxa"/>
          </w:tcPr>
          <w:p w14:paraId="084CB29C" w14:textId="77777777" w:rsidR="00BB174B" w:rsidRDefault="00000000">
            <w:pPr>
              <w:pStyle w:val="Compact"/>
            </w:pPr>
            <w:r>
              <w:rPr>
                <w:sz w:val="15"/>
              </w:rPr>
              <w:t>3,538.24</w:t>
            </w:r>
          </w:p>
        </w:tc>
        <w:tc>
          <w:tcPr>
            <w:tcW w:w="880" w:type="dxa"/>
          </w:tcPr>
          <w:p w14:paraId="016CB649" w14:textId="77777777" w:rsidR="00BB174B" w:rsidRDefault="00000000">
            <w:pPr>
              <w:pStyle w:val="Compact"/>
            </w:pPr>
            <w:r>
              <w:rPr>
                <w:sz w:val="15"/>
              </w:rPr>
              <w:t>1,654.33</w:t>
            </w:r>
          </w:p>
        </w:tc>
        <w:tc>
          <w:tcPr>
            <w:tcW w:w="880" w:type="dxa"/>
          </w:tcPr>
          <w:p w14:paraId="4299B70E" w14:textId="77777777" w:rsidR="00BB174B" w:rsidRDefault="00000000">
            <w:pPr>
              <w:pStyle w:val="Compact"/>
            </w:pPr>
            <w:r>
              <w:rPr>
                <w:sz w:val="15"/>
              </w:rPr>
              <w:t>1,341.25</w:t>
            </w:r>
          </w:p>
        </w:tc>
        <w:tc>
          <w:tcPr>
            <w:tcW w:w="1150" w:type="dxa"/>
          </w:tcPr>
          <w:p w14:paraId="1E107832" w14:textId="77777777" w:rsidR="00BB174B" w:rsidRDefault="00000000">
            <w:pPr>
              <w:pStyle w:val="Compact"/>
            </w:pPr>
            <w:r>
              <w:rPr>
                <w:sz w:val="15"/>
              </w:rPr>
              <w:t>1,341.25 (burst)</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7.</w:t>
      </w:r>
      <w:r>
        <w:rP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 Figure 14 shows the worst case of every schedule, with each baseline both as produced and after repair to the nearest feasible schedule, and Table 11 (Section 7.6) summarizes each baseline in one row.</w:t>
      </w:r>
    </w:p>
    <w:p>
      <w:pPr>
        <w:pStyle w:val="CaptionedFigure"/>
        <w:jc w:val="center"/>
      </w:pPr>
      <w:r>
        <w:drawing>
          <wp:inline distT="0" distB="0" distL="0" distR="0">
            <wp:extent cx="5486400" cy="365760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stcase.png"/>
                    <pic:cNvPicPr/>
                  </pic:nvPicPr>
                  <pic:blipFill>
                    <a:blip r:embed="rIdFig1"/>
                    <a:stretch>
                      <a:fillRect/>
                    </a:stretch>
                  </pic:blipFill>
                  <pic:spPr>
                    <a:xfrm>
                      <a:off x="0" y="0"/>
                      <a:ext cx="5486400" cy="3657600"/>
                    </a:xfrm>
                    <a:prstGeom prst="rect">
                      <a:avLst/>
                    </a:prstGeom>
                  </pic:spPr>
                </pic:pic>
              </a:graphicData>
            </a:graphic>
          </wp:inline>
        </w:drawing>
      </w:r>
    </w:p>
    <w:p>
      <w:pPr>
        <w:pStyle w:val="ImageCaption"/>
      </w:pPr>
      <w:r>
        <w:rPr>
          <w:b/>
          <w:bCs/>
        </w:rPr>
        <w:t xml:space="preserve">Figure 14.</w:t>
      </w:r>
      <w:r>
        <w:t xml:space="preserve"> Worst-case score min_θ Q_θ of every schedule (common evaluator). Hollow: baseline as produced (breaks at least one hard rule); filled orange: the same baseline after minimum-change repair; blue: RC2 procedures. Every repaired baseline stays below r*.</w:t>
      </w:r>
      <w:r>
        <w:rPr/>
        <w:t xml:space="preserve"> “RC2 max–min” is the schedule of the exact max–min search and “burst-first (V3)” the burst-first procedure (Section 5.2).</w:t>
      </w:r>
    </w:p>
    <w:p w14:paraId="07DF7234" w14:textId="77777777" w:rsidR="00BB174B" w:rsidRDefault="00000000">
      <w:pPr>
        <w:pStyle w:val="Heading3"/>
      </w:pPr>
      <w:bookmarkStart w:id="21" w:name="metric-head-to-head-comparison"/>
      <w:bookmarkEnd w:id="20"/>
      <w:r>
        <w:t>7.3 15-Metric Head-to-Head Comparison</w:t>
      </w:r>
    </w:p>
    <w:p w14:paraId="222CFAF3" w14:textId="77777777" w:rsidR="00BB174B" w:rsidRDefault="00000000">
      <w:pPr>
        <w:pStyle w:val="FirstParagraph"/>
      </w:pPr>
      <w:r>
        <w:rPr>
          <w:b/>
        </w:rPr>
        <w:t>Table 8.</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795320FC"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1891FA58"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2EE9EB05"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065F92F6"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7225399F"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40F9B72E"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A1F22FE"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36B30FCD"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F485363"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5AB462C9"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burst</w:t>
            </w:r>
          </w:p>
        </w:tc>
      </w:tr>
    </w:tbl>
    <w:p w14:paraId="7535DFE9" w14:textId="77777777" w:rsidR="00BB174B" w:rsidRDefault="00000000">
      <w:pPr>
        <w:pStyle w:val="BodyText"/>
      </w:pPr>
      <w:r>
        <w:rP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7), which is the price of protecting the worst case.</w:t>
      </w:r>
    </w:p>
    <w:p>
      <w:pPr>
        <w:pStyle w:val="BodyText"/>
      </w:pPr>
      <w:r>
        <w:rPr/>
        <w:t xml:space="preserve">Figure 15 gathers the main results in one view: (a) the percentage metrics of Table 8, max–min against each baseline; (b) the emulated advantage of max–min with 95% confidence intervals (Table 10); (c) the worst case reached by methods that target it without a proof (Table 12); and (d) the solve time of the certified search as the instance grows (Table 13).</w:t>
      </w:r>
    </w:p>
    <w:p>
      <w:pPr>
        <w:pStyle w:val="CaptionedFigure"/>
        <w:keepNext/>
        <w:jc w:val="center"/>
      </w:pPr>
      <w:r>
        <w:drawing>
          <wp:inline distT="0" distB="0" distL="0" distR="0">
            <wp:extent cx="5943600" cy="4374341"/>
            <wp:docPr id="9404" name="Figure 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numbers.png"/>
                    <pic:cNvPicPr/>
                  </pic:nvPicPr>
                  <pic:blipFill>
                    <a:blip r:embed="rIdN9404"/>
                    <a:stretch>
                      <a:fillRect/>
                    </a:stretch>
                  </pic:blipFill>
                  <pic:spPr>
                    <a:xfrm>
                      <a:off x="0" y="0"/>
                      <a:ext cx="5943600" cy="4374341"/>
                    </a:xfrm>
                    <a:prstGeom prst="rect">
                      <a:avLst/>
                    </a:prstGeom>
                  </pic:spPr>
                </pic:pic>
              </a:graphicData>
            </a:graphic>
          </wp:inline>
        </w:drawing>
      </w:r>
    </w:p>
    <w:p>
      <w:pPr>
        <w:pStyle w:val="ImageCaption"/>
      </w:pPr>
      <w:r>
        <w:rPr>
          <w:b/>
          <w:bCs/>
        </w:rPr>
        <w:t xml:space="preserve">Figure 15.</w:t>
      </w:r>
      <w:r>
        <w:t xml:space="preserve"> The main results at a glance (XLarge instance). (a) Percentage metrics of Table 8: max–min (◆) against each of the ten baselines (●); arrows mark the better direction. (b) Max–min minus each schedule in lowest-profile emulated score, with paired-bootstrap 95% confidence intervals; n.s., the interval includes 0 (Table 10). (c) Worst case as a share of r* = 7,052.62 (Table 12). (d) Certified solve time against the number of binary decisions, log scale (Table 13).</w:t>
      </w:r>
    </w:p>
    <w:p>
      <w:pPr>
        <w:pStyle w:val="CaptionedFigure"/>
        <w:jc w:val="center"/>
      </w:pPr>
      <w:r>
        <w:drawing>
          <wp:inline distT="0" distB="0" distL="0" distR="0">
            <wp:extent cx="5486400" cy="2891481"/>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Fig2"/>
                    <a:stretch>
                      <a:fillRect/>
                    </a:stretch>
                  </pic:blipFill>
                  <pic:spPr>
                    <a:xfrm>
                      <a:off x="0" y="0"/>
                      <a:ext cx="5486400" cy="2891481"/>
                    </a:xfrm>
                    <a:prstGeom prst="rect">
                      <a:avLst/>
                    </a:prstGeom>
                  </pic:spPr>
                </pic:pic>
              </a:graphicData>
            </a:graphic>
          </wp:inline>
        </w:drawing>
      </w:r>
    </w:p>
    <w:p>
      <w:pPr>
        <w:pStyle w:val="ImageCaption"/>
      </w:pPr>
      <w:r>
        <w:rPr>
          <w:b/>
          <w:bCs/>
        </w:rPr>
        <w:t xml:space="preserve">Figure 16.</w:t>
      </w:r>
      <w:r>
        <w:t xml:space="preserve"> Single-profile score against the worst-case score for every schedule: medium attacker (left) and burst attacker (right). Each single-profile objective picks a different schedule from the robust objective: the Q-med schedule leads at θ_med and the burst-first schedule at θ_burst, but both have a lower worst case, because θ_high, not θ_burst, is the binding profile for most schedules. No baseline, as produced or repaired, exceeds the max–min schedule on any axis.</w:t>
      </w:r>
      <w:r>
        <w:rPr/>
        <w:t xml:space="preserve"> Labels as in Figure 14.</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rP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rPr/>
        <w:t>The baselines fall below FM = 1.0 at θ_burst for the same reason their worst-case scores are lower: 50–75% of their deployments are recognized, which zeroes credit that was structurally available. The highest baseline FM-avg is 0.59 (Greedy-Diverse).</w:t>
      </w:r>
      <w:r>
        <w:rPr/>
        <w:t xml:space="preserve"> Figure 17 compares FM-avg across all schedules.</w:t>
      </w:r>
      <w:r>
        <w:rPr/>
        <w:t xml:space="preserve"> On the running example there is a single path, so every live decoy that covers a hop has FM = 1, and FM-avg at θ_burst is simply the share of deployments still live: 0.75 for max–min, 0.40 for the schedule that is best for θ_med and 0.33 for the static schedule (Figure 4).</w:t>
      </w:r>
    </w:p>
    <w:p>
      <w:pPr>
        <w:pStyle w:val="CaptionedFigure"/>
        <w:keepNext/>
        <w:jc w:val="center"/>
      </w:pPr>
      <w:r>
        <w:drawing>
          <wp:inline distT="0" distB="0" distL="0" distR="0">
            <wp:extent cx="5943600" cy="2563512"/>
            <wp:docPr id="9305" name="Figure 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fm.png"/>
                    <pic:cNvPicPr/>
                  </pic:nvPicPr>
                  <pic:blipFill>
                    <a:blip r:embed="rIdN9305"/>
                    <a:stretch>
                      <a:fillRect/>
                    </a:stretch>
                  </pic:blipFill>
                  <pic:spPr>
                    <a:xfrm>
                      <a:off x="0" y="0"/>
                      <a:ext cx="5943600" cy="2563512"/>
                    </a:xfrm>
                    <a:prstGeom prst="rect">
                      <a:avLst/>
                    </a:prstGeom>
                  </pic:spPr>
                </pic:pic>
              </a:graphicData>
            </a:graphic>
          </wp:inline>
        </w:drawing>
      </w:r>
    </w:p>
    <w:p>
      <w:pPr>
        <w:pStyle w:val="ImageCaption"/>
      </w:pPr>
      <w:r>
        <w:rPr>
          <w:b/>
          <w:bCs/>
        </w:rPr>
        <w:t xml:space="preserve">Figure 17.</w:t>
      </w:r>
      <w:r>
        <w:t xml:space="preserve"> Average force multiplier at θ_burst (Table 8 and Section 7.4); blue, RC2 procedures; orange, baselines. In plain terms: a value above 1 means a single decoy does more than one attack-path hop's work; only the RC2 schedules exceed 1.</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77777777" w:rsidR="00BB174B" w:rsidRDefault="00000000">
      <w:pPr>
        <w:pStyle w:val="FirstParagraph"/>
      </w:pPr>
      <w:r>
        <w:rPr/>
        <w:t>The value r* = 7,052.62 returned by the exact max–min search of Section 5.2 is the certified result for the encoded model. The certificate proves that no x ∈ {0,1}^640 satisfying every hard rule reaches min_θ Q_θ(x) ≥ 7,052.63, and it was verified independently (Table 9). Three further checks support that the encoding matches the model: an independent CP-SAT model gives the same r* and the same four Q-med tier values; the encoding, the rule checker and the evaluator agree on every schedule tested (Section 7.6);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(2,030), with a wide spread between episodes (standard deviation 943–1,124); Section 7.6 reports which differences are statistically significant. Because of the certificate, any schedule with a higher worst-case score must break at least one hard rule; no baseline in this evaluation exceeds r*.</w:t>
      </w:r>
      <w:r>
        <w:rPr/>
        <w:t xml:space="preserve"> Figure 11(c) traces the certificate from encoding to independent verification.</w:t>
      </w:r>
    </w:p>
    <w:p w14:paraId="4D378EEF" w14:textId="77777777" w:rsidR="00BB174B" w:rsidRDefault="00513988">
      <w:r>
        <w:rPr>
          <w:noProof/>
        </w:rPr>
      </w:r>
      <w:r>
        <w:pict w14:anchorId="35F10A1A">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3"/>
      </w:pPr>
      <w:r>
        <w:t xml:space="preserve">7.6 Validation Test Suite and Statistics</w:t>
      </w:r>
    </w:p>
    <w:p>
      <w:pPr>
        <w:pStyle w:val="FirstParagraph"/>
      </w:pPr>
      <w:r>
        <w:t xml:space="preserve">The certificate proves optimality of the CNF, so its value depends on the CNF encoding the model correctly. Table 9 lists the tests that check this and the other claims, all run on the final code. Two tests go beyond Section 7.5. The adder encoding of Q_θ(x) ≥ T, on which the max–min search, the tier floors and every certificate rest, is checked exhaustively against arithmetic. The hard-clause layer is compared with the independent rule checker in both directions, on schedules drawn without the solver, so an encoding that wrongly excluded a valid schedule would be detected as well as one that admitted an invalid schedule.</w:t>
      </w:r>
    </w:p>
    <w:p>
      <w:pPr>
        <w:pStyle w:val="BodyText"/>
        <w:keepNext/>
      </w:pPr>
      <w:r>
        <w:rPr>
          <w:b/>
          <w:bCs/>
        </w:rPr>
        <w:t xml:space="preserve">Table 9.</w:t>
      </w:r>
      <w:r>
        <w:t xml:space="preserve"> Validation tests (final code; every value is written to a results file by the single reproduce command, see Data and Code Availability).</w:t>
      </w:r>
    </w:p>
    <w:tbl>
      <w:tblPr>
        <w:tblStyle w:val="Table"/>
        <w:tblW w:w="9360" w:type="dxa"/>
        <w:tblLayout w:type="fixed"/>
        <w:tblLook w:val="0020" w:firstRow="1" w:lastRow="0" w:firstColumn="0" w:lastColumn="0" w:noHBand="0" w:noVBand="0"/>
      </w:tblPr>
      <w:tblGrid>
        <w:gridCol w:w="2500"/>
        <w:gridCol w:w="4200"/>
        <w:gridCol w:w="2660"/>
      </w:tblGrid>
      <w:tr>
        <w:trPr>
          <w:cnfStyle w:val="100000000000" w:firstRow="1" w:lastRow="0" w:firstColumn="0" w:lastColumn="0" w:oddVBand="0" w:evenVBand="0" w:oddHBand="0" w:evenHBand="0" w:firstRowFirstColumn="0" w:firstRowLastColumn="0" w:lastRowFirstColumn="0" w:lastRowLastColumn="0"/>
          <w:tblHeader/>
        </w:trPr>
        <w:tc>
          <w:tcPr>
            <w:tcW w:w="2500" w:type="dxa"/>
          </w:tcPr>
          <w:p>
            <w:pPr>
              <w:pStyle w:val="Compact"/>
            </w:pPr>
            <w:r>
              <w:rPr>
                <w:b/>
                <w:bCs/>
              </w:rPr>
              <w:t xml:space="preserve">Test</w:t>
            </w:r>
          </w:p>
        </w:tc>
        <w:tc>
          <w:tcPr>
            <w:tcW w:w="4200" w:type="dxa"/>
          </w:tcPr>
          <w:p>
            <w:pPr>
              <w:pStyle w:val="Compact"/>
            </w:pPr>
            <w:r>
              <w:rPr>
                <w:b/>
                <w:bCs/>
              </w:rPr>
              <w:t xml:space="preserve">Scope</w:t>
            </w:r>
          </w:p>
        </w:tc>
        <w:tc>
          <w:tcPr>
            <w:tcW w:w="2660" w:type="dxa"/>
          </w:tcPr>
          <w:p>
            <w:pPr>
              <w:pStyle w:val="Compact"/>
            </w:pPr>
            <w:r>
              <w:rPr>
                <w:b/>
                <w:bCs/>
              </w:rPr>
              <w:t xml:space="preserve">Result</w:t>
            </w:r>
          </w:p>
        </w:tc>
      </w:tr>
      <w:tr>
        <w:trPr>
          <w:cantSplit/>
        </w:trPr>
        <w:tc>
          <w:tcPr>
            <w:tcW w:w="2500" w:type="dxa"/>
          </w:tcPr>
          <w:p>
            <w:pPr>
              <w:pStyle w:val="Compact"/>
            </w:pPr>
            <w:r>
              <w:t xml:space="preserve">Adder pseudo-Boolean encoding</w:t>
            </w:r>
          </w:p>
        </w:tc>
        <w:tc>
          <w:tcPr>
            <w:tcW w:w="4200" w:type="dxa"/>
          </w:tcPr>
          <w:p>
            <w:pPr>
              <w:pStyle w:val="Compact"/>
            </w:pPr>
            <w:r>
              <w:t xml:space="preserve">120 random weighted sums (1–8 literals, weights up to 90,000); every input assignment × every threshold 0…max+1</w:t>
            </w:r>
          </w:p>
        </w:tc>
        <w:tc>
          <w:tcPr>
            <w:tcW w:w="2660" w:type="dxa"/>
          </w:tcPr>
          <w:p>
            <w:pPr>
              <w:pStyle w:val="Compact"/>
            </w:pPr>
            <w:r>
              <w:t xml:space="preserve">0 errors</w:t>
            </w:r>
          </w:p>
        </w:tc>
      </w:tr>
      <w:tr>
        <w:trPr>
          <w:cantSplit/>
        </w:trPr>
        <w:tc>
          <w:tcPr>
            <w:tcW w:w="2500" w:type="dxa"/>
          </w:tcPr>
          <w:p>
            <w:pPr>
              <w:pStyle w:val="Compact"/>
            </w:pPr>
            <w:r>
              <w:t xml:space="preserve">Encoding vs. rule checker, both directions</w:t>
            </w:r>
          </w:p>
        </w:tc>
        <w:tc>
          <w:tcPr>
            <w:tcW w:w="4200" w:type="dxa"/>
          </w:tcPr>
          <w:p>
            <w:pPr>
              <w:pStyle w:val="Compact"/>
            </w:pPr>
            <w:r>
              <w:t xml:space="preserve">1,635 schedules drawn independently of the solver (805 small-instance, 830 XLarge; 328 feasible): random subsets, one-step mutations of feasible schedules, the ten raw baselines</w:t>
            </w:r>
          </w:p>
        </w:tc>
        <w:tc>
          <w:tcPr>
            <w:tcW w:w="2660" w:type="dxa"/>
          </w:tcPr>
          <w:p>
            <w:pPr>
              <w:pStyle w:val="Compact"/>
            </w:pPr>
            <w:r>
              <w:t xml:space="preserve">0 feasibility mismatches; 0 score mismatches (4 profiles)</w:t>
            </w:r>
          </w:p>
        </w:tc>
      </w:tr>
      <w:tr>
        <w:trPr>
          <w:cantSplit/>
        </w:trPr>
        <w:tc>
          <w:tcPr>
            <w:tcW w:w="2500" w:type="dxa"/>
          </w:tcPr>
          <w:p>
            <w:pPr>
              <w:pStyle w:val="Compact"/>
            </w:pPr>
            <w:r>
              <w:t xml:space="preserve">Encoding vs. evaluator on solver-completed schedules</w:t>
            </w:r>
          </w:p>
        </w:tc>
        <w:tc>
          <w:tcPr>
            <w:tcW w:w="4200" w:type="dxa"/>
          </w:tcPr>
          <w:p>
            <w:pPr>
              <w:pStyle w:val="Compact"/>
            </w:pPr>
            <w:r>
              <w:t xml:space="preserve">64 feasible schedules (30 XLarge, 34 small-instance), 4 profiles</w:t>
            </w:r>
          </w:p>
        </w:tc>
        <w:tc>
          <w:tcPr>
            <w:tcW w:w="2660" w:type="dxa"/>
          </w:tcPr>
          <w:p>
            <w:pPr>
              <w:pStyle w:val="Compact"/>
            </w:pPr>
            <w:r>
              <w:t xml:space="preserve">0 mismatches</w:t>
            </w:r>
          </w:p>
        </w:tc>
      </w:tr>
      <w:tr>
        <w:trPr>
          <w:cantSplit/>
        </w:trPr>
        <w:tc>
          <w:tcPr>
            <w:tcW w:w="2500" w:type="dxa"/>
          </w:tcPr>
          <w:p>
            <w:pPr>
              <w:pStyle w:val="Compact"/>
            </w:pPr>
            <w:r>
              <w:t xml:space="preserve">Independent CP-SAT model</w:t>
            </w:r>
          </w:p>
        </w:tc>
        <w:tc>
          <w:tcPr>
            <w:tcW w:w="4200" w:type="dxa"/>
          </w:tcPr>
          <w:p>
            <w:pPr>
              <w:pStyle w:val="Compact"/>
            </w:pPr>
            <w:r>
              <w:t xml:space="preserve">r*, the four Q-med tier optima, weighted Q-med optimum</w:t>
            </w:r>
          </w:p>
        </w:tc>
        <w:tc>
          <w:tcPr>
            <w:tcW w:w="2660" w:type="dxa"/>
          </w:tcPr>
          <w:p>
            <w:pPr>
              <w:pStyle w:val="Compact"/>
            </w:pPr>
            <w:r>
              <w:t xml:space="preserve">all OPTIMAL and equal</w:t>
            </w:r>
          </w:p>
        </w:tc>
      </w:tr>
      <w:tr>
        <w:trPr>
          <w:cantSplit/>
        </w:trPr>
        <w:tc>
          <w:tcPr>
            <w:tcW w:w="2500" w:type="dxa"/>
          </w:tcPr>
          <w:p>
            <w:pPr>
              <w:pStyle w:val="Compact"/>
            </w:pPr>
            <w:r>
              <w:t xml:space="preserve">Exhaustive enumeration (small instance)</w:t>
            </w:r>
          </w:p>
        </w:tc>
        <w:tc>
          <w:tcPr>
            <w:tcW w:w="4200" w:type="dxa"/>
          </w:tcPr>
          <w:p>
            <w:pPr>
              <w:pStyle w:val="Compact"/>
            </w:pPr>
            <w:r>
              <w:t xml:space="preserve">262,144 subsets, 131 feasible</w:t>
            </w:r>
          </w:p>
        </w:tc>
        <w:tc>
          <w:tcPr>
            <w:tcW w:w="2660" w:type="dxa"/>
          </w:tcPr>
          <w:p>
            <w:pPr>
              <w:pStyle w:val="Compact"/>
            </w:pPr>
            <w:r>
              <w:t xml:space="preserve">r* = 2,249.09 by enumeration, SAT and CP-SAT; tier-lex and weighted optima equal</w:t>
            </w:r>
          </w:p>
        </w:tc>
      </w:tr>
      <w:tr>
        <w:trPr>
          <w:cantSplit/>
        </w:trPr>
        <w:tc>
          <w:tcPr>
            <w:tcW w:w="2500" w:type="dxa"/>
          </w:tcPr>
          <w:p>
            <w:pPr>
              <w:pStyle w:val="Compact"/>
            </w:pPr>
            <w:r>
              <w:t xml:space="preserve">Optimality proofs (no schedule beats r*)</w:t>
            </w:r>
          </w:p>
        </w:tc>
        <w:tc>
          <w:tcPr>
            <w:tcW w:w="4200" w:type="dxa"/>
          </w:tcPr>
          <w:p>
            <w:pPr>
              <w:pStyle w:val="Compact"/>
            </w:pPr>
            <w:r>
              <w:t xml:space="preserve">A machine-readable proof that no rule-compliant schedule reaches r* + 0.01, checked by a separate program. XLarge r* (52,386 variables, 277,714 clauses; proof 75,708 lines), small-instance r*, both Algorithm 1 re-solves</w:t>
            </w:r>
          </w:p>
        </w:tc>
        <w:tc>
          <w:tcPr>
            <w:tcW w:w="2660" w:type="dxa"/>
          </w:tcPr>
          <w:p>
            <w:pPr>
              <w:pStyle w:val="Compact"/>
            </w:pPr>
            <w:r>
              <w:t xml:space="preserve">4 of 4 proofs accepted by an independent, standard proof checker for SAT solvers [5]</w:t>
            </w:r>
          </w:p>
        </w:tc>
      </w:tr>
      <w:tr>
        <w:trPr>
          <w:cantSplit/>
        </w:trPr>
        <w:tc>
          <w:tcPr>
            <w:tcW w:w="2500" w:type="dxa"/>
          </w:tcPr>
          <w:p>
            <w:pPr>
              <w:pStyle w:val="Compact"/>
            </w:pPr>
            <w:r>
              <w:t xml:space="preserve">L2 deterministic replay</w:t>
            </w:r>
          </w:p>
        </w:tc>
        <w:tc>
          <w:tcPr>
            <w:tcW w:w="4200" w:type="dxa"/>
          </w:tcPr>
          <w:p>
            <w:pPr>
              <w:pStyle w:val="Compact"/>
            </w:pPr>
            <w:r>
              <w:t xml:space="preserve">24 schedules (13 reported, 10 repaired baselines, 1 tie-break check) × 4 profiles, 2,349 connections</w:t>
            </w:r>
          </w:p>
        </w:tc>
        <w:tc>
          <w:tcPr>
            <w:tcW w:w="2660" w:type="dxa"/>
          </w:tcPr>
          <w:p>
            <w:pPr>
              <w:pStyle w:val="Compact"/>
            </w:pPr>
            <w:r>
              <w:t xml:space="preserve">log score = evaluator score in 96 of 96 cases</w:t>
            </w:r>
          </w:p>
        </w:tc>
      </w:tr>
      <w:tr>
        <w:trPr>
          <w:cantSplit/>
        </w:trPr>
        <w:tc>
          <w:tcPr>
            <w:tcW w:w="2500" w:type="dxa"/>
          </w:tcPr>
          <w:p>
            <w:pPr>
              <w:pStyle w:val="Compact"/>
            </w:pPr>
            <w:r>
              <w:t xml:space="preserve">Hard-rule audit</w:t>
            </w:r>
          </w:p>
        </w:tc>
        <w:tc>
          <w:tcPr>
            <w:tcW w:w="4200" w:type="dxa"/>
          </w:tcPr>
          <w:p>
            <w:pPr>
              <w:pStyle w:val="Compact"/>
            </w:pPr>
            <w:r>
              <w:t xml:space="preserve">every RC2 and repaired schedule, both Algorithm 1 outcomes</w:t>
            </w:r>
          </w:p>
        </w:tc>
        <w:tc>
          <w:tcPr>
            <w:tcW w:w="2660" w:type="dxa"/>
          </w:tcPr>
          <w:p>
            <w:pPr>
              <w:pStyle w:val="Compact"/>
            </w:pPr>
            <w:r>
              <w:t xml:space="preserve">0 violations</w:t>
            </w:r>
          </w:p>
        </w:tc>
      </w:tr>
      <w:tr>
        <w:trPr>
          <w:cantSplit/>
        </w:trPr>
        <w:tc>
          <w:tcPr>
            <w:tcW w:w="2500" w:type="dxa"/>
          </w:tcPr>
          <w:p>
            <w:pPr>
              <w:pStyle w:val="Compact"/>
            </w:pPr>
            <w:r>
              <w:t xml:space="preserve">Uniqueness of the reported optimum</w:t>
            </w:r>
          </w:p>
        </w:tc>
        <w:tc>
          <w:tcPr>
            <w:tcW w:w="4200" w:type="dxa"/>
          </w:tcPr>
          <w:p>
            <w:pPr>
              <w:pStyle w:val="Compact"/>
            </w:pPr>
            <w:r>
              <w:t xml:space="preserve">maximize Q-med subject to Q_θ ≥ r* for every θ</w:t>
            </w:r>
          </w:p>
        </w:tc>
        <w:tc>
          <w:tcPr>
            <w:tcW w:w="2660" w:type="dxa"/>
          </w:tcPr>
          <w:p>
            <w:pPr>
              <w:pStyle w:val="Compact"/>
            </w:pPr>
            <w:r>
              <w:t xml:space="preserve">returns the reported max–min schedule</w:t>
            </w:r>
          </w:p>
        </w:tc>
      </w:tr>
      <w:tr>
        <w:trPr>
          <w:cantSplit/>
        </w:trPr>
        <w:tc>
          <w:tcPr>
            <w:tcW w:w="2500" w:type="dxa"/>
          </w:tcPr>
          <w:p>
            <w:pPr>
              <w:pStyle w:val="Compact"/>
            </w:pPr>
            <w:r>
              <w:t xml:space="preserve">Reproducibility</w:t>
            </w:r>
          </w:p>
        </w:tc>
        <w:tc>
          <w:tcPr>
            <w:tcW w:w="4200" w:type="dxa"/>
          </w:tcPr>
          <w:p>
            <w:pPr>
              <w:pStyle w:val="Compact"/>
            </w:pPr>
            <w:r>
              <w:t xml:space="preserve">two complete runs of the main pipeline (code 32d54d7e7d96)</w:t>
            </w:r>
          </w:p>
        </w:tc>
        <w:tc>
          <w:tcPr>
            <w:tcW w:w="2660" w:type="dxa"/>
          </w:tcPr>
          <w:p>
            <w:pPr>
              <w:pStyle w:val="Compact"/>
            </w:pPr>
            <w:r>
              <w:t xml:space="preserve">identical results apart from timing fields</w:t>
            </w:r>
          </w:p>
        </w:tc>
      </w:tr>
      <w:tr>
        <w:trPr>
          <w:cantSplit/>
        </w:trPr>
        <w:tc>
          <w:tcPr>
            <w:tcW w:w="2500" w:type="dxa"/>
          </w:tcPr>
          <w:p>
            <w:pPr>
              <w:pStyle w:val="Compact"/>
            </w:pPr>
            <w:r>
              <w:t xml:space="preserve">Emulator vs. independent reference simulator</w:t>
            </w:r>
          </w:p>
        </w:tc>
        <w:tc>
          <w:tcPr>
            <w:tcW w:w="4200" w:type="dxa"/>
          </w:tcPr>
          <w:p>
            <w:pPr>
              <w:pStyle w:val="Compact"/>
            </w:pPr>
            <w:r>
              <w:t xml:space="preserve">every recorded stochastic episode (9,600 = 24 schedules × 4 profiles × 100) replayed from the same seeds by a simulator written from the stated attacker model</w:t>
            </w:r>
          </w:p>
        </w:tc>
        <w:tc>
          <w:tcPr>
            <w:tcW w:w="2660" w:type="dxa"/>
          </w:tcPr>
          <w:p>
            <w:pPr>
              <w:pStyle w:val="Compact"/>
            </w:pPr>
            <w:r>
              <w:t xml:space="preserve">0 score mismatches; deterministic burn set and hop coverage equal the evaluator's</w:t>
            </w:r>
          </w:p>
        </w:tc>
      </w:tr>
      <w:tr>
        <w:trPr>
          <w:cantSplit/>
        </w:trPr>
        <w:tc>
          <w:tcPr>
            <w:tcW w:w="2500" w:type="dxa"/>
          </w:tcPr>
          <w:p>
            <w:pPr>
              <w:pStyle w:val="Compact"/>
            </w:pPr>
            <w:r>
              <w:t xml:space="preserve">Attacker draw frequencies</w:t>
            </w:r>
          </w:p>
        </w:tc>
        <w:tc>
          <w:tcPr>
            <w:tcW w:w="4200" w:type="dxa"/>
          </w:tcPr>
          <w:p>
            <w:pPr>
              <w:pStyle w:val="Compact"/>
            </w:pPr>
            <w:r>
              <w:t xml:space="preserve">20 binomial tests of observed probe and attack rates against ρ_θ and min(1, ρ_π ω_θ,π)</w:t>
            </w:r>
          </w:p>
        </w:tc>
        <w:tc>
          <w:tcPr>
            <w:tcW w:w="2660" w:type="dxa"/>
          </w:tcPr>
          <w:p>
            <w:pPr>
              <w:pStyle w:val="Compact"/>
            </w:pPr>
            <w:r>
              <w:t xml:space="preserve">max |z| = 2.24 (Bonferroni bound 3.02)</w:t>
            </w:r>
          </w:p>
        </w:tc>
      </w:tr>
      <w:tr>
        <w:trPr>
          <w:cantSplit/>
        </w:trPr>
        <w:tc>
          <w:tcPr>
            <w:tcW w:w="2500" w:type="dxa"/>
          </w:tcPr>
          <w:p>
            <w:pPr>
              <w:pStyle w:val="Compact"/>
            </w:pPr>
            <w:r>
              <w:t xml:space="preserve">STIX 2.1 bundles</w:t>
            </w:r>
          </w:p>
        </w:tc>
        <w:tc>
          <w:tcPr>
            <w:tcW w:w="4200" w:type="dxa"/>
          </w:tcPr>
          <w:p>
            <w:pPr>
              <w:pStyle w:val="Compact"/>
            </w:pPr>
            <w:r>
              <w:t xml:space="preserve">4 bundles, 92 objects: required properties, unique ids, sighting references</w:t>
            </w:r>
          </w:p>
        </w:tc>
        <w:tc>
          <w:tcPr>
            <w:tcW w:w="2660" w:type="dxa"/>
          </w:tcPr>
          <w:p>
            <w:pPr>
              <w:pStyle w:val="Compact"/>
            </w:pPr>
            <w:r>
              <w:t xml:space="preserve">0 errors</w:t>
            </w:r>
          </w:p>
        </w:tc>
      </w:tr>
      <w:tr>
        <w:trPr>
          <w:cantSplit/>
        </w:trPr>
        <w:tc>
          <w:tcPr>
            <w:tcW w:w="2500" w:type="dxa"/>
          </w:tcPr>
          <w:p>
            <w:pPr>
              <w:pStyle w:val="Compact"/>
            </w:pPr>
            <w:r>
              <w:t xml:space="preserve">Values stated in the paper</w:t>
            </w:r>
          </w:p>
        </w:tc>
        <w:tc>
          <w:tcPr>
            <w:tcW w:w="4200" w:type="dxa"/>
          </w:tcPr>
          <w:p>
            <w:pPr>
              <w:pStyle w:val="Compact"/>
            </w:pPr>
            <w:r>
              <w:t xml:space="preserve">U11 thresholds, Algorithm 1 inputs and decisions, F15, layer-weight figures</w:t>
            </w:r>
          </w:p>
        </w:tc>
        <w:tc>
          <w:tcPr>
            <w:tcW w:w="2660" w:type="dxa"/>
          </w:tcPr>
          <w:p>
            <w:pPr>
              <w:pStyle w:val="Compact"/>
            </w:pPr>
            <w:r>
              <w:t xml:space="preserve">10 of 10 match</w:t>
            </w:r>
          </w:p>
        </w:tc>
      </w:tr>
      <w:tr>
        <w:trPr>
          <w:cantSplit/>
        </w:trPr>
        <w:tc>
          <w:tcPr>
            <w:tcW w:w="2500" w:type="dxa"/>
          </w:tcPr>
          <w:p>
            <w:pPr>
              <w:pStyle w:val="Compact"/>
            </w:pPr>
            <w:r>
              <w:t xml:space="preserve">Four-pass floors</w:t>
            </w:r>
          </w:p>
        </w:tc>
        <w:tc>
          <w:tcPr>
            <w:tcW w:w="4200" w:type="dxa"/>
          </w:tcPr>
          <w:p>
            <w:pPr>
              <w:pStyle w:val="Compact"/>
            </w:pPr>
            <w:r>
              <w:t xml:space="preserve">each pass optimum kept as a floor; final tiers vs. pass optima</w:t>
            </w:r>
          </w:p>
        </w:tc>
        <w:tc>
          <w:tcPr>
            <w:tcW w:w="2660" w:type="dxa"/>
          </w:tcPr>
          <w:p>
            <w:pPr>
              <w:pStyle w:val="Compact"/>
            </w:pPr>
            <w:r>
              <w:t xml:space="preserve">all floors hold; final tiers equal the pass optima</w:t>
            </w:r>
          </w:p>
        </w:tc>
      </w:tr>
      <w:tr>
        <w:trPr>
          <w:cantSplit/>
        </w:trPr>
        <w:tc>
          <w:tcPr>
            <w:tcW w:w="2500" w:type="dxa"/>
          </w:tcPr>
          <w:p>
            <w:pPr>
              <w:pStyle w:val="Compact"/>
            </w:pPr>
            <w:r>
              <w:t xml:space="preserve">NP-hardness reduction (Section 3.4)</w:t>
            </w:r>
          </w:p>
        </w:tc>
        <w:tc>
          <w:tcPr>
            <w:tcW w:w="4200" w:type="dxa"/>
          </w:tcPr>
          <w:p>
            <w:pPr>
              <w:pStyle w:val="Compact"/>
            </w:pPr>
            <w:r>
              <w:t xml:space="preserve">30 random Maximum k-Coverage instances encoded as described and solved</w:t>
            </w:r>
          </w:p>
        </w:tc>
        <w:tc>
          <w:tcPr>
            <w:tcW w:w="2660" w:type="dxa"/>
          </w:tcPr>
          <w:p>
            <w:pPr>
              <w:pStyle w:val="Compact"/>
            </w:pPr>
            <w:r>
              <w:t xml:space="preserve">ZSTP optimum = brute-force coverage in 30 of 30</w:t>
            </w:r>
          </w:p>
        </w:tc>
      </w:tr>
    </w:tbl>
    <w:p>
      <w:pPr>
        <w:pStyle w:val="BodyText"/>
      </w:pPr>
      <w:r>
        <w:t xml:space="preserve">Several schedules attain r*, so a schedule's secondary scores could depend on which optimum the solver returns. Maximizing Q-med subject to Q_θ ≥ r* for every θ returns exactly the reported max–min schedule, so its scores in Tables 7 and 8 are those of the best-Q-med optimum. The same tie-break is applied to the Algorithm 1 re-solves (Section 6.2).</w:t>
      </w:r>
    </w:p>
    <w:p>
      <w:pPr>
        <w:pStyle w:val="BodyText"/>
      </w:pPr>
      <w:r>
        <w:t xml:space="preserve">Table 10 reports the L2 stochastic emulation with paired statistics. Each profile column is the mean emulated score over 100 episodes (95% confidence half-width at most 243); an asterisk marks the schedule's lowest profile. The difference column compares these lowest-profile means: the max–min schedule's value minus the schedule's value, with a 95% paired-bootstrap interval (10,000 replicates, episodes resampled jointly). The max–min schedule is significantly higher than 20 of the 22 other schedules, including every feasible baseline after repair. Two differences are not significant: Greedy-Diverse as produced (+64, interval -166 to +265), which breaks C12 and C14, and the RC2 Q-med schedule (+214, interval -33 to +333). Under the Bernoulli attacker the max–min schedule's weakest profile is θ_low rather than θ_high, because a low-rate attacker probes few honeypots per episode; the emulation therefore complements the model rather than reproducing its worst case.</w:t>
      </w:r>
    </w:p>
    <w:p>
      <w:pPr>
        <w:pStyle w:val="BodyText"/>
      </w:pPr>
      <w:r>
        <w:t xml:space="preserve">Profile by profile the picture is mixed, as expected of a max–min objective, which protects the weakest profile rather than each profile. Under θ_high only Greedy-Diverse as produced and under θ_burst only RC2 burst-first have a higher emulated mean than the max–min schedule, but under θ_low 11 and under θ_med 8 of the 22 other schedules do. In the model scores of Table 7 the max–min schedule leads every baseline under all four profiles; the emulation, in which a probe or attack happens only with the profile's probability, does not reproduce that per-profile lead under the low-rate profiles.</w:t>
      </w:r>
    </w:p>
    <w:p>
      <w:pPr>
        <w:pStyle w:val="BodyText"/>
        <w:keepNext/>
      </w:pPr>
      <w:r>
        <w:rPr>
          <w:b/>
          <w:bCs/>
        </w:rPr>
        <w:t xml:space="preserve">Table 10.</w:t>
      </w:r>
      <w:r>
        <w:t xml:space="preserve"> L2 stochastic emulation: mean emulated score under θ_low, θ_med, θ_high and θ_burst over 100 episodes (common random numbers; * = lowest profile), and the paired difference of lowest-profile means from the max–min schedule. † = breaks at least one hard rule as produced.</w:t>
      </w:r>
    </w:p>
    <w:tbl>
      <w:tblPr>
        <w:tblStyle w:val="Table"/>
        <w:tblW w:w="9360" w:type="dxa"/>
        <w:tblLayout w:type="fixed"/>
        <w:tblLook w:val="0020" w:firstRow="1" w:lastRow="0" w:firstColumn="0" w:lastColumn="0" w:noHBand="0" w:noVBand="0"/>
      </w:tblPr>
      <w:tblGrid>
        <w:gridCol w:w="2200"/>
        <w:gridCol w:w="960"/>
        <w:gridCol w:w="960"/>
        <w:gridCol w:w="960"/>
        <w:gridCol w:w="960"/>
        <w:gridCol w:w="2280"/>
        <w:gridCol w:w="1040"/>
      </w:tblGrid>
      <w:tr>
        <w:trPr>
          <w:cnfStyle w:val="100000000000" w:firstRow="1" w:lastRow="0" w:firstColumn="0" w:lastColumn="0" w:oddVBand="0" w:evenVBand="0" w:oddHBand="0" w:evenHBand="0" w:firstRowFirstColumn="0" w:firstRowLastColumn="0" w:lastRowFirstColumn="0" w:lastRowLastColumn="0"/>
          <w:tblHeader/>
        </w:trPr>
        <w:tc>
          <w:tcPr>
            <w:tcW w:w="2200" w:type="dxa"/>
          </w:tcPr>
          <w:p>
            <w:pPr>
              <w:pStyle w:val="Compact"/>
            </w:pPr>
            <w:r>
              <w:rPr>
                <w:b/>
                <w:bCs/>
              </w:rPr>
              <w:t xml:space="preserve">Schedule</w:t>
            </w:r>
          </w:p>
        </w:tc>
        <w:tc>
          <w:tcPr>
            <w:tcW w:w="960" w:type="dxa"/>
          </w:tcPr>
          <w:p>
            <w:pPr>
              <w:pStyle w:val="Compact"/>
            </w:pPr>
            <w:r>
              <w:rPr>
                <w:b/>
                <w:bCs/>
              </w:rPr>
              <w:t xml:space="preserve">Low</w:t>
            </w:r>
          </w:p>
        </w:tc>
        <w:tc>
          <w:tcPr>
            <w:tcW w:w="960" w:type="dxa"/>
          </w:tcPr>
          <w:p>
            <w:pPr>
              <w:pStyle w:val="Compact"/>
            </w:pPr>
            <w:r>
              <w:rPr>
                <w:b/>
                <w:bCs/>
              </w:rPr>
              <w:t xml:space="preserve">Med</w:t>
            </w:r>
          </w:p>
        </w:tc>
        <w:tc>
          <w:tcPr>
            <w:tcW w:w="960" w:type="dxa"/>
          </w:tcPr>
          <w:p>
            <w:pPr>
              <w:pStyle w:val="Compact"/>
            </w:pPr>
            <w:r>
              <w:rPr>
                <w:b/>
                <w:bCs/>
              </w:rPr>
              <w:t xml:space="preserve">High</w:t>
            </w:r>
          </w:p>
        </w:tc>
        <w:tc>
          <w:tcPr>
            <w:tcW w:w="960" w:type="dxa"/>
          </w:tcPr>
          <w:p>
            <w:pPr>
              <w:pStyle w:val="Compact"/>
            </w:pPr>
            <w:r>
              <w:rPr>
                <w:b/>
                <w:bCs/>
              </w:rPr>
              <w:t xml:space="preserve">Burst</w:t>
            </w:r>
          </w:p>
        </w:tc>
        <w:tc>
          <w:tcPr>
            <w:tcW w:w="2280" w:type="dxa"/>
          </w:tcPr>
          <w:p>
            <w:pPr>
              <w:pStyle w:val="Compact"/>
            </w:pPr>
            <w:r>
              <w:rPr>
                <w:b/>
                <w:bCs/>
              </w:rPr>
              <w:t xml:space="preserve">Max–min minus schedule [95% CI]</w:t>
            </w:r>
          </w:p>
        </w:tc>
        <w:tc>
          <w:tcPr>
            <w:tcW w:w="1040" w:type="dxa"/>
          </w:tcPr>
          <w:p>
            <w:pPr>
              <w:pStyle w:val="Compact"/>
            </w:pPr>
            <w:r>
              <w:rPr>
                <w:b/>
                <w:bCs/>
              </w:rPr>
              <w:t xml:space="preserve">Max–min higher (95%)</w:t>
            </w:r>
          </w:p>
        </w:tc>
      </w:tr>
      <w:tr>
        <w:trPr>
          <w:cantSplit/>
        </w:trPr>
        <w:tc>
          <w:tcPr>
            <w:tcW w:w="2200" w:type="dxa"/>
          </w:tcPr>
          <w:p>
            <w:pPr>
              <w:pStyle w:val="Compact"/>
            </w:pPr>
            <w:r>
              <w:t xml:space="preserve">★ RC2 max–min (r*)</w:t>
            </w:r>
          </w:p>
        </w:tc>
        <w:tc>
          <w:tcPr>
            <w:tcW w:w="960" w:type="dxa"/>
          </w:tcPr>
          <w:p>
            <w:pPr>
              <w:pStyle w:val="Compact"/>
            </w:pPr>
            <w:r>
              <w:t xml:space="preserve">2,030*</w:t>
            </w:r>
          </w:p>
        </w:tc>
        <w:tc>
          <w:tcPr>
            <w:tcW w:w="960" w:type="dxa"/>
          </w:tcPr>
          <w:p>
            <w:pPr>
              <w:pStyle w:val="Compact"/>
            </w:pPr>
            <w:r>
              <w:t xml:space="preserve">2,614</w:t>
            </w:r>
          </w:p>
        </w:tc>
        <w:tc>
          <w:tcPr>
            <w:tcW w:w="960" w:type="dxa"/>
          </w:tcPr>
          <w:p>
            <w:pPr>
              <w:pStyle w:val="Compact"/>
            </w:pPr>
            <w:r>
              <w:t xml:space="preserve">2,075</w:t>
            </w:r>
          </w:p>
        </w:tc>
        <w:tc>
          <w:tcPr>
            <w:tcW w:w="960" w:type="dxa"/>
          </w:tcPr>
          <w:p>
            <w:pPr>
              <w:pStyle w:val="Compact"/>
            </w:pPr>
            <w:r>
              <w:t xml:space="preserve">2,282</w:t>
            </w:r>
          </w:p>
        </w:tc>
        <w:tc>
          <w:tcPr>
            <w:tcW w:w="2280" w:type="dxa"/>
          </w:tcPr>
          <w:p>
            <w:pPr>
              <w:pStyle w:val="Compact"/>
            </w:pPr>
            <w:r>
              <w:t xml:space="preserve">—</w:t>
            </w:r>
          </w:p>
        </w:tc>
        <w:tc>
          <w:tcPr>
            <w:tcW w:w="1040" w:type="dxa"/>
          </w:tcPr>
          <w:p>
            <w:pPr>
              <w:pStyle w:val="Compact"/>
            </w:pPr>
            <w:r>
              <w:t xml:space="preserve">—</w:t>
            </w:r>
          </w:p>
        </w:tc>
      </w:tr>
      <w:tr>
        <w:trPr>
          <w:cantSplit/>
        </w:trPr>
        <w:tc>
          <w:tcPr>
            <w:tcW w:w="2200" w:type="dxa"/>
          </w:tcPr>
          <w:p>
            <w:pPr>
              <w:pStyle w:val="Compact"/>
            </w:pPr>
            <w:r>
              <w:t xml:space="preserve">RC2 Q-med (4 passes)</w:t>
            </w:r>
          </w:p>
        </w:tc>
        <w:tc>
          <w:tcPr>
            <w:tcW w:w="960" w:type="dxa"/>
          </w:tcPr>
          <w:p>
            <w:pPr>
              <w:pStyle w:val="Compact"/>
            </w:pPr>
            <w:r>
              <w:t xml:space="preserve">2,088</w:t>
            </w:r>
          </w:p>
        </w:tc>
        <w:tc>
          <w:tcPr>
            <w:tcW w:w="960" w:type="dxa"/>
          </w:tcPr>
          <w:p>
            <w:pPr>
              <w:pStyle w:val="Compact"/>
            </w:pPr>
            <w:r>
              <w:t xml:space="preserve">2,773</w:t>
            </w:r>
          </w:p>
        </w:tc>
        <w:tc>
          <w:tcPr>
            <w:tcW w:w="960" w:type="dxa"/>
          </w:tcPr>
          <w:p>
            <w:pPr>
              <w:pStyle w:val="Compact"/>
            </w:pPr>
            <w:r>
              <w:t xml:space="preserve">1,817*</w:t>
            </w:r>
          </w:p>
        </w:tc>
        <w:tc>
          <w:tcPr>
            <w:tcW w:w="960" w:type="dxa"/>
          </w:tcPr>
          <w:p>
            <w:pPr>
              <w:pStyle w:val="Compact"/>
            </w:pPr>
            <w:r>
              <w:t xml:space="preserve">2,131</w:t>
            </w:r>
          </w:p>
        </w:tc>
        <w:tc>
          <w:tcPr>
            <w:tcW w:w="2280" w:type="dxa"/>
          </w:tcPr>
          <w:p>
            <w:pPr>
              <w:pStyle w:val="Compact"/>
            </w:pPr>
            <w:r>
              <w:t xml:space="preserve">+214 [-33, +333]</w:t>
            </w:r>
          </w:p>
        </w:tc>
        <w:tc>
          <w:tcPr>
            <w:tcW w:w="1040" w:type="dxa"/>
          </w:tcPr>
          <w:p>
            <w:pPr>
              <w:pStyle w:val="Compact"/>
            </w:pPr>
            <w:r>
              <w:t xml:space="preserve">no</w:t>
            </w:r>
          </w:p>
        </w:tc>
      </w:tr>
      <w:tr>
        <w:trPr>
          <w:cantSplit/>
        </w:trPr>
        <w:tc>
          <w:tcPr>
            <w:tcW w:w="2200" w:type="dxa"/>
          </w:tcPr>
          <w:p>
            <w:pPr>
              <w:pStyle w:val="Compact"/>
            </w:pPr>
            <w:r>
              <w:t xml:space="preserve">RC2 burst-first</w:t>
            </w:r>
          </w:p>
        </w:tc>
        <w:tc>
          <w:tcPr>
            <w:tcW w:w="960" w:type="dxa"/>
          </w:tcPr>
          <w:p>
            <w:pPr>
              <w:pStyle w:val="Compact"/>
            </w:pPr>
            <w:r>
              <w:t xml:space="preserve">1,724*</w:t>
            </w:r>
          </w:p>
        </w:tc>
        <w:tc>
          <w:tcPr>
            <w:tcW w:w="960" w:type="dxa"/>
          </w:tcPr>
          <w:p>
            <w:pPr>
              <w:pStyle w:val="Compact"/>
            </w:pPr>
            <w:r>
              <w:t xml:space="preserve">2,484</w:t>
            </w:r>
          </w:p>
        </w:tc>
        <w:tc>
          <w:tcPr>
            <w:tcW w:w="960" w:type="dxa"/>
          </w:tcPr>
          <w:p>
            <w:pPr>
              <w:pStyle w:val="Compact"/>
            </w:pPr>
            <w:r>
              <w:t xml:space="preserve">2,054</w:t>
            </w:r>
          </w:p>
        </w:tc>
        <w:tc>
          <w:tcPr>
            <w:tcW w:w="960" w:type="dxa"/>
          </w:tcPr>
          <w:p>
            <w:pPr>
              <w:pStyle w:val="Compact"/>
            </w:pPr>
            <w:r>
              <w:t xml:space="preserve">2,588</w:t>
            </w:r>
          </w:p>
        </w:tc>
        <w:tc>
          <w:tcPr>
            <w:tcW w:w="2280" w:type="dxa"/>
          </w:tcPr>
          <w:p>
            <w:pPr>
              <w:pStyle w:val="Compact"/>
            </w:pPr>
            <w:r>
              <w:t xml:space="preserve">+306 [+104, +379]</w:t>
            </w:r>
          </w:p>
        </w:tc>
        <w:tc>
          <w:tcPr>
            <w:tcW w:w="1040" w:type="dxa"/>
          </w:tcPr>
          <w:p>
            <w:pPr>
              <w:pStyle w:val="Compact"/>
            </w:pPr>
            <w:r>
              <w:t xml:space="preserve">yes</w:t>
            </w:r>
          </w:p>
        </w:tc>
      </w:tr>
      <w:tr>
        <w:trPr>
          <w:cantSplit/>
        </w:trPr>
        <w:tc>
          <w:tcPr>
            <w:tcW w:w="2200" w:type="dxa"/>
          </w:tcPr>
          <w:p>
            <w:pPr>
              <w:pStyle w:val="Compact"/>
            </w:pPr>
            <w:r>
              <w:t xml:space="preserve">Greedy-Diverse †</w:t>
            </w:r>
          </w:p>
        </w:tc>
        <w:tc>
          <w:tcPr>
            <w:tcW w:w="960" w:type="dxa"/>
          </w:tcPr>
          <w:p>
            <w:pPr>
              <w:pStyle w:val="Compact"/>
            </w:pPr>
            <w:r>
              <w:t xml:space="preserve">2,418</w:t>
            </w:r>
          </w:p>
        </w:tc>
        <w:tc>
          <w:tcPr>
            <w:tcW w:w="960" w:type="dxa"/>
          </w:tcPr>
          <w:p>
            <w:pPr>
              <w:pStyle w:val="Compact"/>
            </w:pPr>
            <w:r>
              <w:t xml:space="preserve">2,976</w:t>
            </w:r>
          </w:p>
        </w:tc>
        <w:tc>
          <w:tcPr>
            <w:tcW w:w="960" w:type="dxa"/>
          </w:tcPr>
          <w:p>
            <w:pPr>
              <w:pStyle w:val="Compact"/>
            </w:pPr>
            <w:r>
              <w:t xml:space="preserve">2,097</w:t>
            </w:r>
          </w:p>
        </w:tc>
        <w:tc>
          <w:tcPr>
            <w:tcW w:w="960" w:type="dxa"/>
          </w:tcPr>
          <w:p>
            <w:pPr>
              <w:pStyle w:val="Compact"/>
            </w:pPr>
            <w:r>
              <w:t xml:space="preserve">1,966*</w:t>
            </w:r>
          </w:p>
        </w:tc>
        <w:tc>
          <w:tcPr>
            <w:tcW w:w="2280" w:type="dxa"/>
          </w:tcPr>
          <w:p>
            <w:pPr>
              <w:pStyle w:val="Compact"/>
            </w:pPr>
            <w:r>
              <w:t xml:space="preserve">+64 [-166, +265]</w:t>
            </w:r>
          </w:p>
        </w:tc>
        <w:tc>
          <w:tcPr>
            <w:tcW w:w="1040" w:type="dxa"/>
          </w:tcPr>
          <w:p>
            <w:pPr>
              <w:pStyle w:val="Compact"/>
            </w:pPr>
            <w:r>
              <w:t xml:space="preserve">no</w:t>
            </w:r>
          </w:p>
        </w:tc>
      </w:tr>
      <w:tr>
        <w:trPr>
          <w:cantSplit/>
        </w:trPr>
        <w:tc>
          <w:tcPr>
            <w:tcW w:w="2200" w:type="dxa"/>
          </w:tcPr>
          <w:p>
            <w:pPr>
              <w:pStyle w:val="Compact"/>
            </w:pPr>
            <w:r>
              <w:t xml:space="preserve">Greedy-Diverse (repaired)</w:t>
            </w:r>
          </w:p>
        </w:tc>
        <w:tc>
          <w:tcPr>
            <w:tcW w:w="960" w:type="dxa"/>
          </w:tcPr>
          <w:p>
            <w:pPr>
              <w:pStyle w:val="Compact"/>
            </w:pPr>
            <w:r>
              <w:t xml:space="preserve">1,842</w:t>
            </w:r>
          </w:p>
        </w:tc>
        <w:tc>
          <w:tcPr>
            <w:tcW w:w="960" w:type="dxa"/>
          </w:tcPr>
          <w:p>
            <w:pPr>
              <w:pStyle w:val="Compact"/>
            </w:pPr>
            <w:r>
              <w:t xml:space="preserve">2,402</w:t>
            </w:r>
          </w:p>
        </w:tc>
        <w:tc>
          <w:tcPr>
            <w:tcW w:w="960" w:type="dxa"/>
          </w:tcPr>
          <w:p>
            <w:pPr>
              <w:pStyle w:val="Compact"/>
            </w:pPr>
            <w:r>
              <w:t xml:space="preserve">1,746</w:t>
            </w:r>
          </w:p>
        </w:tc>
        <w:tc>
          <w:tcPr>
            <w:tcW w:w="960" w:type="dxa"/>
          </w:tcPr>
          <w:p>
            <w:pPr>
              <w:pStyle w:val="Compact"/>
            </w:pPr>
            <w:r>
              <w:t xml:space="preserve">1,678*</w:t>
            </w:r>
          </w:p>
        </w:tc>
        <w:tc>
          <w:tcPr>
            <w:tcW w:w="2280" w:type="dxa"/>
          </w:tcPr>
          <w:p>
            <w:pPr>
              <w:pStyle w:val="Compact"/>
            </w:pPr>
            <w:r>
              <w:t xml:space="preserve">+352 [+163, +553]</w:t>
            </w:r>
          </w:p>
        </w:tc>
        <w:tc>
          <w:tcPr>
            <w:tcW w:w="1040" w:type="dxa"/>
          </w:tcPr>
          <w:p>
            <w:pPr>
              <w:pStyle w:val="Compact"/>
            </w:pPr>
            <w:r>
              <w:t xml:space="preserve">yes</w:t>
            </w:r>
          </w:p>
        </w:tc>
      </w:tr>
      <w:tr>
        <w:trPr>
          <w:cantSplit/>
        </w:trPr>
        <w:tc>
          <w:tcPr>
            <w:tcW w:w="2200" w:type="dxa"/>
          </w:tcPr>
          <w:p>
            <w:pPr>
              <w:pStyle w:val="Compact"/>
            </w:pPr>
            <w:r>
              <w:t xml:space="preserve">Max-PathCov †</w:t>
            </w:r>
          </w:p>
        </w:tc>
        <w:tc>
          <w:tcPr>
            <w:tcW w:w="960" w:type="dxa"/>
          </w:tcPr>
          <w:p>
            <w:pPr>
              <w:pStyle w:val="Compact"/>
            </w:pPr>
            <w:r>
              <w:t xml:space="preserve">1,987</w:t>
            </w:r>
          </w:p>
        </w:tc>
        <w:tc>
          <w:tcPr>
            <w:tcW w:w="960" w:type="dxa"/>
          </w:tcPr>
          <w:p>
            <w:pPr>
              <w:pStyle w:val="Compact"/>
            </w:pPr>
            <w:r>
              <w:t xml:space="preserve">2,589</w:t>
            </w:r>
          </w:p>
        </w:tc>
        <w:tc>
          <w:tcPr>
            <w:tcW w:w="960" w:type="dxa"/>
          </w:tcPr>
          <w:p>
            <w:pPr>
              <w:pStyle w:val="Compact"/>
            </w:pPr>
            <w:r>
              <w:t xml:space="preserve">1,949</w:t>
            </w:r>
          </w:p>
        </w:tc>
        <w:tc>
          <w:tcPr>
            <w:tcW w:w="960" w:type="dxa"/>
          </w:tcPr>
          <w:p>
            <w:pPr>
              <w:pStyle w:val="Compact"/>
            </w:pPr>
            <w:r>
              <w:t xml:space="preserve">1,538*</w:t>
            </w:r>
          </w:p>
        </w:tc>
        <w:tc>
          <w:tcPr>
            <w:tcW w:w="2280" w:type="dxa"/>
          </w:tcPr>
          <w:p>
            <w:pPr>
              <w:pStyle w:val="Compact"/>
            </w:pPr>
            <w:r>
              <w:t xml:space="preserve">+492 [+220, +694]</w:t>
            </w:r>
          </w:p>
        </w:tc>
        <w:tc>
          <w:tcPr>
            <w:tcW w:w="1040" w:type="dxa"/>
          </w:tcPr>
          <w:p>
            <w:pPr>
              <w:pStyle w:val="Compact"/>
            </w:pPr>
            <w:r>
              <w:t xml:space="preserve">yes</w:t>
            </w:r>
          </w:p>
        </w:tc>
      </w:tr>
      <w:tr>
        <w:trPr>
          <w:cantSplit/>
        </w:trPr>
        <w:tc>
          <w:tcPr>
            <w:tcW w:w="2200" w:type="dxa"/>
          </w:tcPr>
          <w:p>
            <w:pPr>
              <w:pStyle w:val="Compact"/>
            </w:pPr>
            <w:r>
              <w:t xml:space="preserve">LP-Relaxation †</w:t>
            </w:r>
          </w:p>
        </w:tc>
        <w:tc>
          <w:tcPr>
            <w:tcW w:w="960" w:type="dxa"/>
          </w:tcPr>
          <w:p>
            <w:pPr>
              <w:pStyle w:val="Compact"/>
            </w:pPr>
            <w:r>
              <w:t xml:space="preserve">2,136</w:t>
            </w:r>
          </w:p>
        </w:tc>
        <w:tc>
          <w:tcPr>
            <w:tcW w:w="960" w:type="dxa"/>
          </w:tcPr>
          <w:p>
            <w:pPr>
              <w:pStyle w:val="Compact"/>
            </w:pPr>
            <w:r>
              <w:t xml:space="preserve">2,658</w:t>
            </w:r>
          </w:p>
        </w:tc>
        <w:tc>
          <w:tcPr>
            <w:tcW w:w="960" w:type="dxa"/>
          </w:tcPr>
          <w:p>
            <w:pPr>
              <w:pStyle w:val="Compact"/>
            </w:pPr>
            <w:r>
              <w:t xml:space="preserve">1,776</w:t>
            </w:r>
          </w:p>
        </w:tc>
        <w:tc>
          <w:tcPr>
            <w:tcW w:w="960" w:type="dxa"/>
          </w:tcPr>
          <w:p>
            <w:pPr>
              <w:pStyle w:val="Compact"/>
            </w:pPr>
            <w:r>
              <w:t xml:space="preserve">1,469*</w:t>
            </w:r>
          </w:p>
        </w:tc>
        <w:tc>
          <w:tcPr>
            <w:tcW w:w="2280" w:type="dxa"/>
          </w:tcPr>
          <w:p>
            <w:pPr>
              <w:pStyle w:val="Compact"/>
            </w:pPr>
            <w:r>
              <w:t xml:space="preserve">+561 [+298, +745]</w:t>
            </w:r>
          </w:p>
        </w:tc>
        <w:tc>
          <w:tcPr>
            <w:tcW w:w="1040" w:type="dxa"/>
          </w:tcPr>
          <w:p>
            <w:pPr>
              <w:pStyle w:val="Compact"/>
            </w:pPr>
            <w:r>
              <w:t xml:space="preserve">yes</w:t>
            </w:r>
          </w:p>
        </w:tc>
      </w:tr>
      <w:tr>
        <w:trPr>
          <w:cantSplit/>
        </w:trPr>
        <w:tc>
          <w:tcPr>
            <w:tcW w:w="2200" w:type="dxa"/>
          </w:tcPr>
          <w:p>
            <w:pPr>
              <w:pStyle w:val="Compact"/>
            </w:pPr>
            <w:r>
              <w:t xml:space="preserve">Static-Best †</w:t>
            </w:r>
          </w:p>
        </w:tc>
        <w:tc>
          <w:tcPr>
            <w:tcW w:w="960" w:type="dxa"/>
          </w:tcPr>
          <w:p>
            <w:pPr>
              <w:pStyle w:val="Compact"/>
            </w:pPr>
            <w:r>
              <w:t xml:space="preserve">2,471</w:t>
            </w:r>
          </w:p>
        </w:tc>
        <w:tc>
          <w:tcPr>
            <w:tcW w:w="960" w:type="dxa"/>
          </w:tcPr>
          <w:p>
            <w:pPr>
              <w:pStyle w:val="Compact"/>
            </w:pPr>
            <w:r>
              <w:t xml:space="preserve">2,886</w:t>
            </w:r>
          </w:p>
        </w:tc>
        <w:tc>
          <w:tcPr>
            <w:tcW w:w="960" w:type="dxa"/>
          </w:tcPr>
          <w:p>
            <w:pPr>
              <w:pStyle w:val="Compact"/>
            </w:pPr>
            <w:r>
              <w:t xml:space="preserve">1,713</w:t>
            </w:r>
          </w:p>
        </w:tc>
        <w:tc>
          <w:tcPr>
            <w:tcW w:w="960" w:type="dxa"/>
          </w:tcPr>
          <w:p>
            <w:pPr>
              <w:pStyle w:val="Compact"/>
            </w:pPr>
            <w:r>
              <w:t xml:space="preserve">1,393*</w:t>
            </w:r>
          </w:p>
        </w:tc>
        <w:tc>
          <w:tcPr>
            <w:tcW w:w="2280" w:type="dxa"/>
          </w:tcPr>
          <w:p>
            <w:pPr>
              <w:pStyle w:val="Compact"/>
            </w:pPr>
            <w:r>
              <w:t xml:space="preserve">+638 [+372, +822]</w:t>
            </w:r>
          </w:p>
        </w:tc>
        <w:tc>
          <w:tcPr>
            <w:tcW w:w="1040" w:type="dxa"/>
          </w:tcPr>
          <w:p>
            <w:pPr>
              <w:pStyle w:val="Compact"/>
            </w:pPr>
            <w:r>
              <w:t xml:space="preserve">yes</w:t>
            </w:r>
          </w:p>
        </w:tc>
      </w:tr>
      <w:tr>
        <w:trPr>
          <w:cantSplit/>
        </w:trPr>
        <w:tc>
          <w:tcPr>
            <w:tcW w:w="2200" w:type="dxa"/>
          </w:tcPr>
          <w:p>
            <w:pPr>
              <w:pStyle w:val="Compact"/>
            </w:pPr>
            <w:r>
              <w:t xml:space="preserve">Greedy-BiDir †</w:t>
            </w:r>
          </w:p>
        </w:tc>
        <w:tc>
          <w:tcPr>
            <w:tcW w:w="960" w:type="dxa"/>
          </w:tcPr>
          <w:p>
            <w:pPr>
              <w:pStyle w:val="Compact"/>
            </w:pPr>
            <w:r>
              <w:t xml:space="preserve">2,493</w:t>
            </w:r>
          </w:p>
        </w:tc>
        <w:tc>
          <w:tcPr>
            <w:tcW w:w="960" w:type="dxa"/>
          </w:tcPr>
          <w:p>
            <w:pPr>
              <w:pStyle w:val="Compact"/>
            </w:pPr>
            <w:r>
              <w:t xml:space="preserve">2,888</w:t>
            </w:r>
          </w:p>
        </w:tc>
        <w:tc>
          <w:tcPr>
            <w:tcW w:w="960" w:type="dxa"/>
          </w:tcPr>
          <w:p>
            <w:pPr>
              <w:pStyle w:val="Compact"/>
            </w:pPr>
            <w:r>
              <w:t xml:space="preserve">1,664</w:t>
            </w:r>
          </w:p>
        </w:tc>
        <w:tc>
          <w:tcPr>
            <w:tcW w:w="960" w:type="dxa"/>
          </w:tcPr>
          <w:p>
            <w:pPr>
              <w:pStyle w:val="Compact"/>
            </w:pPr>
            <w:r>
              <w:t xml:space="preserve">1,384*</w:t>
            </w:r>
          </w:p>
        </w:tc>
        <w:tc>
          <w:tcPr>
            <w:tcW w:w="2280" w:type="dxa"/>
          </w:tcPr>
          <w:p>
            <w:pPr>
              <w:pStyle w:val="Compact"/>
            </w:pPr>
            <w:r>
              <w:t xml:space="preserve">+646 [+387, +836]</w:t>
            </w:r>
          </w:p>
        </w:tc>
        <w:tc>
          <w:tcPr>
            <w:tcW w:w="1040" w:type="dxa"/>
          </w:tcPr>
          <w:p>
            <w:pPr>
              <w:pStyle w:val="Compact"/>
            </w:pPr>
            <w:r>
              <w:t xml:space="preserve">yes</w:t>
            </w:r>
          </w:p>
        </w:tc>
      </w:tr>
      <w:tr>
        <w:trPr>
          <w:cantSplit/>
        </w:trPr>
        <w:tc>
          <w:tcPr>
            <w:tcW w:w="2200" w:type="dxa"/>
          </w:tcPr>
          <w:p>
            <w:pPr>
              <w:pStyle w:val="Compact"/>
            </w:pPr>
            <w:r>
              <w:t xml:space="preserve">Random †</w:t>
            </w:r>
          </w:p>
        </w:tc>
        <w:tc>
          <w:tcPr>
            <w:tcW w:w="960" w:type="dxa"/>
          </w:tcPr>
          <w:p>
            <w:pPr>
              <w:pStyle w:val="Compact"/>
            </w:pPr>
            <w:r>
              <w:t xml:space="preserve">1,547</w:t>
            </w:r>
          </w:p>
        </w:tc>
        <w:tc>
          <w:tcPr>
            <w:tcW w:w="960" w:type="dxa"/>
          </w:tcPr>
          <w:p>
            <w:pPr>
              <w:pStyle w:val="Compact"/>
            </w:pPr>
            <w:r>
              <w:t xml:space="preserve">1,777</w:t>
            </w:r>
          </w:p>
        </w:tc>
        <w:tc>
          <w:tcPr>
            <w:tcW w:w="960" w:type="dxa"/>
          </w:tcPr>
          <w:p>
            <w:pPr>
              <w:pStyle w:val="Compact"/>
            </w:pPr>
            <w:r>
              <w:t xml:space="preserve">1,236</w:t>
            </w:r>
          </w:p>
        </w:tc>
        <w:tc>
          <w:tcPr>
            <w:tcW w:w="960" w:type="dxa"/>
          </w:tcPr>
          <w:p>
            <w:pPr>
              <w:pStyle w:val="Compact"/>
            </w:pPr>
            <w:r>
              <w:t xml:space="preserve">1,229*</w:t>
            </w:r>
          </w:p>
        </w:tc>
        <w:tc>
          <w:tcPr>
            <w:tcW w:w="2280" w:type="dxa"/>
          </w:tcPr>
          <w:p>
            <w:pPr>
              <w:pStyle w:val="Compact"/>
            </w:pPr>
            <w:r>
              <w:t xml:space="preserve">+801 [+622, +958]</w:t>
            </w:r>
          </w:p>
        </w:tc>
        <w:tc>
          <w:tcPr>
            <w:tcW w:w="1040" w:type="dxa"/>
          </w:tcPr>
          <w:p>
            <w:pPr>
              <w:pStyle w:val="Compact"/>
            </w:pPr>
            <w:r>
              <w:t xml:space="preserve">yes</w:t>
            </w:r>
          </w:p>
        </w:tc>
      </w:tr>
      <w:tr>
        <w:trPr>
          <w:cantSplit/>
        </w:trPr>
        <w:tc>
          <w:tcPr>
            <w:tcW w:w="2200" w:type="dxa"/>
          </w:tcPr>
          <w:p>
            <w:pPr>
              <w:pStyle w:val="Compact"/>
            </w:pPr>
            <w:r>
              <w:t xml:space="preserve">Round-Robin †</w:t>
            </w:r>
          </w:p>
        </w:tc>
        <w:tc>
          <w:tcPr>
            <w:tcW w:w="960" w:type="dxa"/>
          </w:tcPr>
          <w:p>
            <w:pPr>
              <w:pStyle w:val="Compact"/>
            </w:pPr>
            <w:r>
              <w:t xml:space="preserve">1,286</w:t>
            </w:r>
          </w:p>
        </w:tc>
        <w:tc>
          <w:tcPr>
            <w:tcW w:w="960" w:type="dxa"/>
          </w:tcPr>
          <w:p>
            <w:pPr>
              <w:pStyle w:val="Compact"/>
            </w:pPr>
            <w:r>
              <w:t xml:space="preserve">1,771</w:t>
            </w:r>
          </w:p>
        </w:tc>
        <w:tc>
          <w:tcPr>
            <w:tcW w:w="960" w:type="dxa"/>
          </w:tcPr>
          <w:p>
            <w:pPr>
              <w:pStyle w:val="Compact"/>
            </w:pPr>
            <w:r>
              <w:t xml:space="preserve">1,212</w:t>
            </w:r>
          </w:p>
        </w:tc>
        <w:tc>
          <w:tcPr>
            <w:tcW w:w="960" w:type="dxa"/>
          </w:tcPr>
          <w:p>
            <w:pPr>
              <w:pStyle w:val="Compact"/>
            </w:pPr>
            <w:r>
              <w:t xml:space="preserve">1,136*</w:t>
            </w:r>
          </w:p>
        </w:tc>
        <w:tc>
          <w:tcPr>
            <w:tcW w:w="2280" w:type="dxa"/>
          </w:tcPr>
          <w:p>
            <w:pPr>
              <w:pStyle w:val="Compact"/>
            </w:pPr>
            <w:r>
              <w:t xml:space="preserve">+894 [+693, +1,053]</w:t>
            </w:r>
          </w:p>
        </w:tc>
        <w:tc>
          <w:tcPr>
            <w:tcW w:w="1040" w:type="dxa"/>
          </w:tcPr>
          <w:p>
            <w:pPr>
              <w:pStyle w:val="Compact"/>
            </w:pPr>
            <w:r>
              <w:t xml:space="preserve">yes</w:t>
            </w:r>
          </w:p>
        </w:tc>
      </w:tr>
      <w:tr>
        <w:trPr>
          <w:cantSplit/>
        </w:trPr>
        <w:tc>
          <w:tcPr>
            <w:tcW w:w="2200" w:type="dxa"/>
          </w:tcPr>
          <w:p>
            <w:pPr>
              <w:pStyle w:val="Compact"/>
            </w:pPr>
            <w:r>
              <w:t xml:space="preserve">ThreatIntel-Only †</w:t>
            </w:r>
          </w:p>
        </w:tc>
        <w:tc>
          <w:tcPr>
            <w:tcW w:w="960" w:type="dxa"/>
          </w:tcPr>
          <w:p>
            <w:pPr>
              <w:pStyle w:val="Compact"/>
            </w:pPr>
            <w:r>
              <w:t xml:space="preserve">1,609</w:t>
            </w:r>
          </w:p>
        </w:tc>
        <w:tc>
          <w:tcPr>
            <w:tcW w:w="960" w:type="dxa"/>
          </w:tcPr>
          <w:p>
            <w:pPr>
              <w:pStyle w:val="Compact"/>
            </w:pPr>
            <w:r>
              <w:t xml:space="preserve">2,027</w:t>
            </w:r>
          </w:p>
        </w:tc>
        <w:tc>
          <w:tcPr>
            <w:tcW w:w="960" w:type="dxa"/>
          </w:tcPr>
          <w:p>
            <w:pPr>
              <w:pStyle w:val="Compact"/>
            </w:pPr>
            <w:r>
              <w:t xml:space="preserve">1,323</w:t>
            </w:r>
          </w:p>
        </w:tc>
        <w:tc>
          <w:tcPr>
            <w:tcW w:w="960" w:type="dxa"/>
          </w:tcPr>
          <w:p>
            <w:pPr>
              <w:pStyle w:val="Compact"/>
            </w:pPr>
            <w:r>
              <w:t xml:space="preserve">961*</w:t>
            </w:r>
          </w:p>
        </w:tc>
        <w:tc>
          <w:tcPr>
            <w:tcW w:w="2280" w:type="dxa"/>
          </w:tcPr>
          <w:p>
            <w:pPr>
              <w:pStyle w:val="Compact"/>
            </w:pPr>
            <w:r>
              <w:t xml:space="preserve">+1,070 [+831, +1,229]</w:t>
            </w:r>
          </w:p>
        </w:tc>
        <w:tc>
          <w:tcPr>
            <w:tcW w:w="1040" w:type="dxa"/>
          </w:tcPr>
          <w:p>
            <w:pPr>
              <w:pStyle w:val="Compact"/>
            </w:pPr>
            <w:r>
              <w:t xml:space="preserve">yes</w:t>
            </w:r>
          </w:p>
        </w:tc>
      </w:tr>
      <w:tr>
        <w:trPr>
          <w:cantSplit/>
        </w:trPr>
        <w:tc>
          <w:tcPr>
            <w:tcW w:w="2200" w:type="dxa"/>
          </w:tcPr>
          <w:p>
            <w:pPr>
              <w:pStyle w:val="Compact"/>
            </w:pPr>
            <w:r>
              <w:t xml:space="preserve">Single-Zone †</w:t>
            </w:r>
          </w:p>
        </w:tc>
        <w:tc>
          <w:tcPr>
            <w:tcW w:w="960" w:type="dxa"/>
          </w:tcPr>
          <w:p>
            <w:pPr>
              <w:pStyle w:val="Compact"/>
            </w:pPr>
            <w:r>
              <w:t xml:space="preserve">1,936</w:t>
            </w:r>
          </w:p>
        </w:tc>
        <w:tc>
          <w:tcPr>
            <w:tcW w:w="960" w:type="dxa"/>
          </w:tcPr>
          <w:p>
            <w:pPr>
              <w:pStyle w:val="Compact"/>
            </w:pPr>
            <w:r>
              <w:t xml:space="preserve">2,132</w:t>
            </w:r>
          </w:p>
        </w:tc>
        <w:tc>
          <w:tcPr>
            <w:tcW w:w="960" w:type="dxa"/>
          </w:tcPr>
          <w:p>
            <w:pPr>
              <w:pStyle w:val="Compact"/>
            </w:pPr>
            <w:r>
              <w:t xml:space="preserve">1,634</w:t>
            </w:r>
          </w:p>
        </w:tc>
        <w:tc>
          <w:tcPr>
            <w:tcW w:w="960" w:type="dxa"/>
          </w:tcPr>
          <w:p>
            <w:pPr>
              <w:pStyle w:val="Compact"/>
            </w:pPr>
            <w:r>
              <w:t xml:space="preserve">900*</w:t>
            </w:r>
          </w:p>
        </w:tc>
        <w:tc>
          <w:tcPr>
            <w:tcW w:w="2280" w:type="dxa"/>
          </w:tcPr>
          <w:p>
            <w:pPr>
              <w:pStyle w:val="Compact"/>
            </w:pPr>
            <w:r>
              <w:t xml:space="preserve">+1,130 [+912, +1,274]</w:t>
            </w:r>
          </w:p>
        </w:tc>
        <w:tc>
          <w:tcPr>
            <w:tcW w:w="1040" w:type="dxa"/>
          </w:tcPr>
          <w:p>
            <w:pPr>
              <w:pStyle w:val="Compact"/>
            </w:pPr>
            <w:r>
              <w:t xml:space="preserve">yes</w:t>
            </w:r>
          </w:p>
        </w:tc>
      </w:tr>
      <w:tr>
        <w:trPr>
          <w:cantSplit/>
        </w:trPr>
        <w:tc>
          <w:tcPr>
            <w:tcW w:w="2200" w:type="dxa"/>
          </w:tcPr>
          <w:p>
            <w:pPr>
              <w:pStyle w:val="Compact"/>
            </w:pPr>
            <w:r>
              <w:t xml:space="preserve">Greedy-HighRho †</w:t>
            </w:r>
          </w:p>
        </w:tc>
        <w:tc>
          <w:tcPr>
            <w:tcW w:w="960" w:type="dxa"/>
          </w:tcPr>
          <w:p>
            <w:pPr>
              <w:pStyle w:val="Compact"/>
            </w:pPr>
            <w:r>
              <w:t xml:space="preserve">2,185</w:t>
            </w:r>
          </w:p>
        </w:tc>
        <w:tc>
          <w:tcPr>
            <w:tcW w:w="960" w:type="dxa"/>
          </w:tcPr>
          <w:p>
            <w:pPr>
              <w:pStyle w:val="Compact"/>
            </w:pPr>
            <w:r>
              <w:t xml:space="preserve">2,214</w:t>
            </w:r>
          </w:p>
        </w:tc>
        <w:tc>
          <w:tcPr>
            <w:tcW w:w="960" w:type="dxa"/>
          </w:tcPr>
          <w:p>
            <w:pPr>
              <w:pStyle w:val="Compact"/>
            </w:pPr>
            <w:r>
              <w:t xml:space="preserve">1,024</w:t>
            </w:r>
          </w:p>
        </w:tc>
        <w:tc>
          <w:tcPr>
            <w:tcW w:w="960" w:type="dxa"/>
          </w:tcPr>
          <w:p>
            <w:pPr>
              <w:pStyle w:val="Compact"/>
            </w:pPr>
            <w:r>
              <w:t xml:space="preserve">631*</w:t>
            </w:r>
          </w:p>
        </w:tc>
        <w:tc>
          <w:tcPr>
            <w:tcW w:w="2280" w:type="dxa"/>
          </w:tcPr>
          <w:p>
            <w:pPr>
              <w:pStyle w:val="Compact"/>
            </w:pPr>
            <w:r>
              <w:t xml:space="preserve">+1,399 [+1,195, +1,525]</w:t>
            </w:r>
          </w:p>
        </w:tc>
        <w:tc>
          <w:tcPr>
            <w:tcW w:w="1040" w:type="dxa"/>
          </w:tcPr>
          <w:p>
            <w:pPr>
              <w:pStyle w:val="Compact"/>
            </w:pPr>
            <w:r>
              <w:t xml:space="preserve">yes</w:t>
            </w:r>
          </w:p>
        </w:tc>
      </w:tr>
    </w:tbl>
    <w:p>
      <w:pPr>
        <w:pStyle w:val="BodyText"/>
      </w:pPr>
      <w:r>
        <w:t xml:space="preserve">Baselines repaired to the nearest feasible schedule (RC2 minimizing the number of changed deployments; 4–13 changes) follow every hard rule, and their worst-case scores range from 2,070.51 to 3,915.24 (Greedy-Diverse); r* is 1.80× the best of them, against 1.46× the best baseline as produced.</w:t>
      </w:r>
    </w:p>
    <w:p>
      <w:pPr>
        <w:pStyle w:val="BodyText"/>
        <w:keepNext/>
      </w:pPr>
      <w:r>
        <w:rPr>
          <w:b/>
          <w:bCs/>
        </w:rPr>
        <w:t xml:space="preserve">Table 11.</w:t>
      </w:r>
      <w:r>
        <w:t xml:space="preserve"> Baselines at a glance: rules broken as produced, worst-case score as produced and after minimum-change repair (number of changed deployments), r* divided by the repaired worst case, and the paired L2 difference (max–min minus the repaired schedule, lowest-profile means, 95% CI). Sorted by repaired worst case.</w:t>
      </w:r>
    </w:p>
    <w:tbl>
      <w:tblPr>
        <w:tblStyle w:val="Table"/>
        <w:tblW w:w="9360" w:type="dxa"/>
        <w:tblLayout w:type="fixed"/>
        <w:tblLook w:val="0020" w:firstRow="1" w:lastRow="0" w:firstColumn="0" w:lastColumn="0" w:noHBand="0" w:noVBand="0"/>
      </w:tblPr>
      <w:tblGrid>
        <w:gridCol w:w="1650"/>
        <w:gridCol w:w="1650"/>
        <w:gridCol w:w="1250"/>
        <w:gridCol w:w="1550"/>
        <w:gridCol w:w="1250"/>
        <w:gridCol w:w="2010"/>
      </w:tblGrid>
      <w:tr>
        <w:trPr>
          <w:cnfStyle w:val="100000000000" w:firstRow="1" w:lastRow="0" w:firstColumn="0" w:lastColumn="0" w:oddVBand="0" w:evenVBand="0" w:oddHBand="0" w:evenHBand="0" w:firstRowFirstColumn="0" w:firstRowLastColumn="0" w:lastRowFirstColumn="0" w:lastRowLastColumn="0"/>
          <w:tblHeader/>
        </w:trPr>
        <w:tc>
          <w:tcPr>
            <w:tcW w:w="1650" w:type="dxa"/>
          </w:tcPr>
          <w:p>
            <w:pPr>
              <w:pStyle w:val="Compact"/>
            </w:pPr>
            <w:r>
              <w:rPr>
                <w:b/>
                <w:bCs/>
              </w:rPr>
              <w:t xml:space="preserve">Baseline</w:t>
            </w:r>
          </w:p>
        </w:tc>
        <w:tc>
          <w:tcPr>
            <w:tcW w:w="1650" w:type="dxa"/>
          </w:tcPr>
          <w:p>
            <w:pPr>
              <w:pStyle w:val="Compact"/>
            </w:pPr>
            <w:r>
              <w:rPr>
                <w:b/>
                <w:bCs/>
              </w:rPr>
              <w:t xml:space="preserve">Rules broken (as produced)</w:t>
            </w:r>
          </w:p>
        </w:tc>
        <w:tc>
          <w:tcPr>
            <w:tcW w:w="1250" w:type="dxa"/>
          </w:tcPr>
          <w:p>
            <w:pPr>
              <w:pStyle w:val="Compact"/>
            </w:pPr>
            <w:r>
              <w:rPr>
                <w:b/>
                <w:bCs/>
              </w:rPr>
              <w:t xml:space="preserve">Worst case as produced</w:t>
            </w:r>
          </w:p>
        </w:tc>
        <w:tc>
          <w:tcPr>
            <w:tcW w:w="1550" w:type="dxa"/>
          </w:tcPr>
          <w:p>
            <w:pPr>
              <w:pStyle w:val="Compact"/>
            </w:pPr>
            <w:r>
              <w:rPr>
                <w:b/>
                <w:bCs/>
              </w:rPr>
              <w:t xml:space="preserve">Worst case repaired (changes)</w:t>
            </w:r>
          </w:p>
        </w:tc>
        <w:tc>
          <w:tcPr>
            <w:tcW w:w="1250" w:type="dxa"/>
          </w:tcPr>
          <w:p>
            <w:pPr>
              <w:pStyle w:val="Compact"/>
            </w:pPr>
            <w:r>
              <w:rPr>
                <w:b/>
                <w:bCs/>
              </w:rPr>
              <w:t xml:space="preserve">r* ÷ repaired</w:t>
            </w:r>
          </w:p>
        </w:tc>
        <w:tc>
          <w:tcPr>
            <w:tcW w:w="2010" w:type="dxa"/>
          </w:tcPr>
          <w:p>
            <w:pPr>
              <w:pStyle w:val="Compact"/>
            </w:pPr>
            <w:r>
              <w:rPr>
                <w:b/>
                <w:bCs/>
              </w:rPr>
              <w:t xml:space="preserve">L2: max–min minus repaired [95% CI]</w:t>
            </w:r>
          </w:p>
        </w:tc>
      </w:tr>
      <w:tr>
        <w:trPr>
          <w:cantSplit/>
        </w:trPr>
        <w:tc>
          <w:tcPr>
            <w:tcW w:w="1650" w:type="dxa"/>
          </w:tcPr>
          <w:p>
            <w:pPr>
              <w:pStyle w:val="Compact"/>
            </w:pPr>
            <w:r>
              <w:t xml:space="preserve">★ RC2 max–min (r*)</w:t>
            </w:r>
          </w:p>
        </w:tc>
        <w:tc>
          <w:tcPr>
            <w:tcW w:w="1650" w:type="dxa"/>
          </w:tcPr>
          <w:p>
            <w:pPr>
              <w:pStyle w:val="Compact"/>
            </w:pPr>
            <w:r>
              <w:t xml:space="preserve">none</w:t>
            </w:r>
          </w:p>
        </w:tc>
        <w:tc>
          <w:tcPr>
            <w:tcW w:w="1250" w:type="dxa"/>
          </w:tcPr>
          <w:p>
            <w:pPr>
              <w:pStyle w:val="Compact"/>
            </w:pPr>
            <w:r>
              <w:t xml:space="preserve">7,052.62</w:t>
            </w:r>
          </w:p>
        </w:tc>
        <w:tc>
          <w:tcPr>
            <w:tcW w:w="1550" w:type="dxa"/>
          </w:tcPr>
          <w:p>
            <w:pPr>
              <w:pStyle w:val="Compact"/>
            </w:pPr>
            <w:r>
              <w:t xml:space="preserve">— (feasible)</w:t>
            </w:r>
          </w:p>
        </w:tc>
        <w:tc>
          <w:tcPr>
            <w:tcW w:w="1250" w:type="dxa"/>
          </w:tcPr>
          <w:p>
            <w:pPr>
              <w:pStyle w:val="Compact"/>
            </w:pPr>
            <w:r>
              <w:t xml:space="preserve">1.00×</w:t>
            </w:r>
          </w:p>
        </w:tc>
        <w:tc>
          <w:tcPr>
            <w:tcW w:w="2010" w:type="dxa"/>
          </w:tcPr>
          <w:p>
            <w:pPr>
              <w:pStyle w:val="Compact"/>
            </w:pPr>
            <w:r>
              <w:t xml:space="preserve">—</w:t>
            </w:r>
          </w:p>
        </w:tc>
      </w:tr>
      <w:tr>
        <w:trPr>
          <w:cantSplit/>
        </w:trPr>
        <w:tc>
          <w:tcPr>
            <w:tcW w:w="1650" w:type="dxa"/>
          </w:tcPr>
          <w:p>
            <w:pPr>
              <w:pStyle w:val="Compact"/>
            </w:pPr>
            <w:r>
              <w:t xml:space="preserve">Greedy-Diverse</w:t>
            </w:r>
          </w:p>
        </w:tc>
        <w:tc>
          <w:tcPr>
            <w:tcW w:w="1650" w:type="dxa"/>
          </w:tcPr>
          <w:p>
            <w:pPr>
              <w:pStyle w:val="Compact"/>
            </w:pPr>
            <w:r>
              <w:t xml:space="preserve">C12×2, C14×3</w:t>
            </w:r>
          </w:p>
        </w:tc>
        <w:tc>
          <w:tcPr>
            <w:tcW w:w="1250" w:type="dxa"/>
          </w:tcPr>
          <w:p>
            <w:pPr>
              <w:pStyle w:val="Compact"/>
            </w:pPr>
            <w:r>
              <w:t xml:space="preserve">4,822.52</w:t>
            </w:r>
          </w:p>
        </w:tc>
        <w:tc>
          <w:tcPr>
            <w:tcW w:w="1550" w:type="dxa"/>
          </w:tcPr>
          <w:p>
            <w:pPr>
              <w:pStyle w:val="Compact"/>
            </w:pPr>
            <w:r>
              <w:t xml:space="preserve">3,915.24 (5)</w:t>
            </w:r>
          </w:p>
        </w:tc>
        <w:tc>
          <w:tcPr>
            <w:tcW w:w="1250" w:type="dxa"/>
          </w:tcPr>
          <w:p>
            <w:pPr>
              <w:pStyle w:val="Compact"/>
            </w:pPr>
            <w:r>
              <w:t xml:space="preserve">1.80×</w:t>
            </w:r>
          </w:p>
        </w:tc>
        <w:tc>
          <w:tcPr>
            <w:tcW w:w="2010" w:type="dxa"/>
          </w:tcPr>
          <w:p>
            <w:pPr>
              <w:pStyle w:val="Compact"/>
            </w:pPr>
            <w:r>
              <w:t xml:space="preserve">+352 [+163, +553]</w:t>
            </w:r>
          </w:p>
        </w:tc>
      </w:tr>
      <w:tr>
        <w:trPr>
          <w:cantSplit/>
        </w:trPr>
        <w:tc>
          <w:tcPr>
            <w:tcW w:w="1650" w:type="dxa"/>
          </w:tcPr>
          <w:p>
            <w:pPr>
              <w:pStyle w:val="Compact"/>
            </w:pPr>
            <w:r>
              <w:t xml:space="preserve">Single-Zone</w:t>
            </w:r>
          </w:p>
        </w:tc>
        <w:tc>
          <w:tcPr>
            <w:tcW w:w="1650" w:type="dxa"/>
          </w:tcPr>
          <w:p>
            <w:pPr>
              <w:pStyle w:val="Compact"/>
            </w:pPr>
            <w:r>
              <w:t xml:space="preserve">C10a×2, C10b×6, C12×2, C3×4</w:t>
            </w:r>
          </w:p>
        </w:tc>
        <w:tc>
          <w:tcPr>
            <w:tcW w:w="1250" w:type="dxa"/>
          </w:tcPr>
          <w:p>
            <w:pPr>
              <w:pStyle w:val="Compact"/>
            </w:pPr>
            <w:r>
              <w:t xml:space="preserve">2,376.09</w:t>
            </w:r>
          </w:p>
        </w:tc>
        <w:tc>
          <w:tcPr>
            <w:tcW w:w="1550" w:type="dxa"/>
          </w:tcPr>
          <w:p>
            <w:pPr>
              <w:pStyle w:val="Compact"/>
            </w:pPr>
            <w:r>
              <w:t xml:space="preserve">3,432.89 (12)</w:t>
            </w:r>
          </w:p>
        </w:tc>
        <w:tc>
          <w:tcPr>
            <w:tcW w:w="1250" w:type="dxa"/>
          </w:tcPr>
          <w:p>
            <w:pPr>
              <w:pStyle w:val="Compact"/>
            </w:pPr>
            <w:r>
              <w:t xml:space="preserve">2.05×</w:t>
            </w:r>
          </w:p>
        </w:tc>
        <w:tc>
          <w:tcPr>
            <w:tcW w:w="2010" w:type="dxa"/>
          </w:tcPr>
          <w:p>
            <w:pPr>
              <w:pStyle w:val="Compact"/>
            </w:pPr>
            <w:r>
              <w:t xml:space="preserve">+681 [+422, +862]</w:t>
            </w:r>
          </w:p>
        </w:tc>
      </w:tr>
      <w:tr>
        <w:trPr>
          <w:cantSplit/>
        </w:trPr>
        <w:tc>
          <w:tcPr>
            <w:tcW w:w="1650" w:type="dxa"/>
          </w:tcPr>
          <w:p>
            <w:pPr>
              <w:pStyle w:val="Compact"/>
            </w:pPr>
            <w:r>
              <w:t xml:space="preserve">Random</w:t>
            </w:r>
          </w:p>
        </w:tc>
        <w:tc>
          <w:tcPr>
            <w:tcW w:w="1650" w:type="dxa"/>
          </w:tcPr>
          <w:p>
            <w:pPr>
              <w:pStyle w:val="Compact"/>
            </w:pPr>
            <w:r>
              <w:t xml:space="preserve">C10a×1, C10b×6, C12×1, C14×4, C3×2, C4×1, C8×1</w:t>
            </w:r>
          </w:p>
        </w:tc>
        <w:tc>
          <w:tcPr>
            <w:tcW w:w="1250" w:type="dxa"/>
          </w:tcPr>
          <w:p>
            <w:pPr>
              <w:pStyle w:val="Compact"/>
            </w:pPr>
            <w:r>
              <w:t xml:space="preserve">3,770.69</w:t>
            </w:r>
          </w:p>
        </w:tc>
        <w:tc>
          <w:tcPr>
            <w:tcW w:w="1550" w:type="dxa"/>
          </w:tcPr>
          <w:p>
            <w:pPr>
              <w:pStyle w:val="Compact"/>
            </w:pPr>
            <w:r>
              <w:t xml:space="preserve">3,002.83 (13)</w:t>
            </w:r>
          </w:p>
        </w:tc>
        <w:tc>
          <w:tcPr>
            <w:tcW w:w="1250" w:type="dxa"/>
          </w:tcPr>
          <w:p>
            <w:pPr>
              <w:pStyle w:val="Compact"/>
            </w:pPr>
            <w:r>
              <w:t xml:space="preserve">2.35×</w:t>
            </w:r>
          </w:p>
        </w:tc>
        <w:tc>
          <w:tcPr>
            <w:tcW w:w="2010" w:type="dxa"/>
          </w:tcPr>
          <w:p>
            <w:pPr>
              <w:pStyle w:val="Compact"/>
            </w:pPr>
            <w:r>
              <w:t xml:space="preserve">+942 [+706, +1,092]</w:t>
            </w:r>
          </w:p>
        </w:tc>
      </w:tr>
      <w:tr>
        <w:trPr>
          <w:cantSplit/>
        </w:trPr>
        <w:tc>
          <w:tcPr>
            <w:tcW w:w="1650" w:type="dxa"/>
          </w:tcPr>
          <w:p>
            <w:pPr>
              <w:pStyle w:val="Compact"/>
            </w:pPr>
            <w:r>
              <w:t xml:space="preserve">LP-Relaxation</w:t>
            </w:r>
          </w:p>
        </w:tc>
        <w:tc>
          <w:tcPr>
            <w:tcW w:w="1650" w:type="dxa"/>
          </w:tcPr>
          <w:p>
            <w:pPr>
              <w:pStyle w:val="Compact"/>
            </w:pPr>
            <w:r>
              <w:t xml:space="preserve">C10a×1, C10b×3</w:t>
            </w:r>
          </w:p>
        </w:tc>
        <w:tc>
          <w:tcPr>
            <w:tcW w:w="1250" w:type="dxa"/>
          </w:tcPr>
          <w:p>
            <w:pPr>
              <w:pStyle w:val="Compact"/>
            </w:pPr>
            <w:r>
              <w:t xml:space="preserve">2,849.21</w:t>
            </w:r>
          </w:p>
        </w:tc>
        <w:tc>
          <w:tcPr>
            <w:tcW w:w="1550" w:type="dxa"/>
          </w:tcPr>
          <w:p>
            <w:pPr>
              <w:pStyle w:val="Compact"/>
            </w:pPr>
            <w:r>
              <w:t xml:space="preserve">2,849.21 (4)</w:t>
            </w:r>
          </w:p>
        </w:tc>
        <w:tc>
          <w:tcPr>
            <w:tcW w:w="1250" w:type="dxa"/>
          </w:tcPr>
          <w:p>
            <w:pPr>
              <w:pStyle w:val="Compact"/>
            </w:pPr>
            <w:r>
              <w:t xml:space="preserve">2.48×</w:t>
            </w:r>
          </w:p>
        </w:tc>
        <w:tc>
          <w:tcPr>
            <w:tcW w:w="2010" w:type="dxa"/>
          </w:tcPr>
          <w:p>
            <w:pPr>
              <w:pStyle w:val="Compact"/>
            </w:pPr>
            <w:r>
              <w:t xml:space="preserve">+590 [+331, +772]</w:t>
            </w:r>
          </w:p>
        </w:tc>
      </w:tr>
      <w:tr>
        <w:trPr>
          <w:cantSplit/>
        </w:trPr>
        <w:tc>
          <w:tcPr>
            <w:tcW w:w="1650" w:type="dxa"/>
          </w:tcPr>
          <w:p>
            <w:pPr>
              <w:pStyle w:val="Compact"/>
            </w:pPr>
            <w:r>
              <w:t xml:space="preserve">Greedy-BiDir</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+700 [+463, +885]</w:t>
            </w:r>
          </w:p>
        </w:tc>
      </w:tr>
      <w:tr>
        <w:trPr>
          <w:cantSplit/>
        </w:trPr>
        <w:tc>
          <w:tcPr>
            <w:tcW w:w="1650" w:type="dxa"/>
          </w:tcPr>
          <w:p>
            <w:pPr>
              <w:pStyle w:val="Compact"/>
            </w:pPr>
            <w:r>
              <w:t xml:space="preserve">Static-Best</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+672 [+408, +857]</w:t>
            </w:r>
          </w:p>
        </w:tc>
      </w:tr>
      <w:tr>
        <w:trPr>
          <w:cantSplit/>
        </w:trPr>
        <w:tc>
          <w:tcPr>
            <w:tcW w:w="1650" w:type="dxa"/>
          </w:tcPr>
          <w:p>
            <w:pPr>
              <w:pStyle w:val="Compact"/>
            </w:pPr>
            <w:r>
              <w:t xml:space="preserve">Max-PathCov</w:t>
            </w:r>
          </w:p>
        </w:tc>
        <w:tc>
          <w:tcPr>
            <w:tcW w:w="1650" w:type="dxa"/>
          </w:tcPr>
          <w:p>
            <w:pPr>
              <w:pStyle w:val="Compact"/>
            </w:pPr>
            <w:r>
              <w:t xml:space="preserve">C10a×1, C10b×3</w:t>
            </w:r>
          </w:p>
        </w:tc>
        <w:tc>
          <w:tcPr>
            <w:tcW w:w="1250" w:type="dxa"/>
          </w:tcPr>
          <w:p>
            <w:pPr>
              <w:pStyle w:val="Compact"/>
            </w:pPr>
            <w:r>
              <w:t xml:space="preserve">2,782.72</w:t>
            </w:r>
          </w:p>
        </w:tc>
        <w:tc>
          <w:tcPr>
            <w:tcW w:w="1550" w:type="dxa"/>
          </w:tcPr>
          <w:p>
            <w:pPr>
              <w:pStyle w:val="Compact"/>
            </w:pPr>
            <w:r>
              <w:t xml:space="preserve">2,782.72 (4)</w:t>
            </w:r>
          </w:p>
        </w:tc>
        <w:tc>
          <w:tcPr>
            <w:tcW w:w="1250" w:type="dxa"/>
          </w:tcPr>
          <w:p>
            <w:pPr>
              <w:pStyle w:val="Compact"/>
            </w:pPr>
            <w:r>
              <w:t xml:space="preserve">2.53×</w:t>
            </w:r>
          </w:p>
        </w:tc>
        <w:tc>
          <w:tcPr>
            <w:tcW w:w="2010" w:type="dxa"/>
          </w:tcPr>
          <w:p>
            <w:pPr>
              <w:pStyle w:val="Compact"/>
            </w:pPr>
            <w:r>
              <w:t xml:space="preserve">+523 [+249, +722]</w:t>
            </w:r>
          </w:p>
        </w:tc>
      </w:tr>
      <w:tr>
        <w:trPr>
          <w:cantSplit/>
        </w:trPr>
        <w:tc>
          <w:tcPr>
            <w:tcW w:w="1650" w:type="dxa"/>
          </w:tcPr>
          <w:p>
            <w:pPr>
              <w:pStyle w:val="Compact"/>
            </w:pPr>
            <w:r>
              <w:t xml:space="preserve">Round-Robin</w:t>
            </w:r>
          </w:p>
        </w:tc>
        <w:tc>
          <w:tcPr>
            <w:tcW w:w="1650" w:type="dxa"/>
          </w:tcPr>
          <w:p>
            <w:pPr>
              <w:pStyle w:val="Compact"/>
            </w:pPr>
            <w:r>
              <w:t xml:space="preserve">C10b×2, C12×1, C14×3, C8×3</w:t>
            </w:r>
          </w:p>
        </w:tc>
        <w:tc>
          <w:tcPr>
            <w:tcW w:w="1250" w:type="dxa"/>
          </w:tcPr>
          <w:p>
            <w:pPr>
              <w:pStyle w:val="Compact"/>
            </w:pPr>
            <w:r>
              <w:t xml:space="preserve">2,776.85</w:t>
            </w:r>
          </w:p>
        </w:tc>
        <w:tc>
          <w:tcPr>
            <w:tcW w:w="1550" w:type="dxa"/>
          </w:tcPr>
          <w:p>
            <w:pPr>
              <w:pStyle w:val="Compact"/>
            </w:pPr>
            <w:r>
              <w:t xml:space="preserve">2,764.98 (10)</w:t>
            </w:r>
          </w:p>
        </w:tc>
        <w:tc>
          <w:tcPr>
            <w:tcW w:w="1250" w:type="dxa"/>
          </w:tcPr>
          <w:p>
            <w:pPr>
              <w:pStyle w:val="Compact"/>
            </w:pPr>
            <w:r>
              <w:t xml:space="preserve">2.55×</w:t>
            </w:r>
          </w:p>
        </w:tc>
        <w:tc>
          <w:tcPr>
            <w:tcW w:w="2010" w:type="dxa"/>
          </w:tcPr>
          <w:p>
            <w:pPr>
              <w:pStyle w:val="Compact"/>
            </w:pPr>
            <w:r>
              <w:t xml:space="preserve">+763 [+569, +941]</w:t>
            </w:r>
          </w:p>
        </w:tc>
      </w:tr>
      <w:tr>
        <w:trPr>
          <w:cantSplit/>
        </w:trPr>
        <w:tc>
          <w:tcPr>
            <w:tcW w:w="1650" w:type="dxa"/>
          </w:tcPr>
          <w:p>
            <w:pPr>
              <w:pStyle w:val="Compact"/>
            </w:pPr>
            <w:r>
              <w:t xml:space="preserve">ThreatIntel-Only</w:t>
            </w:r>
          </w:p>
        </w:tc>
        <w:tc>
          <w:tcPr>
            <w:tcW w:w="1650" w:type="dxa"/>
          </w:tcPr>
          <w:p>
            <w:pPr>
              <w:pStyle w:val="Compact"/>
            </w:pPr>
            <w:r>
              <w:t xml:space="preserve">C10a×3, C10b×9</w:t>
            </w:r>
          </w:p>
        </w:tc>
        <w:tc>
          <w:tcPr>
            <w:tcW w:w="1250" w:type="dxa"/>
          </w:tcPr>
          <w:p>
            <w:pPr>
              <w:pStyle w:val="Compact"/>
            </w:pPr>
            <w:r>
              <w:t xml:space="preserve">2,090.52</w:t>
            </w:r>
          </w:p>
        </w:tc>
        <w:tc>
          <w:tcPr>
            <w:tcW w:w="1550" w:type="dxa"/>
          </w:tcPr>
          <w:p>
            <w:pPr>
              <w:pStyle w:val="Compact"/>
            </w:pPr>
            <w:r>
              <w:t xml:space="preserve">2,090.52 (12)</w:t>
            </w:r>
          </w:p>
        </w:tc>
        <w:tc>
          <w:tcPr>
            <w:tcW w:w="1250" w:type="dxa"/>
          </w:tcPr>
          <w:p>
            <w:pPr>
              <w:pStyle w:val="Compact"/>
            </w:pPr>
            <w:r>
              <w:t xml:space="preserve">3.37×</w:t>
            </w:r>
          </w:p>
        </w:tc>
        <w:tc>
          <w:tcPr>
            <w:tcW w:w="2010" w:type="dxa"/>
          </w:tcPr>
          <w:p>
            <w:pPr>
              <w:pStyle w:val="Compact"/>
            </w:pPr>
            <w:r>
              <w:t xml:space="preserve">+884 [+625, +1,056]</w:t>
            </w:r>
          </w:p>
        </w:tc>
      </w:tr>
      <w:tr>
        <w:trPr>
          <w:cantSplit/>
        </w:trPr>
        <w:tc>
          <w:tcPr>
            <w:tcW w:w="1650" w:type="dxa"/>
          </w:tcPr>
          <w:p>
            <w:pPr>
              <w:pStyle w:val="Compact"/>
            </w:pPr>
            <w:r>
              <w:t xml:space="preserve">Greedy-HighRho</w:t>
            </w:r>
          </w:p>
        </w:tc>
        <w:tc>
          <w:tcPr>
            <w:tcW w:w="1650" w:type="dxa"/>
          </w:tcPr>
          <w:p>
            <w:pPr>
              <w:pStyle w:val="Compact"/>
            </w:pPr>
            <w:r>
              <w:t xml:space="preserve">C10a×2, C10b×6, C14×4</w:t>
            </w:r>
          </w:p>
        </w:tc>
        <w:tc>
          <w:tcPr>
            <w:tcW w:w="1250" w:type="dxa"/>
          </w:tcPr>
          <w:p>
            <w:pPr>
              <w:pStyle w:val="Compact"/>
            </w:pPr>
            <w:r>
              <w:t xml:space="preserve">1,341.25</w:t>
            </w:r>
          </w:p>
        </w:tc>
        <w:tc>
          <w:tcPr>
            <w:tcW w:w="1550" w:type="dxa"/>
          </w:tcPr>
          <w:p>
            <w:pPr>
              <w:pStyle w:val="Compact"/>
            </w:pPr>
            <w:r>
              <w:t xml:space="preserve">2,070.51 (10)</w:t>
            </w:r>
          </w:p>
        </w:tc>
        <w:tc>
          <w:tcPr>
            <w:tcW w:w="1250" w:type="dxa"/>
          </w:tcPr>
          <w:p>
            <w:pPr>
              <w:pStyle w:val="Compact"/>
            </w:pPr>
            <w:r>
              <w:t xml:space="preserve">3.41×</w:t>
            </w:r>
          </w:p>
        </w:tc>
        <w:tc>
          <w:tcPr>
            <w:tcW w:w="2010" w:type="dxa"/>
          </w:tcPr>
          <w:p>
            <w:pPr>
              <w:pStyle w:val="Compact"/>
            </w:pPr>
            <w:r>
              <w:t xml:space="preserve">+779 [+537, +958]</w:t>
            </w:r>
          </w:p>
        </w:tc>
      </w:tr>
    </w:tbl>
    <w:p>
      <w:pPr>
        <w:pStyle w:val="BodyText"/>
      </w:pPr>
      <w:r>
        <w:rPr>
          <w:b/>
          <w:bCs/>
        </w:rPr>
        <w:t xml:space="preserve">Running example (C4).</w:t>
      </w:r>
      <w:r>
        <w:rPr/>
        <w:t xml:space="preserve"> With every probe forced (deterministic replay), the emulated score equals the model score for the static, max–min and Q-med schedules under all three profiles (nine of nine pairs). Over 1,000 stochastic episodes per profile with common random numbers, run with a scripted emulator of the same attacker model, the max–min schedule’s lowest-profile mean (1,305.9, under θ_burst) exceeds the static schedule’s by +481.9 (95% paired-bootstrap interval [442.8, 520.3]) and the Q-med schedule’s by +19.5 ([−29.2, 69.6], not significant) — the same pattern as in Table 10, where the comparison with the Q-med schedule is also one of the two that are not significant. Figure 18 shows both checks; C4 thus tests the output of C3 under the rules of C2, without changing either.</w:t>
      </w:r>
    </w:p>
    <w:p>
      <w:pPr>
        <w:pStyle w:val="CaptionedFigure"/>
        <w:keepNext/>
        <w:jc w:val="center"/>
      </w:pPr>
      <w:r>
        <w:drawing>
          <wp:inline distT="0" distB="0" distL="0" distR="0">
            <wp:extent cx="5943600" cy="2108600"/>
            <wp:docPr id="9306" name="Figure 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c4_validation.png"/>
                    <pic:cNvPicPr/>
                  </pic:nvPicPr>
                  <pic:blipFill>
                    <a:blip r:embed="rIdN9306"/>
                    <a:stretch>
                      <a:fillRect/>
                    </a:stretch>
                  </pic:blipFill>
                  <pic:spPr>
                    <a:xfrm>
                      <a:off x="0" y="0"/>
                      <a:ext cx="5943600" cy="2108600"/>
                    </a:xfrm>
                    <a:prstGeom prst="rect">
                      <a:avLst/>
                    </a:prstGeom>
                  </pic:spPr>
                </pic:pic>
              </a:graphicData>
            </a:graphic>
          </wp:inline>
        </w:drawing>
      </w:r>
    </w:p>
    <w:p>
      <w:pPr>
        <w:pStyle w:val="ImageCaption"/>
      </w:pPr>
      <w:r>
        <w:rPr>
          <w:b/>
          <w:bCs/>
        </w:rPr>
        <w:t xml:space="preserve">Figure 18.</w:t>
      </w:r>
      <w:r>
        <w:t xml:space="preserve"> C4 on the running example. (a) Deterministic replay reproduces the model score in all nine schedule–profile pairs. (b) Mean emulated score over 1,000 stochastic episodes per profile with 95% confidence intervals: max–min beats the static plan on its lowest profile by +481.9 [442.8, 520.3]; its difference from Q-med (+19.5 [−29.2, 69.6]) is not statistically significant on this small instance.</w:t>
      </w:r>
    </w:p>
    <w:p>
      <w:pPr>
        <w:pStyle w:val="Heading3"/>
      </w:pPr>
      <w:r>
        <w:t xml:space="preserve">7.7 Robust Heuristics, Scaling and Persona Rotation</w:t>
      </w:r>
    </w:p>
    <w:p>
      <w:pPr>
        <w:pStyle w:val="FirstParagraph"/>
      </w:pPr>
      <w:r>
        <w:t xml:space="preserve">The ten baselines optimize a burn-blind, single-profile score, so they do not show how close a heuristic can get when it targets the same objective. We therefore add two burn-aware, rule-aware heuristics that maximize min_θ Q_θ directly (Table 12). Robust greedy adds the deployment with the largest worst-case gain while every rule that additions can break holds, and is then repaired for C10a/C10b (4 changes). Robust local search climbs over rule-compliant schedules by adding, removing or replacing one deployment (4,000 moves per restart) from 11 starting points: the robust-greedy schedule and the ten repaired baselines.</w:t>
      </w:r>
    </w:p>
    <w:p>
      <w:pPr>
        <w:pStyle w:val="BodyText"/>
      </w:pPr>
      <w:r>
        <w:t xml:space="preserve">Robust greedy reaches 5,821.95 (82.6% of r*), well above every burn-blind baseline, which confirms that burn awareness, not only rule compliance, drives the worst case. Robust local search reaches r* = 7,052.62 in 1 of 11 restarts; the other 10 stop between 5,262.00 and 6,744.70. Nothing in the heuristic's output distinguishes the optimal run from the others: only the certificate establishes that 7,052.62 cannot be exceeded, and the exact search returns that value and its proof in a single run. The contribution of ZSTP is therefore the certified optimum, not a score that no heuristic could ever find.</w:t>
      </w:r>
    </w:p>
    <w:p>
      <w:pPr>
        <w:pStyle w:val="BodyText"/>
        <w:keepNext/>
      </w:pPr>
      <w:r>
        <w:rPr>
          <w:b/>
          <w:bCs/>
        </w:rPr>
        <w:t xml:space="preserve">Table 12.</w:t>
      </w:r>
      <w:r>
        <w:t xml:space="preserve"> Heuristics that optimize the worst case directly, against the certified optimum (XLarge, common evaluator; all schedules follow every hard rule).</w:t>
      </w:r>
    </w:p>
    <w:tbl>
      <w:tblPr>
        <w:tblStyle w:val="Table"/>
        <w:tblW w:w="9360" w:type="dxa"/>
        <w:tblLayout w:type="fixed"/>
        <w:tblLook w:val="0020" w:firstRow="1" w:lastRow="0" w:firstColumn="0" w:lastColumn="0" w:noHBand="0" w:noVBand="0"/>
      </w:tblPr>
      <w:tblGrid>
        <w:gridCol w:w="2800"/>
        <w:gridCol w:w="1450"/>
        <w:gridCol w:w="1150"/>
        <w:gridCol w:w="1000"/>
        <w:gridCol w:w="1660"/>
        <w:gridCol w:w="1300"/>
      </w:tblGrid>
      <w:tr>
        <w:trPr>
          <w:cnfStyle w:val="100000000000" w:firstRow="1" w:lastRow="0" w:firstColumn="0" w:lastColumn="0" w:oddVBand="0" w:evenVBand="0" w:oddHBand="0" w:evenHBand="0" w:firstRowFirstColumn="0" w:firstRowLastColumn="0" w:lastRowFirstColumn="0" w:lastRowLastColumn="0"/>
          <w:tblHeader/>
        </w:trPr>
        <w:tc>
          <w:tcPr>
            <w:tcW w:w="2800" w:type="dxa"/>
          </w:tcPr>
          <w:p>
            <w:pPr>
              <w:pStyle w:val="Compact"/>
            </w:pPr>
            <w:r>
              <w:rPr>
                <w:b/>
                <w:bCs/>
              </w:rPr>
              <w:t xml:space="preserve">Method</w:t>
            </w:r>
          </w:p>
        </w:tc>
        <w:tc>
          <w:tcPr>
            <w:tcW w:w="1450" w:type="dxa"/>
          </w:tcPr>
          <w:p>
            <w:pPr>
              <w:pStyle w:val="Compact"/>
            </w:pPr>
            <w:r>
              <w:rPr>
                <w:b/>
                <w:bCs/>
              </w:rPr>
              <w:t xml:space="preserve">Optimizes</w:t>
            </w:r>
          </w:p>
        </w:tc>
        <w:tc>
          <w:tcPr>
            <w:tcW w:w="1150" w:type="dxa"/>
          </w:tcPr>
          <w:p>
            <w:pPr>
              <w:pStyle w:val="Compact"/>
            </w:pPr>
            <w:r>
              <w:rPr>
                <w:b/>
                <w:bCs/>
              </w:rPr>
              <w:t xml:space="preserve">Worst case</w:t>
            </w:r>
          </w:p>
        </w:tc>
        <w:tc>
          <w:tcPr>
            <w:tcW w:w="1000" w:type="dxa"/>
          </w:tcPr>
          <w:p>
            <w:pPr>
              <w:pStyle w:val="Compact"/>
            </w:pPr>
            <w:r>
              <w:rPr>
                <w:b/>
                <w:bCs/>
              </w:rPr>
              <w:t xml:space="preserve">% of r*</w:t>
            </w:r>
          </w:p>
        </w:tc>
        <w:tc>
          <w:tcPr>
            <w:tcW w:w="1660" w:type="dxa"/>
          </w:tcPr>
          <w:p>
            <w:pPr>
              <w:pStyle w:val="Compact"/>
            </w:pPr>
            <w:r>
              <w:rPr>
                <w:b/>
                <w:bCs/>
              </w:rPr>
              <w:t xml:space="preserve">Time</w:t>
            </w:r>
          </w:p>
        </w:tc>
        <w:tc>
          <w:tcPr>
            <w:tcW w:w="1300" w:type="dxa"/>
          </w:tcPr>
          <w:p>
            <w:pPr>
              <w:pStyle w:val="Compact"/>
            </w:pPr>
            <w:r>
              <w:rPr>
                <w:b/>
                <w:bCs/>
              </w:rPr>
              <w:t xml:space="preserve">Proven optimal</w:t>
            </w:r>
          </w:p>
        </w:tc>
      </w:tr>
      <w:tr>
        <w:trPr>
          <w:cantSplit/>
        </w:trPr>
        <w:tc>
          <w:tcPr>
            <w:tcW w:w="2800" w:type="dxa"/>
          </w:tcPr>
          <w:p>
            <w:pPr>
              <w:pStyle w:val="Compact"/>
            </w:pPr>
            <w:r>
              <w:t xml:space="preserve">★ RC2 max–min (certified)</w:t>
            </w:r>
          </w:p>
        </w:tc>
        <w:tc>
          <w:tcPr>
            <w:tcW w:w="1450" w:type="dxa"/>
          </w:tcPr>
          <w:p>
            <w:pPr>
              <w:pStyle w:val="Compact"/>
            </w:pPr>
            <w:r>
              <w:t xml:space="preserve">worst case, exact</w:t>
            </w:r>
          </w:p>
        </w:tc>
        <w:tc>
          <w:tcPr>
            <w:tcW w:w="1150" w:type="dxa"/>
          </w:tcPr>
          <w:p>
            <w:pPr>
              <w:pStyle w:val="Compact"/>
            </w:pPr>
            <w:r>
              <w:t xml:space="preserve">7,052.62</w:t>
            </w:r>
          </w:p>
        </w:tc>
        <w:tc>
          <w:tcPr>
            <w:tcW w:w="1000" w:type="dxa"/>
          </w:tcPr>
          <w:p>
            <w:pPr>
              <w:pStyle w:val="Compact"/>
            </w:pPr>
            <w:r>
              <w:t xml:space="preserve">100.0%</w:t>
            </w:r>
          </w:p>
        </w:tc>
        <w:tc>
          <w:tcPr>
            <w:tcW w:w="1660" w:type="dxa"/>
          </w:tcPr>
          <w:p>
            <w:pPr>
              <w:pStyle w:val="Compact"/>
            </w:pPr>
            <w:r>
              <w:t xml:space="preserve">21.2 s</w:t>
            </w:r>
          </w:p>
        </w:tc>
        <w:tc>
          <w:tcPr>
            <w:tcW w:w="1300" w:type="dxa"/>
          </w:tcPr>
          <w:p>
            <w:pPr>
              <w:pStyle w:val="Compact"/>
            </w:pPr>
            <w:r>
              <w:t xml:space="preserve">yes</w:t>
            </w:r>
          </w:p>
        </w:tc>
      </w:tr>
      <w:tr>
        <w:trPr>
          <w:cantSplit/>
        </w:trPr>
        <w:tc>
          <w:tcPr>
            <w:tcW w:w="2800" w:type="dxa"/>
          </w:tcPr>
          <w:p>
            <w:pPr>
              <w:pStyle w:val="Compact"/>
            </w:pPr>
            <w:r>
              <w:t xml:space="preserve">Robust local search, best of 11 restarts</w:t>
            </w:r>
          </w:p>
        </w:tc>
        <w:tc>
          <w:tcPr>
            <w:tcW w:w="1450" w:type="dxa"/>
          </w:tcPr>
          <w:p>
            <w:pPr>
              <w:pStyle w:val="Compact"/>
            </w:pPr>
            <w:r>
              <w:t xml:space="preserve">worst case</w:t>
            </w:r>
          </w:p>
        </w:tc>
        <w:tc>
          <w:tcPr>
            <w:tcW w:w="1150" w:type="dxa"/>
          </w:tcPr>
          <w:p>
            <w:pPr>
              <w:pStyle w:val="Compact"/>
            </w:pPr>
            <w:r>
              <w:t xml:space="preserve">7,052.62</w:t>
            </w:r>
          </w:p>
        </w:tc>
        <w:tc>
          <w:tcPr>
            <w:tcW w:w="1000" w:type="dxa"/>
          </w:tcPr>
          <w:p>
            <w:pPr>
              <w:pStyle w:val="Compact"/>
            </w:pPr>
            <w:r>
              <w:t xml:space="preserve">100.0%</w:t>
            </w:r>
          </w:p>
        </w:tc>
        <w:tc>
          <w:tcPr>
            <w:tcW w:w="1660" w:type="dxa"/>
          </w:tcPr>
          <w:p>
            <w:pPr>
              <w:pStyle w:val="Compact"/>
            </w:pPr>
            <w:r>
              <w:t xml:space="preserve">11.9 s (all restarts)</w:t>
            </w:r>
          </w:p>
        </w:tc>
        <w:tc>
          <w:tcPr>
            <w:tcW w:w="1300" w:type="dxa"/>
          </w:tcPr>
          <w:p>
            <w:pPr>
              <w:pStyle w:val="Compact"/>
            </w:pPr>
            <w:r>
              <w:t xml:space="preserve">no</w:t>
            </w:r>
          </w:p>
        </w:tc>
      </w:tr>
      <w:tr>
        <w:trPr>
          <w:cantSplit/>
        </w:trPr>
        <w:tc>
          <w:tcPr>
            <w:tcW w:w="2800" w:type="dxa"/>
          </w:tcPr>
          <w:p>
            <w:pPr>
              <w:pStyle w:val="Compact"/>
            </w:pPr>
            <w:r>
              <w:t xml:space="preserve">Robust local search, mean of 11</w:t>
            </w:r>
          </w:p>
        </w:tc>
        <w:tc>
          <w:tcPr>
            <w:tcW w:w="1450" w:type="dxa"/>
          </w:tcPr>
          <w:p>
            <w:pPr>
              <w:pStyle w:val="Compact"/>
            </w:pPr>
            <w:r>
              <w:t xml:space="preserve">worst case</w:t>
            </w:r>
          </w:p>
        </w:tc>
        <w:tc>
          <w:tcPr>
            <w:tcW w:w="1150" w:type="dxa"/>
          </w:tcPr>
          <w:p>
            <w:pPr>
              <w:pStyle w:val="Compact"/>
            </w:pPr>
            <w:r>
              <w:t xml:space="preserve">6,039.21</w:t>
            </w:r>
          </w:p>
        </w:tc>
        <w:tc>
          <w:tcPr>
            <w:tcW w:w="1000" w:type="dxa"/>
          </w:tcPr>
          <w:p>
            <w:pPr>
              <w:pStyle w:val="Compact"/>
            </w:pPr>
            <w:r>
              <w:t xml:space="preserve">85.6%</w:t>
            </w:r>
          </w:p>
        </w:tc>
        <w:tc>
          <w:tcPr>
            <w:tcW w:w="1660" w:type="dxa"/>
          </w:tcPr>
          <w:p>
            <w:pPr>
              <w:pStyle w:val="Compact"/>
            </w:pPr>
            <w:r>
              <w:t xml:space="preserve"/>
            </w:r>
          </w:p>
        </w:tc>
        <w:tc>
          <w:tcPr>
            <w:tcW w:w="1300" w:type="dxa"/>
          </w:tcPr>
          <w:p>
            <w:pPr>
              <w:pStyle w:val="Compact"/>
            </w:pPr>
            <w:r>
              <w:t xml:space="preserve">no</w:t>
            </w:r>
          </w:p>
        </w:tc>
      </w:tr>
      <w:tr>
        <w:trPr>
          <w:cantSplit/>
        </w:trPr>
        <w:tc>
          <w:tcPr>
            <w:tcW w:w="2800" w:type="dxa"/>
          </w:tcPr>
          <w:p>
            <w:pPr>
              <w:pStyle w:val="Compact"/>
            </w:pPr>
            <w:r>
              <w:t xml:space="preserve">Robust greedy (repaired)</w:t>
            </w:r>
          </w:p>
        </w:tc>
        <w:tc>
          <w:tcPr>
            <w:tcW w:w="1450" w:type="dxa"/>
          </w:tcPr>
          <w:p>
            <w:pPr>
              <w:pStyle w:val="Compact"/>
            </w:pPr>
            <w:r>
              <w:t xml:space="preserve">worst case</w:t>
            </w:r>
          </w:p>
        </w:tc>
        <w:tc>
          <w:tcPr>
            <w:tcW w:w="1150" w:type="dxa"/>
          </w:tcPr>
          <w:p>
            <w:pPr>
              <w:pStyle w:val="Compact"/>
            </w:pPr>
            <w:r>
              <w:t xml:space="preserve">5,821.95</w:t>
            </w:r>
          </w:p>
        </w:tc>
        <w:tc>
          <w:tcPr>
            <w:tcW w:w="1000" w:type="dxa"/>
          </w:tcPr>
          <w:p>
            <w:pPr>
              <w:pStyle w:val="Compact"/>
            </w:pPr>
            <w:r>
              <w:t xml:space="preserve">82.6%</w:t>
            </w:r>
          </w:p>
        </w:tc>
        <w:tc>
          <w:tcPr>
            <w:tcW w:w="1660" w:type="dxa"/>
          </w:tcPr>
          <w:p>
            <w:pPr>
              <w:pStyle w:val="Compact"/>
            </w:pPr>
            <w:r>
              <w:t xml:space="preserve">0.7 s</w:t>
            </w:r>
          </w:p>
        </w:tc>
        <w:tc>
          <w:tcPr>
            <w:tcW w:w="1300" w:type="dxa"/>
          </w:tcPr>
          <w:p>
            <w:pPr>
              <w:pStyle w:val="Compact"/>
            </w:pPr>
            <w:r>
              <w:t xml:space="preserve">no</w:t>
            </w:r>
          </w:p>
        </w:tc>
      </w:tr>
      <w:tr>
        <w:trPr>
          <w:cantSplit/>
        </w:trPr>
        <w:tc>
          <w:tcPr>
            <w:tcW w:w="2800" w:type="dxa"/>
          </w:tcPr>
          <w:p>
            <w:pPr>
              <w:pStyle w:val="Compact"/>
            </w:pPr>
            <w:r>
              <w:t xml:space="preserve">Best burn-blind baseline (repaired: Greedy-Diverse)</w:t>
            </w:r>
          </w:p>
        </w:tc>
        <w:tc>
          <w:tcPr>
            <w:tcW w:w="1450" w:type="dxa"/>
          </w:tcPr>
          <w:p>
            <w:pPr>
              <w:pStyle w:val="Compact"/>
            </w:pPr>
            <w:r>
              <w:t xml:space="preserve">θ_med, burn-blind</w:t>
            </w:r>
          </w:p>
        </w:tc>
        <w:tc>
          <w:tcPr>
            <w:tcW w:w="1150" w:type="dxa"/>
          </w:tcPr>
          <w:p>
            <w:pPr>
              <w:pStyle w:val="Compact"/>
            </w:pPr>
            <w:r>
              <w:t xml:space="preserve">3,915.24</w:t>
            </w:r>
          </w:p>
        </w:tc>
        <w:tc>
          <w:tcPr>
            <w:tcW w:w="1000" w:type="dxa"/>
          </w:tcPr>
          <w:p>
            <w:pPr>
              <w:pStyle w:val="Compact"/>
            </w:pPr>
            <w:r>
              <w:t xml:space="preserve">55.5%</w:t>
            </w:r>
          </w:p>
        </w:tc>
        <w:tc>
          <w:tcPr>
            <w:tcW w:w="1660" w:type="dxa"/>
          </w:tcPr>
          <w:p>
            <w:pPr>
              <w:pStyle w:val="Compact"/>
            </w:pPr>
            <w:r>
              <w:t xml:space="preserve"/>
            </w:r>
          </w:p>
        </w:tc>
        <w:tc>
          <w:tcPr>
            <w:tcW w:w="1300" w:type="dxa"/>
          </w:tcPr>
          <w:p>
            <w:pPr>
              <w:pStyle w:val="Compact"/>
            </w:pPr>
            <w:r>
              <w:t xml:space="preserve">no</w:t>
            </w:r>
          </w:p>
        </w:tc>
      </w:tr>
    </w:tbl>
    <w:p>
      <w:pPr>
        <w:pStyle w:val="BodyText"/>
      </w:pPr>
      <w:r>
        <w:t xml:space="preserve">Table 13 extends the instance. Lengthening the horizon to H = 4, 5, 6, 8 keeps the exact search and its certificate tractable on two cores (every certificate verified): up to 76 s for H ≤ 6, rising to 15 minutes at H = 8, so solve time grows steeply with the horizon; r* grows with H because more slots carry credit, so values are not comparable across rows. Solve time is not monotone in H because the number of SAT calls and their difficulty vary.</w:t>
      </w:r>
    </w:p>
    <w:p>
      <w:pPr>
        <w:pStyle w:val="BodyText"/>
      </w:pPr>
      <w:r>
        <w:t xml:space="preserve">The persona decomposition is exercised by giving each role two fingerprints (|F| = 8), so a role can switch identity between slots. The optimum rises from 7,052.62 to 9,082.56 (+28.8%), and persona burn at θ_high and θ_burst falls from 27.3% to 18.8% of deployments while every hard rule still holds. Decoupling the role (C5b) from the fingerprint (C12–C14) is what makes this rotation expressible.</w:t>
      </w:r>
    </w:p>
    <w:p>
      <w:pPr>
        <w:pStyle w:val="BodyText"/>
      </w:pPr>
      <w:r>
        <w:rPr>
          <w:b/>
          <w:bCs/>
        </w:rPr>
        <w:t xml:space="preserve">Running example (C5a).</w:t>
      </w:r>
      <w:r>
        <w:rPr/>
        <w:t xml:space="preserve"> Adding a third fingerprint fpC to DevOps_JumpHost changes no rule but raises the max–min optimum of the running example, re-solved for this enlarged setup, from 2,583 to 3,553 (+37.6%; 377 of 262,144 assignments are feasible). The new schedule does not outperform max–min; it is the max–min schedule of a setup with more identities. Under θ_burst the Mgmt hop is now covered by a live deployment in all three slots, because the identity shown there rotates fpB → fpC → fpA while the roles stay plausible; the two OT deployments are still recognized, as the path rules require. Figure 19 shows the rotation and, for C5(b), every OT coverage pattern checked against C10a, C10b and C8; C5(a) acts on the identity axis of C1 and raises the r* of C3, while C5(b) belongs to the rule layer of C2.</w:t>
      </w:r>
    </w:p>
    <w:p>
      <w:pPr>
        <w:pStyle w:val="CaptionedFigure"/>
        <w:keepNext/>
        <w:jc w:val="center"/>
      </w:pPr>
      <w:r>
        <w:drawing>
          <wp:inline distT="0" distB="0" distL="0" distR="0">
            <wp:extent cx="5943600" cy="2459990"/>
            <wp:docPr id="9217" name="Figure 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5_refinements.png"/>
                    <pic:cNvPicPr/>
                  </pic:nvPicPr>
                  <pic:blipFill>
                    <a:blip r:embed="rIdN9217"/>
                    <a:stretch>
                      <a:fillRect/>
                    </a:stretch>
                  </pic:blipFill>
                  <pic:spPr>
                    <a:xfrm>
                      <a:off x="0" y="0"/>
                      <a:ext cx="5943600" cy="2459990"/>
                    </a:xfrm>
                    <a:prstGeom prst="rect">
                      <a:avLst/>
                    </a:prstGeom>
                  </pic:spPr>
                </pic:pic>
              </a:graphicData>
            </a:graphic>
          </wp:inline>
        </w:drawing>
      </w:r>
    </w:p>
    <w:p>
      <w:pPr>
        <w:pStyle w:val="ImageCaption"/>
      </w:pPr>
      <w:r>
        <w:rPr>
          <w:b/>
          <w:bCs/>
        </w:rPr>
        <w:t xml:space="preserve">Figure 19.</w:t>
      </w:r>
      <w:r>
        <w:t xml:space="preserve"> C5 on the running example. (a) Persona decomposition: adding a third fingerprint to the same role lets the Mgmt decoy stay live in every slot under θ_burst; the max–min optimum of this enlarged setup is 37.6% higher. (b) Minimum frequency (C10a) and maximum gap (C10b) disagree in both directions; with ρ_π = 0.5 only adjacent-slot patterns satisfy all rules, so one OT deployment is necessarily recognized. Real-world reading: rotate the name, not the role; cover a critical hop both often enough and without long gaps.</w:t>
      </w:r>
    </w:p>
    <w:p>
      <w:pPr>
        <w:pStyle w:val="BodyText"/>
        <w:keepNext/>
      </w:pPr>
      <w:r>
        <w:rPr>
          <w:b/>
          <w:bCs/>
        </w:rPr>
        <w:t xml:space="preserve">Table 13.</w:t>
      </w:r>
      <w:r>
        <w:t xml:space="preserve"> Scaling of the exact max–min search and persona rotation (two CPU cores; one SAT solver thread).</w:t>
      </w:r>
    </w:p>
    <w:tbl>
      <w:tblPr>
        <w:tblStyle w:val="Table"/>
        <w:tblW w:w="9360" w:type="dxa"/>
        <w:tblLayout w:type="fixed"/>
        <w:tblLook w:val="0020" w:firstRow="1" w:lastRow="0" w:firstColumn="0" w:lastColumn="0" w:noHBand="0" w:noVBand="0"/>
      </w:tblPr>
      <w:tblGrid>
        <w:gridCol w:w="1600"/>
        <w:gridCol w:w="1250"/>
        <w:gridCol w:w="1600"/>
        <w:gridCol w:w="1200"/>
        <w:gridCol w:w="750"/>
        <w:gridCol w:w="800"/>
        <w:gridCol w:w="1000"/>
        <w:gridCol w:w="1160"/>
      </w:tblGrid>
      <w:tr>
        <w:trPr>
          <w:cnfStyle w:val="100000000000" w:firstRow="1" w:lastRow="0" w:firstColumn="0" w:lastColumn="0" w:oddVBand="0" w:evenVBand="0" w:oddHBand="0" w:evenHBand="0" w:firstRowFirstColumn="0" w:firstRowLastColumn="0" w:lastRowFirstColumn="0" w:lastRowLastColumn="0"/>
          <w:tblHeader/>
        </w:trPr>
        <w:tc>
          <w:tcPr>
            <w:tcW w:w="1600" w:type="dxa"/>
          </w:tcPr>
          <w:p>
            <w:pPr>
              <w:pStyle w:val="Compact"/>
            </w:pPr>
            <w:r>
              <w:rPr>
                <w:b/>
                <w:bCs/>
              </w:rPr>
              <w:t xml:space="preserve">Instance</w:t>
            </w:r>
          </w:p>
        </w:tc>
        <w:tc>
          <w:tcPr>
            <w:tcW w:w="1250" w:type="dxa"/>
          </w:tcPr>
          <w:p>
            <w:pPr>
              <w:pStyle w:val="Compact"/>
            </w:pPr>
            <w:r>
              <w:rPr>
                <w:b/>
                <w:bCs/>
              </w:rPr>
              <w:t xml:space="preserve">Decisions</w:t>
            </w:r>
          </w:p>
        </w:tc>
        <w:tc>
          <w:tcPr>
            <w:tcW w:w="1600" w:type="dxa"/>
          </w:tcPr>
          <w:p>
            <w:pPr>
              <w:pStyle w:val="Compact"/>
            </w:pPr>
            <w:r>
              <w:rPr>
                <w:b/>
                <w:bCs/>
              </w:rPr>
              <w:t xml:space="preserve">Variables / clauses</w:t>
            </w:r>
          </w:p>
        </w:tc>
        <w:tc>
          <w:tcPr>
            <w:tcW w:w="1200" w:type="dxa"/>
          </w:tcPr>
          <w:p>
            <w:pPr>
              <w:pStyle w:val="Compact"/>
            </w:pPr>
            <w:r>
              <w:rPr>
                <w:b/>
                <w:bCs/>
              </w:rPr>
              <w:t xml:space="preserve">r*</w:t>
            </w:r>
          </w:p>
        </w:tc>
        <w:tc>
          <w:tcPr>
            <w:tcW w:w="750" w:type="dxa"/>
          </w:tcPr>
          <w:p>
            <w:pPr>
              <w:pStyle w:val="Compact"/>
            </w:pPr>
            <w:r>
              <w:rPr>
                <w:b/>
                <w:bCs/>
              </w:rPr>
              <w:t xml:space="preserve">SAT calls</w:t>
            </w:r>
          </w:p>
        </w:tc>
        <w:tc>
          <w:tcPr>
            <w:tcW w:w="800" w:type="dxa"/>
          </w:tcPr>
          <w:p>
            <w:pPr>
              <w:pStyle w:val="Compact"/>
            </w:pPr>
            <w:r>
              <w:rPr>
                <w:b/>
                <w:bCs/>
              </w:rPr>
              <w:t xml:space="preserve">Time (s)</w:t>
            </w:r>
          </w:p>
        </w:tc>
        <w:tc>
          <w:tcPr>
            <w:tcW w:w="1000" w:type="dxa"/>
          </w:tcPr>
          <w:p>
            <w:pPr>
              <w:pStyle w:val="Compact"/>
            </w:pPr>
            <w:r>
              <w:rPr>
                <w:b/>
                <w:bCs/>
              </w:rPr>
              <w:t xml:space="preserve">Proof lines</w:t>
            </w:r>
          </w:p>
        </w:tc>
        <w:tc>
          <w:tcPr>
            <w:tcW w:w="1160" w:type="dxa"/>
          </w:tcPr>
          <w:p>
            <w:pPr>
              <w:pStyle w:val="Compact"/>
            </w:pPr>
            <w:r>
              <w:rPr>
                <w:b/>
                <w:bCs/>
              </w:rPr>
              <w:t xml:space="preserve">Verified</w:t>
            </w:r>
          </w:p>
        </w:tc>
      </w:tr>
      <w:tr>
        <w:trPr>
          <w:cantSplit/>
        </w:trPr>
        <w:tc>
          <w:tcPr>
            <w:tcW w:w="1600" w:type="dxa"/>
          </w:tcPr>
          <w:p>
            <w:pPr>
              <w:pStyle w:val="Compact"/>
            </w:pPr>
            <w:r>
              <w:t xml:space="preserve">H = 4, |F| = 4</w:t>
            </w:r>
          </w:p>
        </w:tc>
        <w:tc>
          <w:tcPr>
            <w:tcW w:w="1250" w:type="dxa"/>
          </w:tcPr>
          <w:p>
            <w:pPr>
              <w:pStyle w:val="Compact"/>
            </w:pPr>
            <w:r>
              <w:t xml:space="preserve">640</w:t>
            </w:r>
          </w:p>
        </w:tc>
        <w:tc>
          <w:tcPr>
            <w:tcW w:w="1600" w:type="dxa"/>
          </w:tcPr>
          <w:p>
            <w:pPr>
              <w:pStyle w:val="Compact"/>
            </w:pPr>
            <w:r>
              <w:t xml:space="preserve">62,518 / 33,011</w:t>
            </w:r>
          </w:p>
        </w:tc>
        <w:tc>
          <w:tcPr>
            <w:tcW w:w="1200" w:type="dxa"/>
          </w:tcPr>
          <w:p>
            <w:pPr>
              <w:pStyle w:val="Compact"/>
            </w:pPr>
            <w:r>
              <w:t xml:space="preserve">7,052.62</w:t>
            </w:r>
          </w:p>
        </w:tc>
        <w:tc>
          <w:tcPr>
            <w:tcW w:w="750" w:type="dxa"/>
          </w:tcPr>
          <w:p>
            <w:pPr>
              <w:pStyle w:val="Compact"/>
            </w:pPr>
            <w:r>
              <w:t xml:space="preserve">17</w:t>
            </w:r>
          </w:p>
        </w:tc>
        <w:tc>
          <w:tcPr>
            <w:tcW w:w="800" w:type="dxa"/>
          </w:tcPr>
          <w:p>
            <w:pPr>
              <w:pStyle w:val="Compact"/>
            </w:pPr>
            <w:r>
              <w:t xml:space="preserve">20.8</w:t>
            </w:r>
          </w:p>
        </w:tc>
        <w:tc>
          <w:tcPr>
            <w:tcW w:w="1000" w:type="dxa"/>
          </w:tcPr>
          <w:p>
            <w:pPr>
              <w:pStyle w:val="Compact"/>
            </w:pPr>
            <w:r>
              <w:t xml:space="preserve">75,708</w:t>
            </w:r>
          </w:p>
        </w:tc>
        <w:tc>
          <w:tcPr>
            <w:tcW w:w="1160" w:type="dxa"/>
          </w:tcPr>
          <w:p>
            <w:pPr>
              <w:pStyle w:val="Compact"/>
            </w:pPr>
            <w:r>
              <w:t xml:space="preserve">yes</w:t>
            </w:r>
          </w:p>
        </w:tc>
      </w:tr>
      <w:tr>
        <w:trPr>
          <w:cantSplit/>
        </w:trPr>
        <w:tc>
          <w:tcPr>
            <w:tcW w:w="1600" w:type="dxa"/>
          </w:tcPr>
          <w:p>
            <w:pPr>
              <w:pStyle w:val="Compact"/>
            </w:pPr>
            <w:r>
              <w:t xml:space="preserve">H = 5, |F| = 4</w:t>
            </w:r>
          </w:p>
        </w:tc>
        <w:tc>
          <w:tcPr>
            <w:tcW w:w="1250" w:type="dxa"/>
          </w:tcPr>
          <w:p>
            <w:pPr>
              <w:pStyle w:val="Compact"/>
            </w:pPr>
            <w:r>
              <w:t xml:space="preserve">800</w:t>
            </w:r>
          </w:p>
        </w:tc>
        <w:tc>
          <w:tcPr>
            <w:tcW w:w="1600" w:type="dxa"/>
          </w:tcPr>
          <w:p>
            <w:pPr>
              <w:pStyle w:val="Compact"/>
            </w:pPr>
            <w:r>
              <w:t xml:space="preserve">77,874 / 43,611</w:t>
            </w:r>
          </w:p>
        </w:tc>
        <w:tc>
          <w:tcPr>
            <w:tcW w:w="1200" w:type="dxa"/>
          </w:tcPr>
          <w:p>
            <w:pPr>
              <w:pStyle w:val="Compact"/>
            </w:pPr>
            <w:r>
              <w:t xml:space="preserve">7,738.61</w:t>
            </w:r>
          </w:p>
        </w:tc>
        <w:tc>
          <w:tcPr>
            <w:tcW w:w="750" w:type="dxa"/>
          </w:tcPr>
          <w:p>
            <w:pPr>
              <w:pStyle w:val="Compact"/>
            </w:pPr>
            <w:r>
              <w:t xml:space="preserve">18</w:t>
            </w:r>
          </w:p>
        </w:tc>
        <w:tc>
          <w:tcPr>
            <w:tcW w:w="800" w:type="dxa"/>
          </w:tcPr>
          <w:p>
            <w:pPr>
              <w:pStyle w:val="Compact"/>
            </w:pPr>
            <w:r>
              <w:t xml:space="preserve">75.5</w:t>
            </w:r>
          </w:p>
        </w:tc>
        <w:tc>
          <w:tcPr>
            <w:tcW w:w="1000" w:type="dxa"/>
          </w:tcPr>
          <w:p>
            <w:pPr>
              <w:pStyle w:val="Compact"/>
            </w:pPr>
            <w:r>
              <w:t xml:space="preserve">128,923</w:t>
            </w:r>
          </w:p>
        </w:tc>
        <w:tc>
          <w:tcPr>
            <w:tcW w:w="1160" w:type="dxa"/>
          </w:tcPr>
          <w:p>
            <w:pPr>
              <w:pStyle w:val="Compact"/>
            </w:pPr>
            <w:r>
              <w:t xml:space="preserve">yes</w:t>
            </w:r>
          </w:p>
        </w:tc>
      </w:tr>
      <w:tr>
        <w:trPr>
          <w:cantSplit/>
        </w:trPr>
        <w:tc>
          <w:tcPr>
            <w:tcW w:w="1600" w:type="dxa"/>
          </w:tcPr>
          <w:p>
            <w:pPr>
              <w:pStyle w:val="Compact"/>
            </w:pPr>
            <w:r>
              <w:t xml:space="preserve">H = 6, |F| = 4</w:t>
            </w:r>
          </w:p>
        </w:tc>
        <w:tc>
          <w:tcPr>
            <w:tcW w:w="1250" w:type="dxa"/>
          </w:tcPr>
          <w:p>
            <w:pPr>
              <w:pStyle w:val="Compact"/>
            </w:pPr>
            <w:r>
              <w:t xml:space="preserve">960</w:t>
            </w:r>
          </w:p>
        </w:tc>
        <w:tc>
          <w:tcPr>
            <w:tcW w:w="1600" w:type="dxa"/>
          </w:tcPr>
          <w:p>
            <w:pPr>
              <w:pStyle w:val="Compact"/>
            </w:pPr>
            <w:r>
              <w:t xml:space="preserve">93,108 / 53,897</w:t>
            </w:r>
          </w:p>
        </w:tc>
        <w:tc>
          <w:tcPr>
            <w:tcW w:w="1200" w:type="dxa"/>
          </w:tcPr>
          <w:p>
            <w:pPr>
              <w:pStyle w:val="Compact"/>
            </w:pPr>
            <w:r>
              <w:t xml:space="preserve">9,071.80</w:t>
            </w:r>
          </w:p>
        </w:tc>
        <w:tc>
          <w:tcPr>
            <w:tcW w:w="750" w:type="dxa"/>
          </w:tcPr>
          <w:p>
            <w:pPr>
              <w:pStyle w:val="Compact"/>
            </w:pPr>
            <w:r>
              <w:t xml:space="preserve">19</w:t>
            </w:r>
          </w:p>
        </w:tc>
        <w:tc>
          <w:tcPr>
            <w:tcW w:w="800" w:type="dxa"/>
          </w:tcPr>
          <w:p>
            <w:pPr>
              <w:pStyle w:val="Compact"/>
            </w:pPr>
            <w:r>
              <w:t xml:space="preserve">55.4</w:t>
            </w:r>
          </w:p>
        </w:tc>
        <w:tc>
          <w:tcPr>
            <w:tcW w:w="1000" w:type="dxa"/>
          </w:tcPr>
          <w:p>
            <w:pPr>
              <w:pStyle w:val="Compact"/>
            </w:pPr>
            <w:r>
              <w:t xml:space="preserve">148,635</w:t>
            </w:r>
          </w:p>
        </w:tc>
        <w:tc>
          <w:tcPr>
            <w:tcW w:w="1160" w:type="dxa"/>
          </w:tcPr>
          <w:p>
            <w:pPr>
              <w:pStyle w:val="Compact"/>
            </w:pPr>
            <w:r>
              <w:t xml:space="preserve">yes</w:t>
            </w:r>
          </w:p>
        </w:tc>
      </w:tr>
      <w:tr>
        <w:trPr>
          <w:cantSplit/>
        </w:trPr>
        <w:tc>
          <w:tcPr>
            <w:tcW w:w="1600" w:type="dxa"/>
          </w:tcPr>
          <w:p>
            <w:pPr>
              <w:pStyle w:val="Compact"/>
            </w:pPr>
            <w:r>
              <w:t xml:space="preserve">H = 8, |F| = 4</w:t>
            </w:r>
          </w:p>
        </w:tc>
        <w:tc>
          <w:tcPr>
            <w:tcW w:w="1250" w:type="dxa"/>
          </w:tcPr>
          <w:p>
            <w:pPr>
              <w:pStyle w:val="Compact"/>
            </w:pPr>
            <w:r>
              <w:t xml:space="preserve">1,280</w:t>
            </w:r>
          </w:p>
        </w:tc>
        <w:tc>
          <w:tcPr>
            <w:tcW w:w="1600" w:type="dxa"/>
          </w:tcPr>
          <w:p>
            <w:pPr>
              <w:pStyle w:val="Compact"/>
            </w:pPr>
            <w:r>
              <w:t xml:space="preserve">123,155 / 74,476</w:t>
            </w:r>
          </w:p>
        </w:tc>
        <w:tc>
          <w:tcPr>
            <w:tcW w:w="1200" w:type="dxa"/>
          </w:tcPr>
          <w:p>
            <w:pPr>
              <w:pStyle w:val="Compact"/>
            </w:pPr>
            <w:r>
              <w:t xml:space="preserve">9,809.98</w:t>
            </w:r>
          </w:p>
        </w:tc>
        <w:tc>
          <w:tcPr>
            <w:tcW w:w="750" w:type="dxa"/>
          </w:tcPr>
          <w:p>
            <w:pPr>
              <w:pStyle w:val="Compact"/>
            </w:pPr>
            <w:r>
              <w:t xml:space="preserve">20</w:t>
            </w:r>
          </w:p>
        </w:tc>
        <w:tc>
          <w:tcPr>
            <w:tcW w:w="800" w:type="dxa"/>
          </w:tcPr>
          <w:p>
            <w:pPr>
              <w:pStyle w:val="Compact"/>
            </w:pPr>
            <w:r>
              <w:t xml:space="preserve">919.9</w:t>
            </w:r>
          </w:p>
        </w:tc>
        <w:tc>
          <w:tcPr>
            <w:tcW w:w="1000" w:type="dxa"/>
          </w:tcPr>
          <w:p>
            <w:pPr>
              <w:pStyle w:val="Compact"/>
            </w:pPr>
            <w:r>
              <w:t xml:space="preserve">671,793</w:t>
            </w:r>
          </w:p>
        </w:tc>
        <w:tc>
          <w:tcPr>
            <w:tcW w:w="1160" w:type="dxa"/>
          </w:tcPr>
          <w:p>
            <w:pPr>
              <w:pStyle w:val="Compact"/>
            </w:pPr>
            <w:r>
              <w:t xml:space="preserve">yes</w:t>
            </w:r>
          </w:p>
        </w:tc>
      </w:tr>
      <w:tr>
        <w:trPr>
          <w:cantSplit/>
        </w:trPr>
        <w:tc>
          <w:tcPr>
            <w:tcW w:w="1600" w:type="dxa"/>
          </w:tcPr>
          <w:p>
            <w:pPr>
              <w:pStyle w:val="Compact"/>
            </w:pPr>
            <w:r>
              <w:t xml:space="preserve">H = 4, |F| = 8 (2 per role)</w:t>
            </w:r>
          </w:p>
        </w:tc>
        <w:tc>
          <w:tcPr>
            <w:tcW w:w="1250" w:type="dxa"/>
          </w:tcPr>
          <w:p>
            <w:pPr>
              <w:pStyle w:val="Compact"/>
            </w:pPr>
            <w:r>
              <w:t xml:space="preserve">1,280</w:t>
            </w:r>
          </w:p>
        </w:tc>
        <w:tc>
          <w:tcPr>
            <w:tcW w:w="1600" w:type="dxa"/>
          </w:tcPr>
          <w:p>
            <w:pPr>
              <w:pStyle w:val="Compact"/>
            </w:pPr>
            <w:r>
              <w:t xml:space="preserve">111,848 / 65,119</w:t>
            </w:r>
          </w:p>
        </w:tc>
        <w:tc>
          <w:tcPr>
            <w:tcW w:w="1200" w:type="dxa"/>
          </w:tcPr>
          <w:p>
            <w:pPr>
              <w:pStyle w:val="Compact"/>
            </w:pPr>
            <w:r>
              <w:t xml:space="preserve">9,082.56</w:t>
            </w:r>
          </w:p>
        </w:tc>
        <w:tc>
          <w:tcPr>
            <w:tcW w:w="750" w:type="dxa"/>
          </w:tcPr>
          <w:p>
            <w:pPr>
              <w:pStyle w:val="Compact"/>
            </w:pPr>
            <w:r>
              <w:t xml:space="preserve">19</w:t>
            </w:r>
          </w:p>
        </w:tc>
        <w:tc>
          <w:tcPr>
            <w:tcW w:w="800" w:type="dxa"/>
          </w:tcPr>
          <w:p>
            <w:pPr>
              <w:pStyle w:val="Compact"/>
            </w:pPr>
            <w:r>
              <w:t xml:space="preserve">122.8</w:t>
            </w:r>
          </w:p>
        </w:tc>
        <w:tc>
          <w:tcPr>
            <w:tcW w:w="1000" w:type="dxa"/>
          </w:tcPr>
          <w:p>
            <w:pPr>
              <w:pStyle w:val="Compact"/>
            </w:pPr>
            <w:r>
              <w:t xml:space="preserve">413,425</w:t>
            </w:r>
          </w:p>
        </w:tc>
        <w:tc>
          <w:tcPr>
            <w:tcW w:w="1160" w:type="dxa"/>
          </w:tcPr>
          <w:p>
            <w:pPr>
              <w:pStyle w:val="Compact"/>
            </w:pPr>
            <w:r>
              <w:t xml:space="preserve">yes</w:t>
            </w:r>
          </w:p>
        </w:tc>
      </w:tr>
    </w:tbl>
    <w:p>
      <w:pPr>
        <w:pStyle w:val="Heading3"/>
      </w:pPr>
      <w:r>
        <w:t xml:space="preserve">7.8 Threats to Validity</w:t>
      </w:r>
    </w:p>
    <w:p>
      <w:pPr>
        <w:pStyle w:val="FirstParagraph"/>
      </w:pPr>
      <w:r>
        <w:rPr>
          <w:b/>
          <w:bCs/>
        </w:rPr>
        <w:t xml:space="preserve">Internal validity. </w:t>
      </w:r>
      <w:r>
        <w:t xml:space="preserve">A certificate is only as sound as the encoding it certifies. The encoding is checked against an independently written rule checker and evaluator in both directions, against an independent CP-SAT model, against exhaustive enumeration, and its adder arithmetic is tested exhaustively (Table 9); none of these checks found a disagreement.</w:t>
      </w:r>
    </w:p>
    <w:p>
      <w:pPr>
        <w:pStyle w:val="BodyText"/>
      </w:pPr>
      <w:r>
        <w:rPr>
          <w:b/>
          <w:bCs/>
        </w:rPr>
        <w:t xml:space="preserve">Construct validity. </w:t>
      </w:r>
      <w:r>
        <w:t xml:space="preserve">The score is a model: the technique map, attack-path steps, plausibility tables, path emphasis ω and the layer weights are documented defaults rather than measured values, and coefficients are rounded to 0.01. Under ±25% changes to path frequencies, interception values, technique weights and the L4 weight, the original max–min schedule stays within 0.19% of the re-solved optimum in 7 of 8 cases and within 10.18% in the remaining one (Section 7.4).</w:t>
      </w:r>
    </w:p>
    <w:p>
      <w:pPr>
        <w:pStyle w:val="BodyText"/>
      </w:pPr>
      <w:r>
        <w:rPr>
          <w:b/>
          <w:bCs/>
        </w:rPr>
        <w:t xml:space="preserve">Baseline fairness. </w:t>
      </w:r>
      <w:r>
        <w:t xml:space="preserve">The heuristic baselines optimize a single, burn-blind profile and are not given every hard rule, which is how such heuristics are normally used; this favours the certified method. We therefore report every baseline both as produced and after minimum-change repair by the same solver, and the max–min schedule keeps a 1.80× worst-case advantage over the best repaired baseline. Two burn-aware, rule-aware heuristics that optimize the worst case directly are evaluated in Section 7.7.</w:t>
      </w:r>
    </w:p>
    <w:p>
      <w:pPr>
        <w:pStyle w:val="BodyText"/>
      </w:pPr>
      <w:r>
        <w:rPr>
          <w:b/>
          <w:bCs/>
        </w:rPr>
        <w:t xml:space="preserve">External validity. </w:t>
      </w:r>
      <w:r>
        <w:t xml:space="preserve">The main results come from one instance with four discrete attacker profiles; Section 7.7 extends the horizon and the fingerprint catalogue, but the zones, paths and technique map stay fixed. Validation is at L2: the attacker is a Bernoulli process on loopback sockets, not real attacker tooling.</w:t>
      </w:r>
    </w:p>
    <w:p>
      <w:pPr>
        <w:pStyle w:val="BodyText"/>
      </w:pPr>
      <w:r>
        <w:rPr>
          <w:b/>
          <w:bCs/>
        </w:rPr>
        <w:t xml:space="preserve">Statistical validity. </w:t>
      </w:r>
      <w:r>
        <w:t xml:space="preserve">Emulation comparisons use common random numbers and paired bootstrap intervals over 100 episodes per profile; two of the 22 comparisons (Greedy-Diverse as produced and the RC2 Q-med schedule) are not significant at 95% and are reported as such. Model scores, the certificate and all rule checks are deterministic, and two complete runs give identical results.</w: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rPr/>
        <w:t>Certified worst-case honeypot scheduling is achievable at the evaluated problem size. By encoding the scheduling problem — four deployment decisions evaluated over attacker profiles — as a single weighted partial MaxSAT instance, ZSTP computes an exact worst-case optimum r* = 7,052.62 for four modeled attacker profiles, with an independently verified certificate, while following every hard rule. The max–min schedule scores higher than each of ten baselines under every modeled profile, keeps burn at 0% under θ_low and θ_med and 27.3% under θ_high and θ_burst, and has the highest force multiplier of all compared methods (1.11 at θ_burst). A validation suite finds no disagreement between the encoding, the independent rule checker, the evaluator and an independent CP-SAT model, and the emulated advantage is significant against every feasible baseline. A robust local search finds the optimum only in 1 of 11 restarts and cannot recognize it, the exact search remains certified up to H = 8, and fingerprint rotation raises r* by 28.8%.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77777777" w:rsidR="00BB174B" w:rsidRDefault="00000000">
      <w:pPr>
        <w:pStyle w:val="BodyText"/>
      </w:pPr>
      <w:r>
        <w:rPr/>
        <w:t xml:space="preserve">The burn result deserves emphasis. The baselines do not collapse to zero, but 50–75% of their honeypots are recognized by the burst attacker, and each breaks at least one hard rule. This is not a consequence of poor implementation but of optimizing without burn state or hard rules. Across greedy, LP, threat-intelligence-guided, and random methods alike, the worst case stays below the certified optimum, which implies a necessary condition for robust deployment: </w:t>
      </w:r>
      <w:r>
        <w:rPr>
          <w:i/>
        </w:rPr>
        <w:t>a schedule is only as strong as its weakest attacker profile</w:t>
      </w:r>
      <w:r>
        <w:rPr/>
        <w:t>.</w:t>
      </w:r>
    </w:p>
    <w:p w14:paraId="34957770" w14:textId="77777777" w:rsidR="00BB174B" w:rsidRDefault="00000000">
      <w:pPr>
        <w:pStyle w:val="BodyText"/>
      </w:pPr>
      <w:r>
        <w:rPr/>
        <w:t>ZSTP's broader contribution is to show that MaxSAT provides a principled bridge between the formal guarantees of combinatorial optimization and the operational constraints of network deception.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 The scaling study varies the horizon and the fingerprint catalogue but keeps the network fixed; instances with more zones, paths and personas are the natural next test.</w:t>
      </w:r>
    </w:p>
    <w:p w14:paraId="6513D4FC" w14:textId="77777777" w:rsidR="00BB174B" w:rsidRDefault="00000000">
      <w:pPr>
        <w:pStyle w:val="BodyText"/>
      </w:pPr>
      <w:r>
        <w:rP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513988">
      <w:r>
        <w:rPr>
          <w:noProof/>
        </w:rPr>
      </w:r>
      <w:r>
        <w:pict w14:anchorId="58D42E58">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2"/>
      </w:pPr>
      <w:r>
        <w:t xml:space="preserve">Data and Code Availability</w:t>
      </w:r>
    </w:p>
    <w:p>
      <w:pPr>
        <w:pStyle w:val="FirstParagraph"/>
      </w:pPr>
      <w:r>
        <w:t xml:space="preserve">The implementation (instance construction, encoder, solvers, CP-SAT cross-check, baselines, robust heuristics, evaluator, L2 emulator, the independent reference simulator, the scaling experiments and the validation tests), the results file, the optimality certificates (CNF and proof files) and the STIX bundles are provided as supplementary material. The main pipeline (run_all.py) produces the core results file. A single command, python3 reproduce.py, runs it together with the validation, the additional experiments, the test suite and a second, compared run, writing every number, table and figure in this paper to results files from which the manuscript's tables and values are generated (code version 32d54d7e7d96, instance hash 5cb2c5f369c5).</w:t>
      </w:r>
      <w:r>
        <w:rPr/>
        <w:t xml:space="preserve"> The running example of Section 3.5 is reproduced by separate scripts (mini_ot.yaml, toy.py, scenario.py), which enumerate every schedule of that instance and recompute each number reported for it.</w: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rPr/>
        <w:t xml:space="preserve">[5] N. Wetzler, M. J. H. Heule, and W. A. Hunt Jr., “DRAT-trim: Efficient checking and trimming using expressive clausal proofs,” in </w:t>
      </w:r>
      <w:r>
        <w:rPr>
          <w:i/>
        </w:rPr>
        <w:t>Theory and Applications of Satisfiability Testing (SAT 2014)</w:t>
      </w:r>
      <w:r>
        <w:rP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rPr/>
        <w:t xml:space="preserve">[8] C. Kiekintveld, V. Lisý, and R. Píbil, “Game-theoretic foundations for the strategic use of honeypots in network security,” in </w:t>
      </w:r>
      <w:r>
        <w:rPr>
          <w:i/>
        </w:rPr>
        <w:t>Cyber Warfare: Building the Scientific Foundation</w:t>
      </w:r>
      <w:r>
        <w:rPr/>
        <w:t>, Advances in Information Security, vol. 56, Springer, 2015, doi:10.1007/978-3-319-14039-1_5.</w:t>
      </w:r>
    </w:p>
    <w:p w14:paraId="4E25B6B1" w14:textId="77777777" w:rsidR="00BB174B" w:rsidRDefault="00000000">
      <w:pPr>
        <w:pStyle w:val="BodyText"/>
      </w:pPr>
      <w:r>
        <w:rPr/>
        <w:t xml:space="preserve">[9] A. Ignatiev, A. Morgado, and J. Marques-Silva, “RC2: An efficient MaxSAT solver,” </w:t>
      </w:r>
      <w:r>
        <w:rPr>
          <w:i/>
        </w:rPr>
        <w:t>J. Satisfiability, Boolean Modeling and Computation</w:t>
      </w:r>
      <w:r>
        <w:rP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rPr/>
        <w:t xml:space="preserve">[11] J. Pawlick, E. Colbert, and Q. Zhu, “A game-theoretic taxonomy and survey of defensive deception for cybersecurity and privacy,” </w:t>
      </w:r>
      <w:r>
        <w:rPr>
          <w:i/>
        </w:rPr>
        <w:t>ACM Computing Surveys</w:t>
      </w:r>
      <w:r>
        <w:rPr/>
        <w:t>, vol. 52, no. 4, Article 82, 2019, doi:10.1145/3337772.</w:t>
      </w:r>
    </w:p>
    <w:p w14:paraId="69E00CCE" w14:textId="77777777" w:rsidR="00BB174B" w:rsidRDefault="00000000">
      <w:pPr>
        <w:pStyle w:val="BodyText"/>
      </w:pPr>
      <w:r>
        <w:rPr/>
        <w:t xml:space="preserve">[12] L. Huang and Q. Zhu, “Adaptive honeypot engagement through reinforcement learning of semi-Markov decision processes,” in </w:t>
      </w:r>
      <w:r>
        <w:rPr>
          <w:i/>
        </w:rPr>
        <w:t>Decision and Game Theory for Security (GameSec 2019)</w:t>
      </w:r>
      <w:r>
        <w:rPr/>
        <w:t>, LNCS 11836, pp. 196–216, 2019, doi:10.1007/978-3-030-32430-8_13.</w:t>
      </w:r>
    </w:p>
    <w:p w14:paraId="69E00CCE" w14:textId="77777777" w:rsidR="00BB174B" w:rsidRDefault="00000000">
      <w:pPr>
        <w:pStyle w:val="BodyText"/>
      </w:pPr>
      <w:r>
        <w:rPr/>
        <w:t xml:space="preserve">[13] K. Hammar and R. Stadler, “Finding effective security strategies through reinforcement learning and self-play,” in </w:t>
      </w:r>
      <w:r>
        <w:rPr>
          <w:i/>
        </w:rPr>
        <w:t>Proc. 16th Int. Conf. Network and Service Management (CNSM)</w:t>
      </w:r>
      <w:r>
        <w:rPr/>
        <w:t>, 2020, doi:10.23919/CNSM50824.2020.9269092.</w:t>
      </w:r>
    </w:p>
    <w:p w14:paraId="69E00CCE" w14:textId="77777777" w:rsidR="00BB174B" w:rsidRDefault="00000000">
      <w:pPr>
        <w:pStyle w:val="BodyText"/>
      </w:pPr>
      <w:r>
        <w:rPr/>
        <w:t xml:space="preserve">[14] A. Ignatiev, A. Morgado, and J. Marques-Silva, “PySAT: A Python toolkit for prototyping with SAT oracles,” in </w:t>
      </w:r>
      <w:r>
        <w:rPr>
          <w:i/>
        </w:rPr>
        <w:t>Theory and Applications of Satisfiability Testing (SAT 2018)</w:t>
      </w:r>
      <w:r>
        <w:rPr/>
        <w:t>, LNCS 10929, pp. 428–437, 2018, doi:10.1007/978-3-319-94144-8_26.</w:t>
      </w:r>
    </w:p>
    <w:p w14:paraId="69E00CCE" w14:textId="77777777" w:rsidR="00BB174B" w:rsidRDefault="00000000">
      <w:pPr>
        <w:pStyle w:val="BodyText"/>
      </w:pPr>
      <w:r>
        <w:rPr/>
        <w:t>[15] L. Perron and F. Didier, “CP-SAT,” Google OR-Tools, version 9.15. https://developers.google.com/optimization/</w:t>
      </w:r>
    </w:p>
    <w:p w14:paraId="69E00CCE" w14:textId="77777777" w:rsidR="00BB174B" w:rsidRDefault="00000000">
      <w:pPr>
        <w:pStyle w:val="BodyText"/>
      </w:pPr>
      <w:r>
        <w:rPr/>
        <w:t>[16] OASIS, “STIX Version 2.1,” OASIS Standard, 2021.</w:t>
      </w:r>
    </w:p>
    <w:p w14:paraId="69E00CCE" w14:textId="77777777" w:rsidR="00BB174B" w:rsidRDefault="00000000">
      <w:pPr>
        <w:pStyle w:val="BodyText"/>
      </w:pPr>
      <w:r>
        <w:rPr/>
        <w:t xml:space="preserve">[17] N. Eén and N. Sörensson, “Translating pseudo-Boolean constraints into SAT,” </w:t>
      </w:r>
      <w:r>
        <w:rPr>
          <w:i/>
        </w:rPr>
        <w:t>J. Satisfiability, Boolean Modeling and Computation</w:t>
      </w:r>
      <w:r>
        <w:rPr/>
        <w:t>, vol. 2, pp. 1–26, 2006.</w:t>
      </w:r>
    </w:p>
    <w:p w14:paraId="535831F9" w14:textId="77777777" w:rsidR="00BB174B" w:rsidRDefault="00000000">
      <w:pPr>
        <w:pStyle w:val="BodyText"/>
      </w:pPr>
      <w:r>
        <w:rPr/>
        <w:t xml:space="preserve">[18] S. Pinisetty, P. S. Roop, S. Smyth, N. Allen, S. Tripakis, and R. von Hanxleden, “Runtime enforcement of cyber-physical systems,” </w:t>
      </w:r>
      <w:r>
        <w:rPr>
          <w:i/>
        </w:rPr>
        <w:t>ACM Trans. Embedded Computing Systems</w:t>
      </w:r>
      <w:r>
        <w:rPr/>
        <w:t>, vol. 16, no. 5s, Article 178, 2017, doi:10.1145/3126500.</w:t>
      </w:r>
    </w:p>
    <w:p w14:paraId="7981EFF3" w14:textId="77777777" w:rsidR="00BB174B" w:rsidRDefault="00000000">
      <w:pPr>
        <w:pStyle w:val="BodyText"/>
      </w:pPr>
      <w:r>
        <w:rPr/>
        <w:t xml:space="preserve">[19] S. Noel and S. Jajodia, “Optimal IDS sensor placement and alert prioritization using attack graphs,” </w:t>
      </w:r>
      <w:r>
        <w:rPr>
          <w:i/>
        </w:rPr>
        <w:t>J. Network and Systems Management</w:t>
      </w:r>
      <w:r>
        <w:rPr/>
        <w:t>, vol. 16, no. 3, pp. 259–275, 2008, doi:10.1007/s10922-008-9109-x.</w:t>
      </w:r>
    </w:p>
    <w:p w14:paraId="08DF3CF5" w14:textId="77777777" w:rsidR="00BB174B" w:rsidRDefault="00000000">
      <w:pPr>
        <w:pStyle w:val="BodyText"/>
      </w:pPr>
      <w:r>
        <w:rPr/>
        <w:t xml:space="preserve">[20] Q. Zhu and T. Başar, “Game-theoretic approach to feedback-driven multi-stage moving target defense,” in </w:t>
      </w:r>
      <w:r>
        <w:rPr>
          <w:i/>
        </w:rPr>
        <w:t>Decision and Game Theory for Security (GameSec 2013)</w:t>
      </w:r>
      <w:r>
        <w:rPr/>
        <w:t>, LNCS 8252, Springer, 2013, doi:10.1007/978-3-319-02786-9_15.</w:t>
      </w:r>
    </w:p>
    <w:p w14:paraId="77324A42" w14:textId="77777777" w:rsidR="00BB174B" w:rsidRDefault="00000000">
      <w:pPr>
        <w:pStyle w:val="BodyText"/>
      </w:pPr>
      <w:bookmarkEnd w:id="0"/>
      <w:bookmarkEnd w:id="25"/>
      <w:r>
        <w:rPr/>
        <w:t xml:space="preserve">[21] G. Wagener, R. State, T. Engel, and A. Dulaunoy, “Adaptive and self-configurable honeypots,” in </w:t>
      </w:r>
      <w:r>
        <w:rPr>
          <w:i/>
        </w:rPr>
        <w:t>Proc. 12th IFIP/IEEE Int. Symp. Integrated Network Management (IM)</w:t>
      </w:r>
      <w:r>
        <w:rPr/>
        <w:t>, pp. 345–352, 2011, doi:10.1109/INM.2011.5990710.</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2D508" w14:textId="77777777" w:rsidR="00513988" w:rsidRDefault="00513988">
      <w:pPr>
        <w:spacing w:after="0"/>
      </w:pPr>
      <w:r>
        <w:separator/>
      </w:r>
    </w:p>
  </w:endnote>
  <w:endnote w:type="continuationSeparator" w:id="0">
    <w:p w14:paraId="35AC26F9" w14:textId="77777777" w:rsidR="00513988" w:rsidRDefault="00513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6C0EA" w14:textId="77777777" w:rsidR="00513988" w:rsidRDefault="00513988">
      <w:r>
        <w:separator/>
      </w:r>
    </w:p>
  </w:footnote>
  <w:footnote w:type="continuationSeparator" w:id="0">
    <w:p w14:paraId="52025CF5" w14:textId="77777777" w:rsidR="00513988" w:rsidRDefault="00513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513988"/>
    <w:rsid w:val="005E3833"/>
    <w:rsid w:val="00BB174B"/>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Fig1" Type="http://schemas.openxmlformats.org/officeDocument/2006/relationships/image" Target="media/fig1_worstcase.png"/><Relationship Id="rIdFig2" Type="http://schemas.openxmlformats.org/officeDocument/2006/relationships/image" Target="media/fig3_tradeoff.png"/><Relationship Id="rIdFig0" Type="http://schemas.openxmlformats.org/officeDocument/2006/relationships/image" Target="media/fig0_structure.png"/><Relationship Id="rIdN9102" Type="http://schemas.openxmlformats.org/officeDocument/2006/relationships/image" Target="media/fig_recognition.png"/><Relationship Id="rIdN9120" Type="http://schemas.openxmlformats.org/officeDocument/2006/relationships/image" Target="media/fig_storyboard.png"/><Relationship Id="rIdN9208" Type="http://schemas.openxmlformats.org/officeDocument/2006/relationships/image" Target="media/fig_c2_rules_levels.png"/><Relationship Id="rIdN9105" Type="http://schemas.openxmlformats.org/officeDocument/2006/relationships/image" Target="media/fig_c3_maxmin.png"/><Relationship Id="rIdN9217" Type="http://schemas.openxmlformats.org/officeDocument/2006/relationships/image" Target="media/fig_c5_refinements.png"/><Relationship Id="rIdN9110" Type="http://schemas.openxmlformats.org/officeDocument/2006/relationships/image" Target="media/fig_alg1.png"/><Relationship Id="rIdN9301" Type="http://schemas.openxmlformats.org/officeDocument/2006/relationships/image" Target="media/figS_realworld.png"/><Relationship Id="rIdN9302" Type="http://schemas.openxmlformats.org/officeDocument/2006/relationships/image" Target="media/figS_hardsoft.png"/><Relationship Id="rIdN9303" Type="http://schemas.openxmlformats.org/officeDocument/2006/relationships/image" Target="media/figS_observeburn.png"/><Relationship Id="rIdN9304" Type="http://schemas.openxmlformats.org/officeDocument/2006/relationships/image" Target="media/figS_u11.png"/><Relationship Id="rIdN9305" Type="http://schemas.openxmlformats.org/officeDocument/2006/relationships/image" Target="media/figS_fm.png"/><Relationship Id="rIdN9306" Type="http://schemas.openxmlformats.org/officeDocument/2006/relationships/image" Target="media/figS_c4_validation.png"/><Relationship Id="rIdN9401" Type="http://schemas.openxmlformats.org/officeDocument/2006/relationships/image" Target="media/figX_paths.png"/><Relationship Id="rIdN9402" Type="http://schemas.openxmlformats.org/officeDocument/2006/relationships/image" Target="media/figX_hard.png"/><Relationship Id="rIdN9403" Type="http://schemas.openxmlformats.org/officeDocument/2006/relationships/image" Target="media/figX_soft.png"/><Relationship Id="rIdN9404" Type="http://schemas.openxmlformats.org/officeDocument/2006/relationships/image" Target="media/figX_number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4933</Words>
  <Characters>28420</Characters>
  <Application>Microsoft Office Word</Application>
  <DocSecurity>0</DocSecurity>
  <Lines>916</Lines>
  <Paragraphs>565</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2026-09-14T19:40:00Z</dcterms:created>
  <dcterms:modified xsi:type="dcterms:W3CDTF">2026-09-14T19:44:00Z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