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5CD38B" w14:textId="77777777" w:rsidR="00300B7E" w:rsidRDefault="00300B7E" w:rsidP="00300B7E">
      <w:pPr>
        <w:spacing w:before="200" w:after="60"/>
        <w:jc w:val="center"/>
      </w:pPr>
      <w:r>
        <w:rPr>
          <w:rFonts w:ascii="Arial" w:eastAsia="Arial" w:hAnsi="Arial" w:cs="Arial"/>
          <w:b/>
          <w:bCs/>
          <w:color w:val="1B2A4A"/>
          <w:sz w:val="52"/>
          <w:szCs w:val="52"/>
        </w:rPr>
        <w:t>Zone-Slot-Time-Persona</w:t>
      </w:r>
    </w:p>
    <w:p w14:paraId="782C2A8C" w14:textId="77777777" w:rsidR="00300B7E" w:rsidRDefault="00300B7E" w:rsidP="00300B7E">
      <w:pPr>
        <w:spacing w:after="60"/>
        <w:jc w:val="center"/>
      </w:pPr>
      <w:r>
        <w:rPr>
          <w:rFonts w:ascii="Arial" w:eastAsia="Arial" w:hAnsi="Arial" w:cs="Arial"/>
          <w:b/>
          <w:bCs/>
          <w:color w:val="2E5FA3"/>
          <w:sz w:val="40"/>
          <w:szCs w:val="40"/>
        </w:rPr>
        <w:t>Threat-Adaptive Honeypot Placement</w:t>
      </w:r>
    </w:p>
    <w:p w14:paraId="51693FC2" w14:textId="77777777" w:rsidR="00300B7E" w:rsidRDefault="00300B7E" w:rsidP="00300B7E">
      <w:pPr>
        <w:pBdr>
          <w:bottom w:val="single" w:sz="8" w:space="6" w:color="2E5FA3"/>
        </w:pBdr>
        <w:spacing w:after="280"/>
        <w:jc w:val="center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300B7E" w14:paraId="1711EF7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DBFDBE7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WHAT</w:t>
            </w:r>
          </w:p>
          <w:p w14:paraId="5464125F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kᵢ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K</w:t>
            </w:r>
          </w:p>
          <w:p w14:paraId="1E219E1B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web trap, ssh trap, db trap, smb trap, scada trap, ad trap, dns trap, generic trap</w:t>
            </w:r>
          </w:p>
        </w:tc>
        <w:tc>
          <w:tcPr>
            <w:tcW w:w="234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ABB3240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WHERE</w:t>
            </w:r>
          </w:p>
          <w:p w14:paraId="4A837CD1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z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Z</w:t>
            </w:r>
          </w:p>
          <w:p w14:paraId="31584747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DMZ, Internal LAN, Cloud, OT/SCADA, Mgmt</w:t>
            </w:r>
          </w:p>
        </w:tc>
        <w:tc>
          <w:tcPr>
            <w:tcW w:w="234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2B3311B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WHEN</w:t>
            </w:r>
          </w:p>
          <w:p w14:paraId="4F6FA922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t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T̄</w:t>
            </w:r>
          </w:p>
          <w:p w14:paraId="09B84C68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month 1, month 2, month 3, …</w:t>
            </w:r>
          </w:p>
        </w:tc>
        <w:tc>
          <w:tcPr>
            <w:tcW w:w="2340" w:type="dxa"/>
            <w:tcBorders>
              <w:top w:val="single" w:sz="8" w:space="0" w:color="1E6B45"/>
              <w:left w:val="single" w:sz="8" w:space="0" w:color="1E6B45"/>
              <w:bottom w:val="single" w:sz="8" w:space="0" w:color="1E6B45"/>
              <w:right w:val="single" w:sz="8" w:space="0" w:color="1E6B45"/>
            </w:tcBorders>
            <w:shd w:val="clear" w:color="auto" w:fill="1E6B4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E57D718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AS WHOM</w:t>
            </w:r>
          </w:p>
          <w:p w14:paraId="0AE39F18" w14:textId="77777777" w:rsidR="00300B7E" w:rsidRDefault="00300B7E" w:rsidP="00B05EF4">
            <w:pPr>
              <w:spacing w:after="40"/>
              <w:jc w:val="center"/>
            </w:pP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p </w:t>
            </w:r>
            <w:r>
              <w:rPr>
                <w:rFonts w:ascii="Cambria Math" w:eastAsia="Arial" w:hAnsi="Cambria Math" w:cs="Cambria Math"/>
                <w:i/>
                <w:iCs/>
                <w:color w:val="FFFFFF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i/>
                <w:iCs/>
                <w:color w:val="FFFFFF"/>
                <w:sz w:val="18"/>
                <w:szCs w:val="18"/>
              </w:rPr>
              <w:t xml:space="preserve"> P</w:t>
            </w:r>
          </w:p>
          <w:p w14:paraId="595B1A6F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6"/>
                <w:szCs w:val="16"/>
              </w:rPr>
              <w:t>HR workstation, DevOps server, Finance DB, Generic Linux</w:t>
            </w:r>
          </w:p>
        </w:tc>
      </w:tr>
    </w:tbl>
    <w:p w14:paraId="261B70BC" w14:textId="77777777" w:rsidR="00300B7E" w:rsidRDefault="00300B7E" w:rsidP="00300B7E">
      <w:pPr>
        <w:spacing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7"/>
        <w:gridCol w:w="8823"/>
      </w:tblGrid>
      <w:tr w:rsidR="00300B7E" w14:paraId="5E482CF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5C095FF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705D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Notation convention: H is the scalar count of planning slots (the horizon). T̄ = {1,…,H} is the slot index set.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is a slot index.</w:t>
            </w:r>
          </w:p>
          <w:p w14:paraId="67B8F242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τ family (τᵈ, τᵈᵖ, τᵈ⁰) refers exclusively to discovery and rotation thresholds — never to the horizon.</w:t>
            </w:r>
          </w:p>
          <w:p w14:paraId="3D32BB4C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resolves all symbol overloading: H appears wherever the planning horizon scalar is needed; τ appears only in threshold subscripts.</w:t>
            </w:r>
          </w:p>
        </w:tc>
      </w:tr>
    </w:tbl>
    <w:p w14:paraId="11F2288C" w14:textId="77777777" w:rsidR="00300B7E" w:rsidRDefault="00300B7E" w:rsidP="00300B7E">
      <w:pPr>
        <w:spacing w:after="160"/>
      </w:pPr>
    </w:p>
    <w:p w14:paraId="120A3F68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A. Formal Problem Statement</w:t>
      </w:r>
    </w:p>
    <w:p w14:paraId="2E2F2344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persona-extended honeypot placement instance is the tuple:</w:t>
      </w:r>
    </w:p>
    <w:p w14:paraId="6168C12A" w14:textId="77777777" w:rsidR="00300B7E" w:rsidRDefault="00300B7E" w:rsidP="00300B7E">
      <w:pPr>
        <w:spacing w:after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0D810A4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C763D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 = (K, T, A, Z, P, G, C, 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,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w, cost, 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hᵈ, σ, ρ, iv,</w:t>
            </w:r>
          </w:p>
          <w:p w14:paraId="1E4D108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GK, τᵈ, τᵈᵖ, 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Δ, 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q, 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ₐˣ, H)    (1)</w:t>
            </w:r>
          </w:p>
        </w:tc>
      </w:tr>
    </w:tbl>
    <w:p w14:paraId="2A750956" w14:textId="77777777" w:rsidR="00300B7E" w:rsidRDefault="00300B7E" w:rsidP="00300B7E">
      <w:pPr>
        <w:spacing w:after="80"/>
      </w:pPr>
    </w:p>
    <w:p w14:paraId="66F3E827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where all components from the original instance tuple (K, T, A, Z, G, C, I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 xml:space="preserve">, </w:t>
      </w:r>
      <w:r>
        <w:rPr>
          <w:rFonts w:ascii="Cambria Math" w:eastAsia="Arial" w:hAnsi="Cambria Math" w:cs="Cambria Math"/>
        </w:rPr>
        <w:t>⋄</w:t>
      </w:r>
      <w:r>
        <w:rPr>
          <w:rFonts w:ascii="Arial" w:eastAsia="Arial" w:hAnsi="Arial" w:cs="Arial"/>
        </w:rPr>
        <w:t>, w, cost, B, B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d</w:t>
      </w:r>
      <w:r>
        <w:rPr>
          <w:rFonts w:ascii="Segoe UI Symbol" w:eastAsia="Arial" w:hAnsi="Segoe UI Symbol" w:cs="Segoe UI Symbol"/>
        </w:rPr>
        <w:t>ₘ</w:t>
      </w:r>
      <w:r>
        <w:rPr>
          <w:rFonts w:ascii="Arial" w:eastAsia="Arial" w:hAnsi="Arial" w:cs="Arial"/>
        </w:rPr>
        <w:t>, hᵈ, σ, ρ, iv) are defined in Table III of the base paper, and the persona-layer components are defined below.</w:t>
      </w:r>
    </w:p>
    <w:p w14:paraId="361E1E0C" w14:textId="77777777" w:rsidR="00300B7E" w:rsidRDefault="00300B7E" w:rsidP="00300B7E">
      <w:pPr>
        <w:spacing w:after="120"/>
      </w:pPr>
    </w:p>
    <w:p w14:paraId="3C739231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Base Parameters (Unchanged)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9"/>
        <w:gridCol w:w="8931"/>
      </w:tblGrid>
      <w:tr w:rsidR="00300B7E" w14:paraId="43D8E0D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8BC47DB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A1D5F2C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Red italic “Philosophy” lines appear under each Meaning cell throughout this document. They give the plain-language policy in one sentence. The formal definition above each Philosophy line remains unchanged.</w:t>
            </w:r>
          </w:p>
        </w:tc>
      </w:tr>
    </w:tbl>
    <w:p w14:paraId="723596DA" w14:textId="77777777" w:rsidR="00300B7E" w:rsidRDefault="00300B7E" w:rsidP="00300B7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00B7E" w14:paraId="3114747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E91CBD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003595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300B7E" w14:paraId="587DE4C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C3C85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K, T, A, 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E8F79D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Honeypot types; ATT&amp;CK techniques; assets; zones</w:t>
            </w:r>
          </w:p>
          <w:p w14:paraId="4970053F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6986191A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 structural sets that define what can be deployed, what it detects, where assets live, and how the network is partitioned.</w:t>
            </w:r>
          </w:p>
        </w:tc>
      </w:tr>
      <w:tr w:rsidR="00300B7E" w14:paraId="2A8501E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BE29B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 = (π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,…,πᴺ)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541F2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Attack paths</w:t>
            </w:r>
          </w:p>
          <w:p w14:paraId="183B55B6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753F259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ordered routes an attacker takes through the network — path structure drives hop ordering, persistence requirements, and interception value.</w:t>
            </w:r>
          </w:p>
        </w:tc>
      </w:tr>
      <w:tr w:rsidR="00300B7E" w14:paraId="4E48D20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A6858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C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K×K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5E90D8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Pairwise conflict set</w:t>
            </w:r>
          </w:p>
          <w:p w14:paraId="1CE79CC4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C75CD10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Some honeypot pairs share infrastructure or produce redundant signals — deploying both together is worse than either alone.</w:t>
            </w:r>
          </w:p>
        </w:tc>
      </w:tr>
      <w:tr w:rsidR="00300B7E" w14:paraId="063624E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AF247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⊆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Z×Z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180BEF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Air-gapped zone pairs</w:t>
            </w:r>
          </w:p>
          <w:p w14:paraId="118E839A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35B7221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Physical isolation is a hard fact — no solver decision can add a wire that isn’t there.</w:t>
            </w:r>
          </w:p>
        </w:tc>
      </w:tr>
      <w:tr w:rsidR="00300B7E" w14:paraId="6CE4696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3234E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,ₐ, hᵈ,ₐ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24D90A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Asset role multiplier; hop distance from entry</w:t>
            </w:r>
          </w:p>
          <w:p w14:paraId="33A71AEB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C06B62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honeypot near the entry point prevents more damage than one deep inside — these weights encode that preference numerically.</w:t>
            </w:r>
          </w:p>
        </w:tc>
      </w:tr>
      <w:tr w:rsidR="00300B7E" w14:paraId="47CF57A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ACE70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σ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285B40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Stealth score for ATT&amp;CK technique tⱼ</w:t>
            </w:r>
          </w:p>
          <w:p w14:paraId="74418050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FE463A5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Stealthy techniques are harder to catch by any other means — a honeypot covering them is worth more per unit cost.</w:t>
            </w:r>
          </w:p>
        </w:tc>
      </w:tr>
      <w:tr w:rsidR="00300B7E" w14:paraId="6C327BD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63848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ρπ, ivπ,h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0127A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Path probability; intercept value at hop h</w:t>
            </w:r>
          </w:p>
          <w:p w14:paraId="5B31874B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203233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likely each path is, and how much it is worth to catch the attacker at each step along it.</w:t>
            </w:r>
          </w:p>
        </w:tc>
      </w:tr>
      <w:tr w:rsidR="00300B7E" w14:paraId="0C839D9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C67CA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B, B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A871A0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Global and per-zone deployment budgets</w:t>
            </w:r>
          </w:p>
          <w:p w14:paraId="0D1BDCFF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0F9DC43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Hard budget ceilings — the solver must find the best placement that fits, not the best that would be nice to afford.</w:t>
            </w:r>
          </w:p>
        </w:tc>
      </w:tr>
      <w:tr w:rsidR="00300B7E" w14:paraId="4227B4E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41FDA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w, cost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ADCE4B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Base technique weights; honeypot deployment costs</w:t>
            </w:r>
          </w:p>
          <w:p w14:paraId="1CCFFFC8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294665B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raw value and price of each deployment before topology and stealth adjustments are applied.</w:t>
            </w:r>
          </w:p>
        </w:tc>
      </w:tr>
    </w:tbl>
    <w:p w14:paraId="085502AE" w14:textId="77777777" w:rsidR="00300B7E" w:rsidRDefault="00300B7E" w:rsidP="00300B7E">
      <w:pPr>
        <w:spacing w:after="120"/>
      </w:pPr>
    </w:p>
    <w:p w14:paraId="4054761F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Persona-Layer Parameters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300B7E" w14:paraId="1C65127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4463D9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Symbol</w:t>
            </w:r>
          </w:p>
        </w:tc>
        <w:tc>
          <w:tcPr>
            <w:tcW w:w="736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B7347A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Meaning + Philosophy</w:t>
            </w:r>
          </w:p>
        </w:tc>
      </w:tr>
      <w:tr w:rsidR="00300B7E" w14:paraId="44ABE7E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81A65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D7F66E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Finite persona catalogue: {HR_workstation, DevOps_server, Finance_DB, Generic_Linux, …}</w:t>
            </w:r>
          </w:p>
          <w:p w14:paraId="2C15C017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976FBEF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finite menu of identities a honeypot can wear — small enough to be operationally manageable, diverse enough to match real attacker targets.</w:t>
            </w:r>
          </w:p>
        </w:tc>
      </w:tr>
      <w:tr w:rsidR="00300B7E" w14:paraId="7BBEF7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EC47D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GKᵢ,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8D8C9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Per-persona generative knowledge set — (servertype, persona) pairs verified by the J-index in C5b</w:t>
            </w:r>
          </w:p>
          <w:p w14:paraId="4156D272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AD44099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Not every persona makes sense on every server role — this set enforces that the disguise must be believable.</w:t>
            </w:r>
          </w:p>
        </w:tc>
      </w:tr>
      <w:tr w:rsidR="00300B7E" w14:paraId="05144F0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2E073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H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D6D5D1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 xml:space="preserve">Planning horizon — total number of deployment slots; T̄ = {1,…,H}; 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T̄ indexes each slot</w:t>
            </w:r>
          </w:p>
          <w:p w14:paraId="74D585CB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E7AB8E7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planning window the operator commits to — longer horizons allow more sophisticated rotation schedules.</w:t>
            </w:r>
          </w:p>
        </w:tc>
      </w:tr>
      <w:tr w:rsidR="00300B7E" w14:paraId="0DE0107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27D870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A74349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Type discovery threshold: consecutive active slots before attacker maps the honeypot type</w:t>
            </w:r>
          </w:p>
          <w:p w14:paraId="01CD3871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8FAF043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long the service behaviour can be observed before the attacker identifies the honeypot type — drives type-rotation urgency.</w:t>
            </w:r>
          </w:p>
        </w:tc>
      </w:tr>
      <w:tr w:rsidR="00300B7E" w14:paraId="78CDA08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E357D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τᵈᵖ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AE24C2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 discovery threshold: consecutive slots before attacker maps the identity</w:t>
            </w:r>
          </w:p>
          <w:p w14:paraId="0EC4E2CC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23D680E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How long the identity can be visible before the attacker maps it — drives persona-rotation urgency, independently of type discovery.</w:t>
            </w:r>
          </w:p>
        </w:tc>
      </w:tr>
      <w:tr w:rsidR="00300B7E" w14:paraId="76920F5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95154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τᵈ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⁰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5EB072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rotation baseline — the τᵈ value when ρπ = 0</w:t>
            </w:r>
          </w:p>
          <w:p w14:paraId="10A3C2DC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lastRenderedPageBreak/>
              <w:t>Philosophy</w:t>
            </w:r>
          </w:p>
          <w:p w14:paraId="7577234C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rotation speed at baseline threat — when threat rises, τᵈ shrinks below this; when it subsides, τᵈ returns here.</w:t>
            </w:r>
          </w:p>
        </w:tc>
      </w:tr>
      <w:tr w:rsidR="00300B7E" w14:paraId="35DDDB1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63A30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Δ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71E0FD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Type rotation churn limit: max state changes per type per zone across T̄</w:t>
            </w:r>
          </w:p>
          <w:p w14:paraId="2CD13283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08B94F1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Operators cannot reconfigure every honeypot every month — this cap makes the schedule humanly followable.</w:t>
            </w:r>
          </w:p>
        </w:tc>
      </w:tr>
      <w:tr w:rsidR="00300B7E" w14:paraId="74306E0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2AA64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Δ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ℤ⁺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3A7A2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 churn limit: max persona changes per type per zone across T̄</w:t>
            </w:r>
          </w:p>
          <w:p w14:paraId="346C8A53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303646C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Persona changes have operational cost too — this cap prevents the solver from rotating identities faster than the team can manage.</w:t>
            </w:r>
          </w:p>
        </w:tc>
      </w:tr>
      <w:tr w:rsidR="00300B7E" w14:paraId="7467D08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F9165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[0,1]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B231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 prior — LLM-adjusted weight; Σ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1; updated by Algorithm 1 at each STIX/TAXII event</w:t>
            </w:r>
          </w:p>
          <w:p w14:paraId="67DDB2CC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F211D24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LLM’s current read on which personas are most likely to attract the attacker — updated from live threat intelligence.</w:t>
            </w:r>
          </w:p>
        </w:tc>
      </w:tr>
      <w:tr w:rsidR="00300B7E" w14:paraId="6E36FC1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B7E52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ₐˣ</w:t>
            </w:r>
          </w:p>
        </w:tc>
        <w:tc>
          <w:tcPr>
            <w:tcW w:w="73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F0E3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DF94E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Maximum path probability (threat-adaptive rotation ceiling)</w:t>
            </w:r>
          </w:p>
          <w:p w14:paraId="765FA260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DE53BE1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ceiling on path probability used to normalise the rotation formula — prevents τᵈ from collapsing to zero under extreme threat signals.</w:t>
            </w:r>
          </w:p>
        </w:tc>
      </w:tr>
    </w:tbl>
    <w:p w14:paraId="4E718732" w14:textId="77777777" w:rsidR="00300B7E" w:rsidRDefault="00300B7E" w:rsidP="00300B7E">
      <w:pPr>
        <w:spacing w:after="200"/>
      </w:pPr>
    </w:p>
    <w:p w14:paraId="745C73A2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B. Decision Variables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1100"/>
        <w:gridCol w:w="5960"/>
      </w:tblGrid>
      <w:tr w:rsidR="00300B7E" w14:paraId="03B14D6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9CD1254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Variable</w:t>
            </w:r>
          </w:p>
        </w:tc>
        <w:tc>
          <w:tcPr>
            <w:tcW w:w="11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B44D962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Domain</w:t>
            </w:r>
          </w:p>
        </w:tc>
        <w:tc>
          <w:tcPr>
            <w:tcW w:w="5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47FA2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+ Philosophy</w:t>
            </w:r>
          </w:p>
        </w:tc>
      </w:tr>
      <w:tr w:rsidR="00300B7E" w14:paraId="46A108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3F45E29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xᵢ,z,t,</w:t>
            </w:r>
            <w:r>
              <w:rPr>
                <w:rFonts w:ascii="Segoe UI Symbol" w:eastAsia="Arial" w:hAnsi="Segoe UI Symbol" w:cs="Segoe UI Symbol"/>
                <w:b/>
                <w:bCs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D25A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929906B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[PRIMARY] Deploy kᵢ in zone z at slot t wearing persona p</w:t>
            </w:r>
          </w:p>
          <w:p w14:paraId="3A96272C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D6995B5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four-index primary decision — committing to a type, zone, slot, and identity simultaneously is the only way to earn any credit.</w:t>
            </w:r>
          </w:p>
        </w:tc>
      </w:tr>
      <w:tr w:rsidR="00300B7E" w14:paraId="04ADFC0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429E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xᵢ,t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596076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D64FE9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 active in slot t. Type-conflict checking C4 only</w:t>
            </w:r>
          </w:p>
          <w:p w14:paraId="43C4443C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B7A7A2D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collapsed view of x used only to check whether two conflicting types are both active in the same slot.</w:t>
            </w:r>
          </w:p>
        </w:tc>
      </w:tr>
      <w:tr w:rsidR="00300B7E" w14:paraId="47508BB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A265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uᵢ,z,t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78D4E8B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0ADECC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[Derived] Type-discovery flag. Set after τᵈ consecutive active slots</w:t>
            </w:r>
          </w:p>
          <w:p w14:paraId="731209B4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60B372E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seen the same service long enough, no persona change will fool them — the type itself is burned.</w:t>
            </w:r>
          </w:p>
        </w:tc>
      </w:tr>
      <w:tr w:rsidR="00300B7E" w14:paraId="2FB2F27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80BF70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uᵢ,z,t,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E11307E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7E4755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[Derived] Persona-discovery flag. Set after τᵈᵖ consecutive slots with same persona</w:t>
            </w:r>
          </w:p>
          <w:p w14:paraId="2B8387EF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0029FA2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Once the attacker has mapped this specific identity, it is useless even if the underlying service is still undetected.</w:t>
            </w:r>
          </w:p>
        </w:tc>
      </w:tr>
      <w:tr w:rsidR="00300B7E" w14:paraId="3B37F2F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0C157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,a,t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DA17C4F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2AAE02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Detect tⱼ on asset a at slot t. Requires xᵢ,zone(a),t,p=1 and uᵢ,zone(a),t,p=0</w:t>
            </w:r>
          </w:p>
          <w:p w14:paraId="0B6224E6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F2E3870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basic detection event — only fires if something real and undiscovered is actually deployed at that asset.</w:t>
            </w:r>
          </w:p>
        </w:tc>
      </w:tr>
      <w:tr w:rsidR="00300B7E" w14:paraId="1CCB5FD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708BC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pπ,h,t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F24EA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27F3C2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Cover hop h of path π at slot t</w:t>
            </w:r>
          </w:p>
          <w:p w14:paraId="1DBF2FA6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4A93A26F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Hop coverage is the currency of path-weight credit — no deployment at this hop means no credit for this path.</w:t>
            </w:r>
          </w:p>
        </w:tc>
      </w:tr>
      <w:tr w:rsidR="00300B7E" w14:paraId="72F7664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1282A3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eπ,t</w:t>
            </w:r>
          </w:p>
        </w:tc>
        <w:tc>
          <w:tcPr>
            <w:tcW w:w="11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991BF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{0,1}</w:t>
            </w:r>
          </w:p>
        </w:tc>
        <w:tc>
          <w:tcPr>
            <w:tcW w:w="5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89249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on π at slot t</w:t>
            </w:r>
          </w:p>
          <w:p w14:paraId="134D1397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EF548D2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The prevention flag — catching the attacker before the last hop is worth 1000× more than catching them at it.</w:t>
            </w:r>
          </w:p>
        </w:tc>
      </w:tr>
    </w:tbl>
    <w:p w14:paraId="181B57EF" w14:textId="77777777" w:rsidR="00300B7E" w:rsidRDefault="00300B7E" w:rsidP="00300B7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7"/>
        <w:gridCol w:w="8823"/>
      </w:tblGrid>
      <w:tr w:rsidR="00300B7E" w14:paraId="0CE9C3C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C0930D5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7A34062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Persona is modelled as a fourth index of x rather than a separate variable pᵢ,z,t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P. Both encodings are correct; the index encoding makes persona-conflict C12 a direct pairwise clause class (same structure as C4) and keeps all solver decisions in a single variable family.</w:t>
            </w:r>
          </w:p>
        </w:tc>
      </w:tr>
    </w:tbl>
    <w:p w14:paraId="7F074F8C" w14:textId="77777777" w:rsidR="00300B7E" w:rsidRDefault="00300B7E" w:rsidP="00300B7E">
      <w:pPr>
        <w:spacing w:after="200"/>
      </w:pPr>
    </w:p>
    <w:p w14:paraId="5683B3E8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C. Derived Weights (Unchanged)</w:t>
      </w:r>
    </w:p>
    <w:p w14:paraId="1599A37A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topology-adjusted and stealth-adjusted weights from the base formulation are preserved exactly:</w:t>
      </w:r>
    </w:p>
    <w:p w14:paraId="42212AC7" w14:textId="77777777" w:rsidR="00300B7E" w:rsidRDefault="00300B7E" w:rsidP="00300B7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1324D6C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72FB9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 = 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× d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ₘ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/ hᵈ,ₐ              (2)</w:t>
            </w:r>
          </w:p>
          <w:p w14:paraId="0F2BC8C0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 =  ẅ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× (1 + σ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              (3)</w:t>
            </w:r>
          </w:p>
          <w:p w14:paraId="1DC113E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PWπ,h,j,a  =  ρπ × ivπ,h ×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,ₐ     (4)</w:t>
            </w:r>
          </w:p>
        </w:tc>
      </w:tr>
    </w:tbl>
    <w:p w14:paraId="074FD4E1" w14:textId="77777777" w:rsidR="00300B7E" w:rsidRDefault="00300B7E" w:rsidP="00300B7E">
      <w:pPr>
        <w:spacing w:after="80"/>
      </w:pPr>
    </w:p>
    <w:p w14:paraId="1CA66DA5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1/hᵈ perimeter-preference term in (2) and the (1+σⱼ) stealth-adjustment in (3) are unchanged. In the persona-extended objective, every credit term is additionally multiplied by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(LLM-adjusted) and gated by both (1−uᵢ,z,t) and (1−uᵢ,z,t,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>). Credit is zero if either the type or the persona has been discovered.</w:t>
      </w:r>
    </w:p>
    <w:p w14:paraId="37C9055E" w14:textId="77777777" w:rsidR="00300B7E" w:rsidRDefault="00300B7E" w:rsidP="00300B7E">
      <w:pPr>
        <w:spacing w:after="200"/>
      </w:pPr>
    </w:p>
    <w:p w14:paraId="35DFCA5B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D. Hard Constraints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9"/>
        <w:gridCol w:w="8931"/>
      </w:tblGrid>
      <w:tr w:rsidR="00300B7E" w14:paraId="3B1BD1E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562CB6A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2290DB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“Philosophy” line (red italic) gives the plain-language policy behind each constraint — what it is for, in one sentence. The Purpose line below it gives the formal technical description.</w:t>
            </w:r>
          </w:p>
        </w:tc>
      </w:tr>
    </w:tbl>
    <w:p w14:paraId="354FD160" w14:textId="77777777" w:rsidR="00300B7E" w:rsidRDefault="00300B7E" w:rsidP="00300B7E">
      <w:pPr>
        <w:spacing w:after="120"/>
      </w:pPr>
    </w:p>
    <w:p w14:paraId="52201688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Inherited and Revised Constraints (C1–C7)</w:t>
      </w:r>
    </w:p>
    <w:p w14:paraId="340D4443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All seven hard constraints from the base formulation are preserved. C1, C2, C3, C6, and C7 are revised to be time-indexed and persona-aware; C4 and C5 are unchanged.</w:t>
      </w:r>
    </w:p>
    <w:p w14:paraId="7C00848B" w14:textId="77777777" w:rsidR="00300B7E" w:rsidRDefault="00300B7E" w:rsidP="00300B7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1"/>
        <w:gridCol w:w="3354"/>
        <w:gridCol w:w="1152"/>
        <w:gridCol w:w="4233"/>
      </w:tblGrid>
      <w:tr w:rsidR="00300B7E" w14:paraId="1E46262E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E9D044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E79FA3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9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40F5F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Change</w:t>
            </w:r>
          </w:p>
        </w:tc>
        <w:tc>
          <w:tcPr>
            <w:tcW w:w="508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E2EA393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300B7E" w14:paraId="7BD55A1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4337C25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2E4B38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,a,t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(xᵢ,zone(a),t,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·(1−uᵢ,zone(a),t,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))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086A86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2EB85F3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07E8B14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You only get credit for a detection if a real, undiscovered honeypot is actually there — no phantom credits.</w:t>
            </w:r>
          </w:p>
          <w:p w14:paraId="01AA42E7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Detection requires a zone-pinned deployment undiscovered in both type and persona at slot t</w:t>
            </w:r>
          </w:p>
        </w:tc>
      </w:tr>
      <w:tr w:rsidR="00300B7E" w14:paraId="39B82C49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2ED9A04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03A6E49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Σᵢ Σz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costᵢ,z · xᵢ,z,t,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B,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CA5B066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6D16A5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30A6665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Total spending across all zones and personas cannot exceed the global budget in any single slot.</w:t>
            </w:r>
          </w:p>
          <w:p w14:paraId="71072235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Global budget enforced per slot across all types, zones, and personas</w:t>
            </w:r>
          </w:p>
        </w:tc>
      </w:tr>
      <w:tr w:rsidR="00300B7E" w14:paraId="6E73392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87CF0C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A1EFA18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Σᵢ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costᵢ,z · xᵢ,z,t,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≤ Bz,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z,t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6D326D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3452EB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35DDA9D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lastRenderedPageBreak/>
              <w:t>Each zone has its own spending cap — a saturated DMZ cannot borrow budget from OT.</w:t>
            </w:r>
          </w:p>
          <w:p w14:paraId="4298795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Per-zone budget enforced per slot; costᵢ,z replaces scalar costᵢ of the base formulation</w:t>
            </w:r>
          </w:p>
        </w:tc>
      </w:tr>
      <w:tr w:rsidR="00300B7E" w14:paraId="480E0A5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5643208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C4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E044D4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¬xᵢ,t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,t,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(kᵢ,k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)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C,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BD76BE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814F48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FCB6B72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Some honeypot types interfere with each other operationally — they cannot run side by side in the same slot.</w:t>
            </w:r>
          </w:p>
          <w:p w14:paraId="39E60301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No pairwise conflicts: conflicting types cannot be co-deployed in the same slot</w:t>
            </w:r>
          </w:p>
        </w:tc>
      </w:tr>
      <w:tr w:rsidR="00300B7E" w14:paraId="1BB8F1E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AE8DCE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830383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xᵢ,z,t,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0 if (zone(z), zone(z′))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I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₂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2A6CBE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4A4A4A"/>
                <w:sz w:val="16"/>
                <w:szCs w:val="16"/>
              </w:rPr>
              <w:t>Unchanged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9A78B0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014AC3D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physically isolated zone cannot host a honeypot that requires network connectivity to the outside — the wire simply isn’t there.</w:t>
            </w:r>
          </w:p>
          <w:p w14:paraId="742071C1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Air-gap isolation: types requiring cross-air-gap connectivity are forbidden in affected zones</w:t>
            </w:r>
          </w:p>
        </w:tc>
      </w:tr>
      <w:tr w:rsidR="00300B7E" w14:paraId="4F7CC0A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24D6E7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C5b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55274C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(servertype(a), persona(p))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GKᵢ,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D15E1B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7A4F00"/>
                <w:sz w:val="16"/>
                <w:szCs w:val="16"/>
              </w:rPr>
              <w:t xml:space="preserve">NEW </w:t>
            </w:r>
            <w:r>
              <w:rPr>
                <w:rFonts w:ascii="Segoe UI Symbol" w:eastAsia="Arial" w:hAnsi="Segoe UI Symbol" w:cs="Segoe UI Symbol"/>
                <w:b/>
                <w:bCs/>
                <w:color w:val="7A4F00"/>
                <w:sz w:val="16"/>
                <w:szCs w:val="16"/>
              </w:rPr>
              <w:t>★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3CD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14274D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65346141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honeypot must be believable in its disguise — the persona has to match the server role it is pretending to run.</w:t>
            </w:r>
          </w:p>
          <w:p w14:paraId="2583E1DE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Four-condition J-index: mimicry plausibility now checks servertype, zone, technique, AND persona simultaneously</w:t>
            </w:r>
          </w:p>
        </w:tc>
      </w:tr>
      <w:tr w:rsidR="00300B7E" w14:paraId="391EC68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F80A61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C6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B31629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¬pπ,h,t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⋁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c</w:t>
            </w:r>
            <w:r>
              <w:rPr>
                <w:rFonts w:ascii="Tahoma" w:eastAsia="Courier New" w:hAnsi="Tahoma" w:cs="Tahoma"/>
                <w:sz w:val="15"/>
                <w:szCs w:val="15"/>
              </w:rPr>
              <w:t>ⱼ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,a,t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660487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C87C84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405DCD1D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You cannot claim an attack-path hop is covered unless a detection actually fires there, in the right zone, at the right slot.</w:t>
            </w:r>
          </w:p>
          <w:p w14:paraId="6992A05C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Path hop coverage requires zone-pinned, time-indexed, persona-verified detection at slot t</w:t>
            </w:r>
          </w:p>
        </w:tc>
      </w:tr>
      <w:tr w:rsidR="00300B7E" w14:paraId="518A6EE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B42D52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C7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3B86AB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eπ,t = 1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⇒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∃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h&lt;|π|: pπ,h,t = 1</w:t>
            </w:r>
          </w:p>
        </w:tc>
        <w:tc>
          <w:tcPr>
            <w:tcW w:w="9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1AA2CE8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2E5FA3"/>
                <w:sz w:val="16"/>
                <w:szCs w:val="16"/>
              </w:rPr>
              <w:t>Revised</w:t>
            </w:r>
          </w:p>
        </w:tc>
        <w:tc>
          <w:tcPr>
            <w:tcW w:w="508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899182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709FD7CE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Early interception means catching the attacker before the final hop — a catch at the last step is forensics, not prevention.</w:t>
            </w:r>
          </w:p>
          <w:p w14:paraId="3F26E0CA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Early interception per slot: non-final hop must be covered at the active slot</w:t>
            </w:r>
          </w:p>
        </w:tc>
      </w:tr>
    </w:tbl>
    <w:p w14:paraId="46CCDB92" w14:textId="77777777" w:rsidR="00300B7E" w:rsidRDefault="00300B7E" w:rsidP="00300B7E">
      <w:pPr>
        <w:spacing w:after="140"/>
      </w:pPr>
    </w:p>
    <w:p w14:paraId="3C105977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New Persona Constraints (C8–C13)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1"/>
        <w:gridCol w:w="2850"/>
        <w:gridCol w:w="5899"/>
      </w:tblGrid>
      <w:tr w:rsidR="00300B7E" w14:paraId="5EA9232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44F382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90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23EB4CB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Clause</w:t>
            </w:r>
          </w:p>
        </w:tc>
        <w:tc>
          <w:tcPr>
            <w:tcW w:w="6040" w:type="dxa"/>
            <w:tcBorders>
              <w:top w:val="single" w:sz="6" w:space="0" w:color="1E6B45"/>
              <w:left w:val="single" w:sz="6" w:space="0" w:color="1E6B45"/>
              <w:bottom w:val="single" w:sz="6" w:space="0" w:color="1E6B45"/>
              <w:right w:val="single" w:sz="6" w:space="0" w:color="1E6B45"/>
            </w:tcBorders>
            <w:shd w:val="clear" w:color="auto" w:fill="1E6B45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AA9F2B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Philosophy → Purpose</w:t>
            </w:r>
          </w:p>
        </w:tc>
      </w:tr>
      <w:tr w:rsidR="00300B7E" w14:paraId="03C27C6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9B5F2D9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C8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322F58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Σt |xᵢ,z,t,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− xᵢ,z,t−1,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| ≤ Δ,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i,z,p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4F2BDE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2C52C8E1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Rotating constantly is operationally unsustainable — we cap total changes so operators can actually follow the schedule.</w:t>
            </w:r>
          </w:p>
          <w:p w14:paraId="7EF1226C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Type-rotation churn limit per persona: bounds total state changes per (type, zone, persona) triple across the planning horizon T̄ to prevent operational thrashing</w:t>
            </w:r>
          </w:p>
        </w:tc>
      </w:tr>
      <w:tr w:rsidR="00300B7E" w14:paraId="60F91C3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2B35F0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C9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C10CB5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uᵢ,z,t = 1 if Σ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xᵢ,z,t′,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 consecutive slots t′ (any p)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115166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5F6C8122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patient attacker eventually recognises the honeypot as a honeypot regardless of what identity it wears — the underlying service behaviour gives it away.</w:t>
            </w:r>
          </w:p>
          <w:p w14:paraId="60A2CF57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Type-discovery: once the same honeypot type has been active in zone z for τᵈ consecutive slots under any persona, the type is flagged discovered — credit zeroed regardless of persona rotation</w:t>
            </w:r>
          </w:p>
        </w:tc>
      </w:tr>
      <w:tr w:rsidR="00300B7E" w14:paraId="104D1D9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BC3B21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C10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3352FF7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Σt pπ,h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★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,t ≥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⌈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ρπ·H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⌉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π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DDB71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3958472F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A patient attacker can simply wait for the gap month when nothing is watching — we close every gap on high-probability paths.</w:t>
            </w:r>
          </w:p>
          <w:p w14:paraId="0AAFAB59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lastRenderedPageBreak/>
              <w:t>Path persistence: the critical hop h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★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of each attack path π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slots. Eliminates gap-slot windows a patient attacker could wait for and exploit</w:t>
            </w:r>
          </w:p>
        </w:tc>
      </w:tr>
      <w:tr w:rsidR="00300B7E" w14:paraId="6F79576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743244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lastRenderedPageBreak/>
              <w:t>C11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B95ECC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τᵈ(i,z,t) = τᵈ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⁰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· (1 − ρπ(t) / ρ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ₘ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ₐˣ)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76C14D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1E2974B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When signs of a threat are rising, we rotate faster — the higher the attack probability, the shorter the window before the honeypot must move.</w:t>
            </w:r>
          </w:p>
          <w:p w14:paraId="6CD2D66F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Threat-adaptive type-rotation: STIX/TAXII updates to ρπ automatically tighten the rotation threshold τᵈ. Rising attack probability forces faster rotation; subsiding threat allows slower rotation to reduce operational cost</w:t>
            </w:r>
          </w:p>
        </w:tc>
      </w:tr>
      <w:tr w:rsidR="00300B7E" w14:paraId="189DA63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1A537F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C12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6020395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¬xᵢ,z,t,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∨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¬x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ₗ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i≠l, </w:t>
            </w:r>
            <w:r>
              <w:rPr>
                <w:rFonts w:ascii="Cambria Math" w:eastAsia="Courier New" w:hAnsi="Cambria Math" w:cs="Cambria Math"/>
                <w:sz w:val="15"/>
                <w:szCs w:val="15"/>
              </w:rPr>
              <w:t>∀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>z,t,p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5039CD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2EC66309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Two honeypots wearing the same identity in the same place at the same time is a contradiction — an attacker who notices both knows at least one is fake.</w:t>
            </w:r>
          </w:p>
          <w:p w14:paraId="0BD229E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Persona-conflict: two distinct honeypot types i≠l cannot simultaneously wear the same persona p in zone z at slot t. Same fake hostname, AD account, or employee identity cannot belong to two honeypots — the analogue of C4 for the persona dimension</w:t>
            </w:r>
          </w:p>
        </w:tc>
      </w:tr>
      <w:tr w:rsidR="00300B7E" w14:paraId="59498F2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42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2FF0B2F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C13</w:t>
            </w:r>
          </w:p>
        </w:tc>
        <w:tc>
          <w:tcPr>
            <w:tcW w:w="29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5CFD8A" w14:textId="77777777" w:rsidR="00300B7E" w:rsidRDefault="00300B7E" w:rsidP="00B05EF4">
            <w:r>
              <w:rPr>
                <w:rFonts w:ascii="Courier New" w:eastAsia="Courier New" w:hAnsi="Courier New" w:cs="Courier New"/>
                <w:sz w:val="15"/>
                <w:szCs w:val="15"/>
              </w:rPr>
              <w:t>uᵢ,z,t,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if xᵢ,z,t′,</w:t>
            </w:r>
            <w:r>
              <w:rPr>
                <w:rFonts w:ascii="Segoe UI Symbol" w:eastAsia="Courier New" w:hAnsi="Segoe UI Symbol" w:cs="Segoe UI Symbol"/>
                <w:sz w:val="15"/>
                <w:szCs w:val="15"/>
              </w:rPr>
              <w:t>ₚ</w:t>
            </w:r>
            <w:r>
              <w:rPr>
                <w:rFonts w:ascii="Courier New" w:eastAsia="Courier New" w:hAnsi="Courier New" w:cs="Courier New"/>
                <w:sz w:val="15"/>
                <w:szCs w:val="15"/>
              </w:rPr>
              <w:t xml:space="preserve"> = 1 for τᵈᵖ consecutive slots; rotate to p′ ≠ p</w:t>
            </w:r>
          </w:p>
        </w:tc>
        <w:tc>
          <w:tcPr>
            <w:tcW w:w="604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2F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776D87" w14:textId="77777777" w:rsidR="00300B7E" w:rsidRDefault="00300B7E" w:rsidP="00B05EF4">
            <w:pPr>
              <w:spacing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7"/>
                <w:szCs w:val="17"/>
              </w:rPr>
              <w:t>Philosophy</w:t>
            </w:r>
          </w:p>
          <w:p w14:paraId="07B19815" w14:textId="77777777" w:rsidR="00300B7E" w:rsidRDefault="00300B7E" w:rsidP="00B05EF4">
            <w:pPr>
              <w:spacing w:after="40"/>
            </w:pPr>
            <w:r>
              <w:rPr>
                <w:rFonts w:ascii="Arial" w:eastAsia="Arial" w:hAnsi="Arial" w:cs="Arial"/>
                <w:i/>
                <w:iCs/>
                <w:color w:val="8B0000"/>
                <w:sz w:val="18"/>
                <w:szCs w:val="18"/>
              </w:rPr>
              <w:t>The attacker fingerprints the identity, not just the service — so we change identity before they finish mapping it, forcing them to restart.</w:t>
            </w:r>
          </w:p>
          <w:p w14:paraId="43240E68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Persona-rotation: passive discovery tracks the identity, not only the type. Once persona p has been active for τᵈᵖ consecutive slots, uᵢ,z,t,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 and credit is zeroed. Rotating to p′ (same type, same zone, different identity) forces the attacker to restart fingerprinting</w:t>
            </w:r>
          </w:p>
        </w:tc>
      </w:tr>
    </w:tbl>
    <w:p w14:paraId="76050602" w14:textId="77777777" w:rsidR="00300B7E" w:rsidRDefault="00300B7E" w:rsidP="00300B7E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5"/>
        <w:gridCol w:w="8765"/>
      </w:tblGrid>
      <w:tr w:rsidR="00300B7E" w14:paraId="147A6BB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9C461D4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CHAIN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E9D975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Enforcement backbone (extended from base paper Section IV-F):</w:t>
            </w:r>
          </w:p>
          <w:p w14:paraId="4F48365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xᵢ,z,t,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C5b verifies (servertype, zone, technique, persona)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GKᵢ,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</w:p>
          <w:p w14:paraId="205A9E53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cⱼ,a,t = 1  [C1: zone-pinned, u_type=0, u_persona=0]</w:t>
            </w:r>
          </w:p>
          <w:p w14:paraId="4F789863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pπ,h,t = 1  [C6: C10 guarantees ≥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>ρπ·H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covered slots]</w:t>
            </w:r>
          </w:p>
          <w:p w14:paraId="607AFDA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eπ,t = 1   [C7: non-final hop covered]</w:t>
            </w:r>
          </w:p>
          <w:p w14:paraId="6962F5B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               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 w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₄</w:t>
            </w:r>
            <w:r>
              <w:rPr>
                <w:rFonts w:ascii="Arial" w:eastAsia="Arial" w:hAnsi="Arial" w:cs="Arial"/>
                <w:sz w:val="18"/>
                <w:szCs w:val="18"/>
              </w:rPr>
              <w:t>·q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·PW earned  [zone + time + persona + type-discovery + persona-discovery]</w:t>
            </w:r>
          </w:p>
        </w:tc>
      </w:tr>
    </w:tbl>
    <w:p w14:paraId="37822DD5" w14:textId="77777777" w:rsidR="00300B7E" w:rsidRDefault="00300B7E" w:rsidP="00300B7E">
      <w:pPr>
        <w:spacing w:after="200"/>
      </w:pPr>
    </w:p>
    <w:p w14:paraId="182517A1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C10 and C11 — Worked Examples</w:t>
      </w:r>
    </w:p>
    <w:p w14:paraId="62082765" w14:textId="77777777" w:rsidR="00300B7E" w:rsidRDefault="00300B7E" w:rsidP="00300B7E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C10 — No Gap Slots on Dangerous Paths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8964"/>
      </w:tblGrid>
      <w:tr w:rsidR="00300B7E" w14:paraId="0FEB7EC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2E5FA3"/>
              <w:left w:val="single" w:sz="8" w:space="0" w:color="2E5FA3"/>
              <w:bottom w:val="single" w:sz="8" w:space="0" w:color="2E5FA3"/>
              <w:right w:val="single" w:sz="8" w:space="0" w:color="2E5FA3"/>
            </w:tcBorders>
            <w:shd w:val="clear" w:color="auto" w:fill="2E5FA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DDC3876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C10</w:t>
            </w:r>
          </w:p>
        </w:tc>
        <w:tc>
          <w:tcPr>
            <w:tcW w:w="9100" w:type="dxa"/>
            <w:tcBorders>
              <w:top w:val="single" w:sz="8" w:space="0" w:color="2E5FA3"/>
              <w:left w:val="none" w:sz="0" w:space="0" w:color="FFFFFF"/>
              <w:bottom w:val="single" w:sz="8" w:space="0" w:color="2E5FA3"/>
              <w:right w:val="single" w:sz="8" w:space="0" w:color="2E5FA3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46F00DA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A patient attacker can simply wait for the gap month when nothing is watching — we close every gap on high-probability paths.</w:t>
            </w:r>
          </w:p>
          <w:p w14:paraId="218079F2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Path π with ρπ = 0.30 across H = 4 slots must be covered in at least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0.30 × 4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⌉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2 slots.</w:t>
            </w:r>
          </w:p>
          <w:p w14:paraId="58D30F15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attacker cannot wait for an unmonitored window — high-probability paths are always covered.</w:t>
            </w:r>
          </w:p>
          <w:p w14:paraId="33F66E20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Setting H = 1 (original formulation) makes C10 trivially satisfied and recovers base-paper behaviour.</w:t>
            </w:r>
          </w:p>
        </w:tc>
      </w:tr>
    </w:tbl>
    <w:p w14:paraId="586B076F" w14:textId="77777777" w:rsidR="00300B7E" w:rsidRDefault="00300B7E" w:rsidP="00300B7E">
      <w:pPr>
        <w:spacing w:after="100"/>
      </w:pPr>
    </w:p>
    <w:p w14:paraId="1D090C30" w14:textId="77777777" w:rsidR="00300B7E" w:rsidRDefault="00300B7E" w:rsidP="00300B7E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C11 — Rotate Faster When Threat Rises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8964"/>
      </w:tblGrid>
      <w:tr w:rsidR="00300B7E" w14:paraId="78FDFBB2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7FC1"/>
              <w:left w:val="single" w:sz="8" w:space="0" w:color="4A7FC1"/>
              <w:bottom w:val="single" w:sz="8" w:space="0" w:color="4A7FC1"/>
              <w:right w:val="single" w:sz="8" w:space="0" w:color="4A7FC1"/>
            </w:tcBorders>
            <w:shd w:val="clear" w:color="auto" w:fill="4A7FC1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F253F43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C11</w:t>
            </w:r>
          </w:p>
        </w:tc>
        <w:tc>
          <w:tcPr>
            <w:tcW w:w="9100" w:type="dxa"/>
            <w:tcBorders>
              <w:top w:val="single" w:sz="8" w:space="0" w:color="4A7FC1"/>
              <w:left w:val="none" w:sz="0" w:space="0" w:color="FFFFFF"/>
              <w:bottom w:val="single" w:sz="8" w:space="0" w:color="4A7FC1"/>
              <w:right w:val="single" w:sz="8" w:space="0" w:color="4A7FC1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F8E586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When signs of a threat are rising, we rotate faster — the higher the attack probability, the shorter the window before the honeypot must move.</w:t>
            </w:r>
          </w:p>
          <w:p w14:paraId="318A2D02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STIX/TAXII update at slot t=2: ρπ rises 0.30 → 0.55, ρ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ₘ</w:t>
            </w:r>
            <w:r>
              <w:rPr>
                <w:rFonts w:ascii="Arial" w:eastAsia="Arial" w:hAnsi="Arial" w:cs="Arial"/>
                <w:sz w:val="18"/>
                <w:szCs w:val="18"/>
              </w:rPr>
              <w:t>ₐˣ = 1.0, τᵈ⁰ = 3.</w:t>
            </w:r>
          </w:p>
          <w:p w14:paraId="1CED6BB6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Before update: τᵈ = 3 × (1 − 0.30/1.0) = 2.10 → rotate every 2 slots.</w:t>
            </w:r>
          </w:p>
          <w:p w14:paraId="5B49F19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After update:  τᵈ = 3 × (1 − 0.55/1.0) = 1.35 → rotate every slot.</w:t>
            </w:r>
          </w:p>
          <w:p w14:paraId="3EC725B2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Algorithm 1 warm-starts RC2 from the current deployment and re-certifies in &lt;5 s.</w:t>
            </w:r>
          </w:p>
        </w:tc>
      </w:tr>
    </w:tbl>
    <w:p w14:paraId="42ADDA4B" w14:textId="77777777" w:rsidR="00300B7E" w:rsidRDefault="00300B7E" w:rsidP="00300B7E">
      <w:pPr>
        <w:spacing w:after="100"/>
      </w:pPr>
    </w:p>
    <w:p w14:paraId="229C480A" w14:textId="77777777" w:rsidR="00300B7E" w:rsidRDefault="00300B7E" w:rsidP="00300B7E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C12 — Persona-Conflict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8964"/>
      </w:tblGrid>
      <w:tr w:rsidR="00300B7E" w14:paraId="4DC3893B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8B0000"/>
              <w:left w:val="single" w:sz="8" w:space="0" w:color="8B0000"/>
              <w:bottom w:val="single" w:sz="8" w:space="0" w:color="8B0000"/>
              <w:right w:val="single" w:sz="8" w:space="0" w:color="8B0000"/>
            </w:tcBorders>
            <w:shd w:val="clear" w:color="auto" w:fill="8B00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60846479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C12</w:t>
            </w:r>
          </w:p>
        </w:tc>
        <w:tc>
          <w:tcPr>
            <w:tcW w:w="9100" w:type="dxa"/>
            <w:tcBorders>
              <w:top w:val="single" w:sz="8" w:space="0" w:color="8B0000"/>
              <w:left w:val="none" w:sz="0" w:space="0" w:color="FFFFFF"/>
              <w:bottom w:val="single" w:sz="8" w:space="0" w:color="8B0000"/>
              <w:right w:val="single" w:sz="8" w:space="0" w:color="8B0000"/>
            </w:tcBorders>
            <w:shd w:val="clear" w:color="auto" w:fill="FDECEA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20F62AD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Two honeypots wearing the same identity in the same place at the same time is a contradiction — an attacker who notices both knows at least one is fake.</w:t>
            </w:r>
          </w:p>
          <w:p w14:paraId="33497631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If ssh_trap (DMZ, t=2) wears persona HR_workstation, then db_trap (DMZ, t=2) cannot also wear HR_workstation.</w:t>
            </w:r>
          </w:p>
          <w:p w14:paraId="24480C7F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An attacker who sees two “HR workstations” in the same zone at the same slot knows at least one is fake — deception collapses.</w:t>
            </w:r>
          </w:p>
          <w:p w14:paraId="7B141DA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C12 is the persona analogue of C4 (no pairwise type conflicts) and enforces the same structural guarantee.</w:t>
            </w:r>
          </w:p>
        </w:tc>
      </w:tr>
    </w:tbl>
    <w:p w14:paraId="6174815C" w14:textId="77777777" w:rsidR="00300B7E" w:rsidRDefault="00300B7E" w:rsidP="00300B7E">
      <w:pPr>
        <w:spacing w:after="100"/>
      </w:pPr>
    </w:p>
    <w:p w14:paraId="4D9399F6" w14:textId="77777777" w:rsidR="00300B7E" w:rsidRDefault="00300B7E" w:rsidP="00300B7E">
      <w:pPr>
        <w:pStyle w:val="Heading3"/>
      </w:pPr>
      <w:r>
        <w:rPr>
          <w:rFonts w:ascii="Arial" w:eastAsia="Arial" w:hAnsi="Arial" w:cs="Arial"/>
          <w:b/>
          <w:bCs/>
          <w:color w:val="4A7FC1"/>
          <w:sz w:val="21"/>
          <w:szCs w:val="21"/>
        </w:rPr>
        <w:t>C13 — Persona-Rotation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6"/>
        <w:gridCol w:w="8964"/>
      </w:tblGrid>
      <w:tr w:rsidR="00300B7E" w14:paraId="070D73C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4A2080"/>
              <w:left w:val="single" w:sz="8" w:space="0" w:color="4A2080"/>
              <w:bottom w:val="single" w:sz="8" w:space="0" w:color="4A2080"/>
              <w:right w:val="single" w:sz="8" w:space="0" w:color="4A2080"/>
            </w:tcBorders>
            <w:shd w:val="clear" w:color="auto" w:fill="4A20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2864FA7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C13</w:t>
            </w:r>
          </w:p>
        </w:tc>
        <w:tc>
          <w:tcPr>
            <w:tcW w:w="9100" w:type="dxa"/>
            <w:tcBorders>
              <w:top w:val="single" w:sz="8" w:space="0" w:color="4A2080"/>
              <w:left w:val="none" w:sz="0" w:space="0" w:color="FFFFFF"/>
              <w:bottom w:val="single" w:sz="8" w:space="0" w:color="4A2080"/>
              <w:right w:val="single" w:sz="8" w:space="0" w:color="4A2080"/>
            </w:tcBorders>
            <w:shd w:val="clear" w:color="auto" w:fill="EDE3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AA98FA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Philosophy: The attacker fingerprints the identity, not just the service — so we change identity before they finish mapping it, forcing them to restart.</w:t>
            </w:r>
          </w:p>
          <w:p w14:paraId="5CBB8A75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If ssh_trap wears HR_workstation for τᵈᵖ = 2 consecutive slots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⇒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uᵢ,z,t,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= 1, credit = 0.</w:t>
            </w:r>
          </w:p>
          <w:p w14:paraId="21BB89F7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Cheap defence: rotate to DevOps_server at t+1. Same type, same zone, different identity.</w:t>
            </w:r>
          </w:p>
          <w:p w14:paraId="32A88BF1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Attacker must restart fingerprinting. C13 formalises the SANDMAN/OHRA persona-rotation pattern as a hard clause.</w:t>
            </w:r>
          </w:p>
        </w:tc>
      </w:tr>
    </w:tbl>
    <w:p w14:paraId="2A1F1087" w14:textId="77777777" w:rsidR="00300B7E" w:rsidRDefault="00300B7E" w:rsidP="00300B7E">
      <w:pPr>
        <w:spacing w:after="200"/>
      </w:pPr>
    </w:p>
    <w:p w14:paraId="04C9DB38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E. Soft Clauses (Persona-Extended)</w:t>
      </w:r>
    </w:p>
    <w:p w14:paraId="4EEBB475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six soft-clause families from the base paper (L4, L3-fwd, L3-bwd, L2-tech, L2-fam, L1) are preserved with geometric weights w</w:t>
      </w:r>
      <w:r>
        <w:rPr>
          <w:rFonts w:ascii="Cambria Math" w:eastAsia="Arial" w:hAnsi="Cambria Math" w:cs="Cambria Math"/>
        </w:rPr>
        <w:t>₄</w:t>
      </w:r>
      <w:r>
        <w:rPr>
          <w:rFonts w:ascii="Arial" w:eastAsia="Arial" w:hAnsi="Arial" w:cs="Arial"/>
        </w:rPr>
        <w:t>=1000w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₃</w:t>
      </w:r>
      <w:r>
        <w:rPr>
          <w:rFonts w:ascii="Arial" w:eastAsia="Arial" w:hAnsi="Arial" w:cs="Arial"/>
        </w:rPr>
        <w:t>=100w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, w</w:t>
      </w:r>
      <w:r>
        <w:rPr>
          <w:rFonts w:ascii="Cambria Math" w:eastAsia="Arial" w:hAnsi="Cambria Math" w:cs="Cambria Math"/>
        </w:rPr>
        <w:t>₂</w:t>
      </w:r>
      <w:r>
        <w:rPr>
          <w:rFonts w:ascii="Arial" w:eastAsia="Arial" w:hAnsi="Arial" w:cs="Arial"/>
        </w:rPr>
        <w:t>=10w</w:t>
      </w:r>
      <w:r>
        <w:rPr>
          <w:rFonts w:ascii="Cambria Math" w:eastAsia="Arial" w:hAnsi="Cambria Math" w:cs="Cambria Math"/>
        </w:rPr>
        <w:t>₁</w:t>
      </w:r>
      <w:r>
        <w:rPr>
          <w:rFonts w:ascii="Arial" w:eastAsia="Arial" w:hAnsi="Arial" w:cs="Arial"/>
        </w:rPr>
        <w:t>. Every credit term is extended by the LLM-adjusted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and gated by dual discovery guards (1−u_type)·(1−u_persona). The persona prior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updated by Algorithm 1 alongside soft-clause weights wⱼ at each STIX/TAXII event.</w:t>
      </w:r>
    </w:p>
    <w:p w14:paraId="4376C06C" w14:textId="77777777" w:rsidR="00300B7E" w:rsidRDefault="00300B7E" w:rsidP="00300B7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5B5BE78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DC0D9D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L4: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max_{h&lt;|π|}(ivπ,h) ·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[xᵢ,z,t,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=1] · (1−u_type) · (1−u_persona) · eπ,t     (6)</w:t>
            </w:r>
          </w:p>
          <w:p w14:paraId="2A72929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eπ,t = 1  (early interception per slot)</w:t>
            </w:r>
          </w:p>
          <w:p w14:paraId="086F1B4E" w14:textId="77777777" w:rsidR="00300B7E" w:rsidRDefault="00300B7E" w:rsidP="00B05EF4"/>
          <w:p w14:paraId="29772E6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L3-fwd: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ivπ,h ·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[xᵢ,z,t,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=1] · (1−u_type) · (1−u_persona) · pπ,h,t    (7)</w:t>
            </w:r>
          </w:p>
          <w:p w14:paraId="5C3B8ED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pπ,h,t = 1 for all π,h (forward path coverage per slot)</w:t>
            </w:r>
          </w:p>
          <w:p w14:paraId="73E49AA2" w14:textId="77777777" w:rsidR="00300B7E" w:rsidRDefault="00300B7E" w:rsidP="00B05EF4"/>
          <w:p w14:paraId="240D3DB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L3-bwd:  0.7w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ρπ · ivπ,h ·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[xᵢ,z,t,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=1] · (1−u_type) · (1−u_persona) · pπ,h,t  (8)</w:t>
            </w:r>
          </w:p>
          <w:p w14:paraId="2B04D7D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pπ,h,t = 1 (reverse; 0.7 forensic discount preserved)</w:t>
            </w:r>
          </w:p>
          <w:p w14:paraId="73D833F4" w14:textId="77777777" w:rsidR="00300B7E" w:rsidRDefault="00300B7E" w:rsidP="00B05EF4"/>
          <w:p w14:paraId="484E1F5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L2-tech: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Σa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covered in zone(a) at t with u_persona=0]            (9)</w:t>
            </w:r>
          </w:p>
          <w:p w14:paraId="7814FE4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technique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(persona-verified)</w:t>
            </w:r>
          </w:p>
          <w:p w14:paraId="586BFA67" w14:textId="77777777" w:rsidR="00300B7E" w:rsidRDefault="00300B7E" w:rsidP="00B05EF4"/>
          <w:p w14:paraId="417230F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L2-fam:  1.2w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Σ_{j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f} Σa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[family f covered at t]                       (10)</w:t>
            </w:r>
          </w:p>
          <w:p w14:paraId="54CE1F2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goal: cover tactic family f; 1.2× bonus unchanged</w:t>
            </w:r>
          </w:p>
          <w:p w14:paraId="028DA1FE" w14:textId="77777777" w:rsidR="00300B7E" w:rsidRDefault="00300B7E" w:rsidP="00B05EF4"/>
          <w:p w14:paraId="0E8C2EB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L1:    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·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·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𝟭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[xᵢ,z,t,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=1] · (1−u_type) · (1−u_persona) · c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,a,t         (11)</w:t>
            </w:r>
          </w:p>
          <w:p w14:paraId="32E8169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        goal: detect t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on asset a at slot t</w:t>
            </w:r>
          </w:p>
          <w:p w14:paraId="0CB78AFB" w14:textId="77777777" w:rsidR="00300B7E" w:rsidRDefault="00300B7E" w:rsidP="00B05EF4"/>
          <w:p w14:paraId="785B76C7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Complete objective:</w:t>
            </w:r>
          </w:p>
          <w:p w14:paraId="67E8A7F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max Σ_{l=1}^{4} Σ_{clauses} w_l · sat(c)</w:t>
            </w:r>
          </w:p>
          <w:p w14:paraId="638018A0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subject to C1–C13,  xᵢ,z,t,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{0,1}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∀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i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K, z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ZKᵢ, t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T̄, p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</w:t>
            </w:r>
          </w:p>
          <w:p w14:paraId="443D9BE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₄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1000w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₃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100w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  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₂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10w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₁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(unchanged)</w:t>
            </w:r>
          </w:p>
          <w:p w14:paraId="0A9398D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updated by Algorithm 1 at each STIX/TAXII threat-intel event</w:t>
            </w:r>
          </w:p>
        </w:tc>
      </w:tr>
    </w:tbl>
    <w:p w14:paraId="6FCDAA9C" w14:textId="77777777" w:rsidR="00300B7E" w:rsidRDefault="00300B7E" w:rsidP="00300B7E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9"/>
        <w:gridCol w:w="8931"/>
      </w:tblGrid>
      <w:tr w:rsidR="00300B7E" w14:paraId="1E0265B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1B2A4A"/>
              <w:left w:val="single" w:sz="8" w:space="0" w:color="1B2A4A"/>
              <w:bottom w:val="single" w:sz="8" w:space="0" w:color="1B2A4A"/>
              <w:right w:val="single" w:sz="8" w:space="0" w:color="1B2A4A"/>
            </w:tcBorders>
            <w:shd w:val="clear" w:color="auto" w:fill="1B2A4A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01725F2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KEY</w:t>
            </w:r>
          </w:p>
        </w:tc>
        <w:tc>
          <w:tcPr>
            <w:tcW w:w="9100" w:type="dxa"/>
            <w:tcBorders>
              <w:top w:val="single" w:sz="8" w:space="0" w:color="1B2A4A"/>
              <w:left w:val="none" w:sz="0" w:space="0" w:color="FFFFFF"/>
              <w:bottom w:val="single" w:sz="8" w:space="0" w:color="1B2A4A"/>
              <w:right w:val="single" w:sz="8" w:space="0" w:color="1B2A4A"/>
            </w:tcBorders>
            <w:shd w:val="clear" w:color="auto" w:fill="D6E4F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31797B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Every credit term carries DUAL discovery guards: (1−u_type)·(1−u_persona).</w:t>
            </w:r>
          </w:p>
          <w:p w14:paraId="4B254444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Credit is zero if EITHER the honeypot type OR the persona has been discovered.</w:t>
            </w:r>
          </w:p>
          <w:p w14:paraId="6FB8C249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1000× prevention priority (L4), 0.7 forensic discount (L3-bwd), and 1.2× family bonus (L2-fam) are unchanged from the base paper.</w:t>
            </w:r>
          </w:p>
        </w:tc>
      </w:tr>
    </w:tbl>
    <w:p w14:paraId="5D04758B" w14:textId="77777777" w:rsidR="00300B7E" w:rsidRDefault="00300B7E" w:rsidP="00300B7E">
      <w:pPr>
        <w:spacing w:after="200"/>
      </w:pPr>
    </w:p>
    <w:p w14:paraId="0F1E3675" w14:textId="77777777" w:rsidR="00300B7E" w:rsidRDefault="00300B7E" w:rsidP="00300B7E">
      <w:pPr>
        <w:pStyle w:val="Heading2"/>
      </w:pPr>
      <w:r>
        <w:rPr>
          <w:rFonts w:ascii="Arial" w:eastAsia="Arial" w:hAnsi="Arial" w:cs="Arial"/>
          <w:b/>
          <w:bCs/>
          <w:color w:val="2E5FA3"/>
          <w:sz w:val="24"/>
          <w:szCs w:val="24"/>
        </w:rPr>
        <w:t>Algorithm 1 Extension — Persona Priors</w:t>
      </w:r>
    </w:p>
    <w:p w14:paraId="151BDBA2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Algorithm 1 (Adaptive Redeployment on Updated Threat Priors, base paper Section IV-I) is extended to output persona priors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alongside soft-clause weight updates:</w:t>
      </w:r>
    </w:p>
    <w:p w14:paraId="68C58102" w14:textId="77777777" w:rsidR="00300B7E" w:rsidRDefault="00300B7E" w:rsidP="00300B7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188E6773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7BF31B8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Algorithm 1 (Extended):</w:t>
            </w:r>
          </w:p>
          <w:p w14:paraId="387479F7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Input:  current deployment x*; updated path probabilities ρ′π; STIX/TAXII intel at slot t</w:t>
            </w:r>
          </w:p>
          <w:p w14:paraId="6777C3B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Output: x′* optimal for updated threat model; updated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</w:p>
          <w:p w14:paraId="789CD650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1. PW′ ← ρ′ · iv · W</w:t>
            </w:r>
          </w:p>
          <w:p w14:paraId="33D6C52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2. Update L3/L4 soft weights  (C1–C13 hard clauses unchanged)</w:t>
            </w:r>
          </w:p>
          <w:p w14:paraId="5156606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3. Update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from threat-intel class:  (NEW)</w:t>
            </w:r>
          </w:p>
          <w:p w14:paraId="79BC42B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financially motivated signal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q_{Finance_DB} ↑, q_{HR_workstation} ↑</w:t>
            </w:r>
          </w:p>
          <w:p w14:paraId="4657C89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IP-theft signal           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q_{DevOps_server} ↑, q_{Generic_Linux} ↑</w:t>
            </w:r>
          </w:p>
          <w:p w14:paraId="30B6EA3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normalise so Σ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</w:t>
            </w:r>
          </w:p>
          <w:p w14:paraId="744379D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4. Warm-start RC2 from x*  (&lt; 5 s at XLarge)</w:t>
            </w:r>
          </w:p>
          <w:p w14:paraId="5BA6531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5. Re-solve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x′*</w:t>
            </w:r>
          </w:p>
          <w:p w14:paraId="16CDC04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6. Δ ← Q(x′*) − Q(x*)</w:t>
            </w:r>
          </w:p>
          <w:p w14:paraId="6E55CBA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7. if Δ &gt; 0: deploy x′*, log Δ  else: keep x*, log “still optimal”</w:t>
            </w:r>
          </w:p>
          <w:p w14:paraId="6C73263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return x′*</w:t>
            </w:r>
          </w:p>
        </w:tc>
      </w:tr>
    </w:tbl>
    <w:p w14:paraId="2A235B4E" w14:textId="77777777" w:rsidR="00300B7E" w:rsidRDefault="00300B7E" w:rsidP="00300B7E">
      <w:pPr>
        <w:spacing w:after="80"/>
      </w:pPr>
    </w:p>
    <w:p w14:paraId="29727F7A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LLM is choosing what the decoys pretend to be, a judgment requiring contextual reasoning about attacker motivation that a SAT solver cannot derive from constraint structure alone. Adjusting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is a stronger contribution than nudging anonymous wⱼ values because the output is an operationally interpretable persona schedule, not an opaque weight vector.</w:t>
      </w:r>
    </w:p>
    <w:p w14:paraId="28913161" w14:textId="77777777" w:rsidR="00300B7E" w:rsidRDefault="00300B7E" w:rsidP="00300B7E">
      <w:pPr>
        <w:spacing w:after="200"/>
      </w:pPr>
    </w:p>
    <w:p w14:paraId="652029B5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F. Cross-Path Force-Multiplier (Extended)</w:t>
      </w:r>
    </w:p>
    <w:p w14:paraId="1DECEBEF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A single deployment decision xᵢ,z,t,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= 1 simultaneously resolves L3 soft clauses across multiple paths and earns the q</w:t>
      </w:r>
      <w:r>
        <w:rPr>
          <w:rFonts w:ascii="Segoe UI Symbol" w:eastAsia="Arial" w:hAnsi="Segoe UI Symbol" w:cs="Segoe UI Symbol"/>
        </w:rPr>
        <w:t>ₚ</w:t>
      </w:r>
      <w:r>
        <w:rPr>
          <w:rFonts w:ascii="Arial" w:eastAsia="Arial" w:hAnsi="Arial" w:cs="Arial"/>
        </w:rPr>
        <w:t xml:space="preserve"> persona-prior bonus on each:</w:t>
      </w:r>
    </w:p>
    <w:p w14:paraId="2523E7DF" w14:textId="77777777" w:rsidR="00300B7E" w:rsidRDefault="00300B7E" w:rsidP="00300B7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0111D1C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D832AC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Extended credit per deployment (illustrative: ssh_trap, Zone 2, T1021, HR_workstation persona):</w:t>
            </w:r>
          </w:p>
          <w:p w14:paraId="5C0C18A9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Path               ρ       iv     W</w:t>
            </w:r>
            <w:r>
              <w:rPr>
                <w:rFonts w:ascii="Tahoma" w:eastAsia="Courier New" w:hAnsi="Tahoma" w:cs="Tahoma"/>
                <w:color w:val="1B2A4A"/>
                <w:sz w:val="18"/>
                <w:szCs w:val="18"/>
              </w:rPr>
              <w:t>ⱼ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,a  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L3 weight</w:t>
            </w:r>
          </w:p>
          <w:p w14:paraId="571AF079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lastRenderedPageBreak/>
              <w:t xml:space="preserve">  web to db (hop 2)  0.30    1.8    3.24    0.40   0.30×1.8×3.24×0.40 = 0.700</w:t>
            </w:r>
          </w:p>
          <w:p w14:paraId="3F882D1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ot infiltr. (h 2)  0.15    1.7    3.24    0.40   0.15×1.7×3.24×0.40 = 0.330</w:t>
            </w:r>
          </w:p>
          <w:p w14:paraId="6635E09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brute to ad (h 2)  0.20    1.6    3.24    0.40   0.20×1.6×3.24×0.40 = 0.415</w:t>
            </w:r>
          </w:p>
          <w:p w14:paraId="3BF59430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 total (q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=0.40)                               1.445</w:t>
            </w:r>
          </w:p>
          <w:p w14:paraId="5742CA0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RC2 total (no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             3.612</w:t>
            </w:r>
          </w:p>
          <w:p w14:paraId="384D718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Base-paper Greedy (highest-ρ only, no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):        1.749</w:t>
            </w:r>
          </w:p>
          <w:p w14:paraId="0E08C247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RC2-vs-Greedy ratio ≈2.1× preserved at default q</w:t>
            </w:r>
            <w:r>
              <w:rPr>
                <w:rFonts w:ascii="Segoe UI Symbol" w:eastAsia="Courier New" w:hAnsi="Segoe UI Symbol" w:cs="Segoe UI Symbol"/>
                <w:color w:val="1B2A4A"/>
                <w:sz w:val="18"/>
                <w:szCs w:val="18"/>
              </w:rPr>
              <w:t>ₚ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= 1/|P|.</w:t>
            </w:r>
          </w:p>
        </w:tc>
      </w:tr>
    </w:tbl>
    <w:p w14:paraId="23AA34D6" w14:textId="77777777" w:rsidR="00300B7E" w:rsidRDefault="00300B7E" w:rsidP="00300B7E">
      <w:pPr>
        <w:spacing w:after="200"/>
      </w:pPr>
    </w:p>
    <w:p w14:paraId="53B9B249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G. Operator Schedule — Persona Layer</w:t>
      </w:r>
    </w:p>
    <w:p w14:paraId="15F976DF" w14:textId="77777777" w:rsidR="00300B7E" w:rsidRDefault="00300B7E" w:rsidP="00300B7E">
      <w:pPr>
        <w:spacing w:before="60" w:after="100"/>
      </w:pPr>
      <w:r>
        <w:rPr>
          <w:rFonts w:ascii="Arial" w:eastAsia="Arial" w:hAnsi="Arial" w:cs="Arial"/>
        </w:rPr>
        <w:t>The solver returns a complete deployment schedule (type, zone, slot, persona). The operator follows it exactly. Example for H = 4 planning slots with a threat-intel update at t = 2:</w:t>
      </w:r>
    </w:p>
    <w:p w14:paraId="1E520ACD" w14:textId="77777777" w:rsidR="00300B7E" w:rsidRDefault="00300B7E" w:rsidP="00300B7E">
      <w:pPr>
        <w:spacing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78DB79F7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C75206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Type        Zone      Persona            t=1  t=2  t=3  t=4   Constraint driver</w:t>
            </w:r>
          </w:p>
          <w:p w14:paraId="4468152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───────────────────────────────────────────────────────────────────────────</w:t>
            </w:r>
          </w:p>
          <w:p w14:paraId="67FFA8C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    DMZ       HR_workstation      1    1    0    1     C13: τᵈᵖ=2 hit at t=3; resume t=4</w:t>
            </w:r>
          </w:p>
          <w:p w14:paraId="55FA6B3A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    DMZ       DevOps_server       0    0    1    0     C13: persona-rotation at t=3</w:t>
            </w:r>
          </w:p>
          <w:p w14:paraId="02F06BD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ssh_trap    Internal  HR_workstation      1    1    1    0     C8: churn limit — rotate t=4</w:t>
            </w:r>
          </w:p>
          <w:p w14:paraId="5C669DF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     Internal  Finance_DB          1    0    1    0     C9: type-alternation avoids discovery</w:t>
            </w:r>
          </w:p>
          <w:p w14:paraId="67C67AF9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     Cloud     Finance_DB          1    1    0    1     C13: rotate persona at t=3</w:t>
            </w:r>
          </w:p>
          <w:p w14:paraId="4468916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     Cloud     HR_workstation      0    0    0    0     C12: Finance_DB already in Cloud t=1–t=2</w:t>
            </w:r>
          </w:p>
          <w:p w14:paraId="7A9FDCC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scada_trap  OT        Generic_Linux       1    1    1    1     C5: air-gapped — always active</w:t>
            </w:r>
          </w:p>
          <w:p w14:paraId="61E6E5B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ad_trap     Mgmt      HR_workstation      1    1    1    1     No C12 conflict (unique zone+persona)</w:t>
            </w:r>
          </w:p>
          <w:p w14:paraId="72076256" w14:textId="77777777" w:rsidR="00300B7E" w:rsidRDefault="00300B7E" w:rsidP="00B05EF4"/>
          <w:p w14:paraId="20547AA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↓ STIX/TAXII update t=2: financially-motivated attacker signal</w:t>
            </w:r>
          </w:p>
          <w:p w14:paraId="63F2F4D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Algorithm 1: q_{Finance_DB} 0.15→0.40, q_{HR_workstation} 0.15→0.30</w:t>
            </w:r>
          </w:p>
          <w:p w14:paraId="7AA8E76D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C10: web→db path must be covered in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⌈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ρπ×H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⌉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≥ 3 slots</w:t>
            </w:r>
          </w:p>
          <w:p w14:paraId="3CC3275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C11: db_trap Cloud τᵈ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type-rotation</w:t>
            </w:r>
          </w:p>
          <w:p w14:paraId="25C8763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C13: Finance_DB persona τᵈᵖ tightens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faster persona-rotation</w:t>
            </w:r>
          </w:p>
          <w:p w14:paraId="166B03E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Revised t=3, t=4:</w:t>
            </w:r>
          </w:p>
          <w:p w14:paraId="22808C8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     Cloud     Finance_DB          1    1    1    0     C10 forces t=3 coverage</w:t>
            </w:r>
          </w:p>
          <w:p w14:paraId="389CF7C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db_trap     Cloud     HR_workstation      0    0    0    1     C13 forces swap at t=4</w:t>
            </w:r>
          </w:p>
        </w:tc>
      </w:tr>
    </w:tbl>
    <w:p w14:paraId="16E2FAA9" w14:textId="77777777" w:rsidR="00300B7E" w:rsidRDefault="00300B7E" w:rsidP="00300B7E">
      <w:pPr>
        <w:spacing w:after="200"/>
      </w:pPr>
    </w:p>
    <w:p w14:paraId="1CB6D786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H. Six Objectives and Six Dimensions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7"/>
        <w:gridCol w:w="8823"/>
      </w:tblGrid>
      <w:tr w:rsidR="00300B7E" w14:paraId="2947CB2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0D5C63"/>
              <w:left w:val="single" w:sz="8" w:space="0" w:color="0D5C63"/>
              <w:bottom w:val="single" w:sz="8" w:space="0" w:color="0D5C63"/>
              <w:right w:val="single" w:sz="8" w:space="0" w:color="0D5C63"/>
            </w:tcBorders>
            <w:shd w:val="clear" w:color="auto" w:fill="0D5C6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76F703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NOTE</w:t>
            </w:r>
          </w:p>
        </w:tc>
        <w:tc>
          <w:tcPr>
            <w:tcW w:w="9100" w:type="dxa"/>
            <w:tcBorders>
              <w:top w:val="single" w:sz="8" w:space="0" w:color="0D5C63"/>
              <w:left w:val="none" w:sz="0" w:space="0" w:color="FFFFFF"/>
              <w:bottom w:val="single" w:sz="8" w:space="0" w:color="0D5C63"/>
              <w:right w:val="single" w:sz="8" w:space="0" w:color="0D5C63"/>
            </w:tcBorders>
            <w:shd w:val="clear" w:color="auto" w:fill="D0EEE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7EF04E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D2 is about attack-path ordering and temporal coverage — when honeypots are active, gap elimination (C10), rotation tightening (C11, C13).</w:t>
            </w:r>
          </w:p>
          <w:p w14:paraId="379D0C4F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D3 is about ATT&amp;CK technique and tactic-family content — what techniques are covered (L2-tech, L2-fam, O2, O3).</w:t>
            </w:r>
          </w:p>
          <w:p w14:paraId="1EEDF11E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They are not duplicates — they address different dimensions.</w:t>
            </w:r>
          </w:p>
        </w:tc>
      </w:tr>
    </w:tbl>
    <w:p w14:paraId="4248E33E" w14:textId="77777777" w:rsidR="00300B7E" w:rsidRDefault="00300B7E" w:rsidP="00300B7E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300B7E" w14:paraId="5E8B4101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142A016" w14:textId="77777777" w:rsidR="00300B7E" w:rsidRDefault="00300B7E" w:rsidP="00B05EF4"/>
        </w:tc>
        <w:tc>
          <w:tcPr>
            <w:tcW w:w="6760" w:type="dxa"/>
            <w:tcBorders>
              <w:top w:val="single" w:sz="6" w:space="0" w:color="1B2A4A"/>
              <w:left w:val="single" w:sz="6" w:space="0" w:color="1B2A4A"/>
              <w:bottom w:val="single" w:sz="6" w:space="0" w:color="1B2A4A"/>
              <w:right w:val="single" w:sz="6" w:space="0" w:color="1B2A4A"/>
            </w:tcBorders>
            <w:shd w:val="clear" w:color="auto" w:fill="1B2A4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404284E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 + Philosophy</w:t>
            </w:r>
          </w:p>
        </w:tc>
      </w:tr>
      <w:tr w:rsidR="00300B7E" w14:paraId="0B75BC0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F49B4BB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O1 — Detection Efficiency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A73CF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Credit earned only in deployed zone at deployed slot with u_type=0 AND u_persona=0; Wⱼ,a·q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weights direct solver to high-attack-load zones</w:t>
            </w:r>
          </w:p>
          <w:p w14:paraId="4FDA405F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2E44D4A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Deploy where attacks actually happen — a honeypot in an attack-free zone is operationally worthless.</w:t>
            </w:r>
          </w:p>
        </w:tc>
      </w:tr>
      <w:tr w:rsidR="00300B7E" w14:paraId="5CFC00D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EBABEC5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O2 — Technique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3569D2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L2-tech bonus zone-pinned, time-verified,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live persona</w:t>
            </w:r>
          </w:p>
          <w:p w14:paraId="252954D0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DA779E4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who knows certain ATT&amp;CK techniques go undetected will use exactly those — breadth across the technique matrix closes that gap.</w:t>
            </w:r>
          </w:p>
        </w:tc>
      </w:tr>
      <w:tr w:rsidR="00300B7E" w14:paraId="418EC35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AB9DA61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O3 — Tactic-Family Breadth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FB88A3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L2-fam 1.2× bonus for each newly covered tactic family at slot t with undiscovered persona</w:t>
            </w:r>
          </w:p>
          <w:p w14:paraId="0AB5C769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AAFB3B9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An attacker blocked in one tactic family will shift to another — coverage must span families, not just techniques within one.</w:t>
            </w:r>
          </w:p>
        </w:tc>
      </w:tr>
      <w:tr w:rsidR="00300B7E" w14:paraId="5BC36390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E868C6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O4 — Early Interception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08460E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L4 1000× priority requires zone-specific deployment at non-final hop at active slot with valid persona; EarlyPct = 100% at all scales</w:t>
            </w:r>
          </w:p>
          <w:p w14:paraId="27743D90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16A72D0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Catching the attacker at hop 1 prevents all subsequent damage; catching them at the last hop only records it — prevention is worth 1000× forensics.</w:t>
            </w:r>
          </w:p>
        </w:tc>
      </w:tr>
      <w:tr w:rsidR="00300B7E" w14:paraId="7544DA08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CF6885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O5 — Forensic Backward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D6E4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CE9B505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L3-bwd 0.7 discount preserved, zone-pinned, slot-indexed, persona-verified; prevention–forensics separation maintained</w:t>
            </w:r>
          </w:p>
          <w:p w14:paraId="6CD260A6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5DD2A65B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Forensic evidence still has value for attribution and response, but must be explicitly discounted so the solver does not confuse it with prevention.</w:t>
            </w:r>
          </w:p>
        </w:tc>
      </w:tr>
      <w:tr w:rsidR="00300B7E" w14:paraId="5057E8ED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6D511A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1B2A4A"/>
                <w:sz w:val="18"/>
                <w:szCs w:val="18"/>
              </w:rPr>
              <w:t>O6 — Multi-Path Coverage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CD3760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All P paths encoded simultaneously; cross-path force-multiplier 2.0–2.2× preserved;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amplifies credit on threat-relevant personas</w:t>
            </w:r>
          </w:p>
          <w:p w14:paraId="7CD22B1F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5CD4EE2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 solver that optimises one path at a time will leave alternative routes open — all paths must be encoded simultaneously.</w:t>
            </w:r>
          </w:p>
        </w:tc>
      </w:tr>
      <w:tr w:rsidR="00300B7E" w14:paraId="5E96BD5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8FA81C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D1 — Multi-zone + air gaps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31161C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Zone z is first-class index of xᵢ,z,t,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C5 air-gap and C3 per-zone budgets enforced per slot</w:t>
            </w:r>
          </w:p>
          <w:p w14:paraId="1F2A0525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A140F2B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Enterprise networks are partitioned — a placement framework that treats the network as flat cannot enforce zone constraints or model isolation.</w:t>
            </w:r>
          </w:p>
        </w:tc>
      </w:tr>
      <w:tr w:rsidR="00300B7E" w14:paraId="4EFF04A6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EA687A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D2 — Attack-path ordering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B70129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C10 eliminates gap slots; C11 + C13 tighten type- and persona-rotation under rising ρπ — temporal + persona attack-path coverage</w:t>
            </w:r>
          </w:p>
          <w:p w14:paraId="45B470DD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365AA880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Hop order matters — the solver must know which deployments prevent versus which only record, and must eliminate temporal gaps on dangerous paths.</w:t>
            </w:r>
          </w:p>
        </w:tc>
      </w:tr>
      <w:tr w:rsidR="00300B7E" w14:paraId="634F3424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623F74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D3 — ATT&amp;CK objectives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C29153D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L2-tech and L2-fam soft clauses cover diverse techniques and tactic families as live solver objectives, zone-specific and persona-weighted by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>; technique credit requires an undiscovered persona at the active slot</w:t>
            </w:r>
          </w:p>
          <w:p w14:paraId="2F20A5AB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1280692A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Technique and family diversity cannot emerge from path-weight optimisation alone — they require explicit coverage objectives in the solver.</w:t>
            </w:r>
          </w:p>
        </w:tc>
      </w:tr>
      <w:tr w:rsidR="00300B7E" w14:paraId="6121568F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9038A5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D4 — Budget + conflicts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D9FD89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costᵢ,z per-zone per-slot; C4 type-conflict and C12 persona-conflict both checked per slot; C8 churn limit prevents budget waste</w:t>
            </w:r>
          </w:p>
          <w:p w14:paraId="30E06AAE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2C695CFE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Real deployments face hard spending limits and physical incompatibilities — these must be inviolable constraints, not soft preferences.</w:t>
            </w:r>
          </w:p>
        </w:tc>
      </w:tr>
      <w:tr w:rsidR="00300B7E" w14:paraId="5B918B4A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702A76E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t>D5 — Optimality certificate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EDE3F7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DE0DFD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RC2 certifies optimality over full (type, zone, slot, persona) space; NP-hardness holds for extended formulation by reduction from base proof</w:t>
            </w:r>
          </w:p>
          <w:p w14:paraId="30CB7362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08165397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lastRenderedPageBreak/>
              <w:t>A heuristic cannot prove it found the best placement — only a complete solver can certify that no better solution exists within the constraints.</w:t>
            </w:r>
          </w:p>
        </w:tc>
      </w:tr>
      <w:tr w:rsidR="00300B7E" w14:paraId="1F7939C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9998200" w14:textId="77777777" w:rsidR="00300B7E" w:rsidRDefault="00300B7E" w:rsidP="00B05EF4">
            <w:r>
              <w:rPr>
                <w:rFonts w:ascii="Arial" w:eastAsia="Arial" w:hAnsi="Arial" w:cs="Arial"/>
                <w:b/>
                <w:bCs/>
                <w:color w:val="4A2080"/>
                <w:sz w:val="18"/>
                <w:szCs w:val="18"/>
              </w:rPr>
              <w:lastRenderedPageBreak/>
              <w:t>D6 — Persona / identity</w:t>
            </w:r>
          </w:p>
        </w:tc>
        <w:tc>
          <w:tcPr>
            <w:tcW w:w="6760" w:type="dxa"/>
            <w:tcBorders>
              <w:top w:val="single" w:sz="4" w:space="0" w:color="C8CDD6"/>
              <w:left w:val="single" w:sz="4" w:space="0" w:color="C8CDD6"/>
              <w:bottom w:val="single" w:sz="4" w:space="0" w:color="C8CDD6"/>
              <w:right w:val="single" w:sz="4" w:space="0" w:color="C8CDD6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1D3E54" w14:textId="77777777" w:rsidR="00300B7E" w:rsidRDefault="00300B7E" w:rsidP="00B05EF4">
            <w:r>
              <w:rPr>
                <w:rFonts w:ascii="Arial" w:eastAsia="Arial" w:hAnsi="Arial" w:cs="Arial"/>
                <w:sz w:val="18"/>
                <w:szCs w:val="18"/>
              </w:rPr>
              <w:t>Persona p is first-class index; C12 persona-conflict and C13 persona-rotation are hard clauses; Algorithm 1 adjusts q</w:t>
            </w:r>
            <w:r>
              <w:rPr>
                <w:rFonts w:ascii="Segoe UI Symbol" w:eastAsia="Arial" w:hAnsi="Segoe UI Symbol" w:cs="Segoe UI Symbol"/>
                <w:sz w:val="18"/>
                <w:szCs w:val="18"/>
              </w:rPr>
              <w:t>ₚ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at each threat-intel event</w:t>
            </w:r>
          </w:p>
          <w:p w14:paraId="29ECC774" w14:textId="77777777" w:rsidR="00300B7E" w:rsidRDefault="00300B7E" w:rsidP="00B05EF4">
            <w:pPr>
              <w:spacing w:before="6" w:after="2"/>
            </w:pPr>
            <w:r>
              <w:rPr>
                <w:rFonts w:ascii="Arial" w:eastAsia="Arial" w:hAnsi="Arial" w:cs="Arial"/>
                <w:b/>
                <w:bCs/>
                <w:i/>
                <w:iCs/>
                <w:color w:val="8B0000"/>
                <w:sz w:val="16"/>
                <w:szCs w:val="16"/>
              </w:rPr>
              <w:t>Philosophy</w:t>
            </w:r>
          </w:p>
          <w:p w14:paraId="7BAC63AF" w14:textId="77777777" w:rsidR="00300B7E" w:rsidRDefault="00300B7E" w:rsidP="00B05EF4">
            <w:r>
              <w:rPr>
                <w:rFonts w:ascii="Arial" w:eastAsia="Arial" w:hAnsi="Arial" w:cs="Arial"/>
                <w:i/>
                <w:iCs/>
                <w:color w:val="8B0000"/>
                <w:sz w:val="17"/>
                <w:szCs w:val="17"/>
              </w:rPr>
              <w:t>Attackers fingerprint identities, not just services — persona must be a first-class solver variable with hard constraints, not a narrative add-on.</w:t>
            </w:r>
          </w:p>
        </w:tc>
      </w:tr>
    </w:tbl>
    <w:p w14:paraId="08AA0486" w14:textId="77777777" w:rsidR="00300B7E" w:rsidRDefault="00300B7E" w:rsidP="00300B7E">
      <w:pPr>
        <w:spacing w:after="200"/>
      </w:pPr>
    </w:p>
    <w:p w14:paraId="7D7C46DE" w14:textId="77777777" w:rsidR="00300B7E" w:rsidRDefault="00300B7E" w:rsidP="00300B7E">
      <w:pPr>
        <w:pStyle w:val="Heading1"/>
        <w:pBdr>
          <w:bottom w:val="single" w:sz="6" w:space="4" w:color="2E5FA3"/>
        </w:pBdr>
      </w:pPr>
      <w:r>
        <w:rPr>
          <w:rFonts w:ascii="Arial" w:eastAsia="Arial" w:hAnsi="Arial" w:cs="Arial"/>
          <w:b/>
          <w:bCs/>
          <w:color w:val="1B2A4A"/>
          <w:sz w:val="28"/>
          <w:szCs w:val="28"/>
        </w:rPr>
        <w:t>I. Complexity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29"/>
        <w:gridCol w:w="8731"/>
      </w:tblGrid>
      <w:tr w:rsidR="00300B7E" w14:paraId="45D5959C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260" w:type="dxa"/>
            <w:tcBorders>
              <w:top w:val="single" w:sz="8" w:space="0" w:color="7A4F00"/>
              <w:left w:val="single" w:sz="8" w:space="0" w:color="7A4F00"/>
              <w:bottom w:val="single" w:sz="8" w:space="0" w:color="7A4F00"/>
              <w:right w:val="single" w:sz="8" w:space="0" w:color="7A4F00"/>
            </w:tcBorders>
            <w:shd w:val="clear" w:color="auto" w:fill="7A4F0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B7A9B6" w14:textId="77777777" w:rsidR="00300B7E" w:rsidRDefault="00300B7E" w:rsidP="00B05EF4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SCALE</w:t>
            </w:r>
          </w:p>
        </w:tc>
        <w:tc>
          <w:tcPr>
            <w:tcW w:w="9100" w:type="dxa"/>
            <w:tcBorders>
              <w:top w:val="single" w:sz="8" w:space="0" w:color="7A4F00"/>
              <w:left w:val="none" w:sz="0" w:space="0" w:color="FFFFFF"/>
              <w:bottom w:val="single" w:sz="8" w:space="0" w:color="7A4F00"/>
              <w:right w:val="single" w:sz="8" w:space="0" w:color="7A4F00"/>
            </w:tcBorders>
            <w:shd w:val="clear" w:color="auto" w:fill="FFF3CD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F676B8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The primary decision space |K|·|Z|·H·|P| is independent of network size — Z is five fixed zone categories, not a per-host index. A 50-host site and a 50,000-host enterprise produce the same primary variable count.</w:t>
            </w:r>
          </w:p>
          <w:p w14:paraId="25355540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This is a deliberate design choice: the solver decides where in the zone topology to deploy, not which specific host to target. Intra-zone asset heterogeneity is captured through aggregated weights W_{j,a} and per-zone budgets B_z.</w:t>
            </w:r>
          </w:p>
          <w:p w14:paraId="0A143B04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soft-clause database DOES grow with network size: detection clauses c_{j,a,t} run over all assets a </w:t>
            </w:r>
            <w:r>
              <w:rPr>
                <w:rFonts w:ascii="Cambria Math" w:eastAsia="Arial" w:hAnsi="Cambria Math" w:cs="Cambria Math"/>
                <w:sz w:val="18"/>
                <w:szCs w:val="18"/>
              </w:rPr>
              <w:t>∈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A, giving O(|K|·|A|·|T|·H·|P|) total clauses. Per-zone decomposition contains this growth by partitioning assets into five independent sub-instances solved in parallel.</w:t>
            </w:r>
          </w:p>
          <w:p w14:paraId="4528B5DC" w14:textId="77777777" w:rsidR="00300B7E" w:rsidRDefault="00300B7E" w:rsidP="00B05EF4">
            <w:pPr>
              <w:spacing w:before="10" w:after="30"/>
            </w:pPr>
            <w:r>
              <w:rPr>
                <w:rFonts w:ascii="Arial" w:eastAsia="Arial" w:hAnsi="Arial" w:cs="Arial"/>
                <w:sz w:val="18"/>
                <w:szCs w:val="18"/>
              </w:rPr>
              <w:t>NP-hardness lives in the clause database (|A|·|T| coverage structure), not in the primary variable count — the result holds even though |K|·|Z|·H·|P| is small in practice.</w:t>
            </w:r>
          </w:p>
        </w:tc>
      </w:tr>
    </w:tbl>
    <w:p w14:paraId="2DD94F99" w14:textId="77777777" w:rsidR="00300B7E" w:rsidRDefault="00300B7E" w:rsidP="00300B7E">
      <w:pPr>
        <w:spacing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00B7E" w14:paraId="3181C105" w14:textId="77777777" w:rsidTr="00B05EF4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6" w:space="0" w:color="4A7FC1"/>
              <w:left w:val="single" w:sz="6" w:space="0" w:color="4A7FC1"/>
              <w:bottom w:val="single" w:sz="6" w:space="0" w:color="4A7FC1"/>
              <w:right w:val="single" w:sz="6" w:space="0" w:color="4A7FC1"/>
            </w:tcBorders>
            <w:shd w:val="clear" w:color="auto" w:fill="F0F4FA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4CF76D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Primary variables:  |K| · |Z| · H · |P|</w:t>
            </w:r>
          </w:p>
          <w:p w14:paraId="260E591E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XLarge (8 types, 5 zones): 40|P|H — INDEPENDENT of network size |A|.</w:t>
            </w:r>
          </w:p>
          <w:p w14:paraId="0F7D8CEC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A 50-host and a 50,000-host enterprise produce the same variable count.</w:t>
            </w:r>
          </w:p>
          <w:p w14:paraId="5E93F5FA" w14:textId="77777777" w:rsidR="00300B7E" w:rsidRDefault="00300B7E" w:rsidP="00B05EF4"/>
          <w:p w14:paraId="6D50532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Soft-clause DB:     O(|K| · |A| · |T| · H · |P|)   grows linearly with |A|.</w:t>
            </w:r>
          </w:p>
          <w:p w14:paraId="3D930F7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This is the practical scaling bottleneck at large networks.</w:t>
            </w:r>
          </w:p>
          <w:p w14:paraId="4DC5B561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Per-zone decomposition partitions |A| into 5 sub-instances</w:t>
            </w:r>
          </w:p>
          <w:p w14:paraId="34CC1FF5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solved in parallel, keeping per-core runtime tractable.</w:t>
            </w:r>
          </w:p>
          <w:p w14:paraId="15F2CC0E" w14:textId="77777777" w:rsidR="00300B7E" w:rsidRDefault="00300B7E" w:rsidP="00B05EF4"/>
          <w:p w14:paraId="1E8AE49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Worst-case solve:   O(2^{40|P|H})  — over primary variables only.</w:t>
            </w:r>
          </w:p>
          <w:p w14:paraId="517054D6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Practical hardness scales with clause database, not variable count.</w:t>
            </w:r>
          </w:p>
          <w:p w14:paraId="5D7389BB" w14:textId="77777777" w:rsidR="00300B7E" w:rsidRDefault="00300B7E" w:rsidP="00B05EF4"/>
          <w:p w14:paraId="3477ABA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RC2 empirical:      ≈30s × H × |P| per zone (XLarge, zone-decomposed).</w:t>
            </w:r>
          </w:p>
          <w:p w14:paraId="6E0185B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Warm-start Algorithm 1: &lt;5s for soft-weight updates.</w:t>
            </w:r>
          </w:p>
          <w:p w14:paraId="4B732847" w14:textId="77777777" w:rsidR="00300B7E" w:rsidRDefault="00300B7E" w:rsidP="00B05EF4"/>
          <w:p w14:paraId="1BDCF633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Backward compat:    |P|=1           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xᵢ,z,t (zone-slot formulation)</w:t>
            </w:r>
          </w:p>
          <w:p w14:paraId="06DDC42B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|P|=1, H=1,</w:t>
            </w:r>
          </w:p>
          <w:p w14:paraId="04BB5D99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τᵈ=∞, |ZKᵢ|=1   </w:t>
            </w:r>
            <w:r>
              <w:rPr>
                <w:rFonts w:ascii="Cambria Math" w:eastAsia="Courier New" w:hAnsi="Cambria Math" w:cs="Cambria Math"/>
                <w:color w:val="1B2A4A"/>
                <w:sz w:val="18"/>
                <w:szCs w:val="18"/>
              </w:rPr>
              <w:t>⇒</w:t>
            </w:r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xᵢ (original base paper)</w:t>
            </w:r>
          </w:p>
          <w:p w14:paraId="23025DFF" w14:textId="77777777" w:rsidR="00300B7E" w:rsidRDefault="00300B7E" w:rsidP="00B05EF4"/>
          <w:p w14:paraId="2CDCC7F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>NP-hardness:        Preserved via the base-paper reduction from Weighted Maximum</w:t>
            </w:r>
          </w:p>
          <w:p w14:paraId="2CEF4D42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Coverage (Theorem 1, Feige 1998). Hardness is constructed over</w:t>
            </w:r>
          </w:p>
          <w:p w14:paraId="7373953F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asset-technique coverage structure (|A|·|T| terms), not over</w:t>
            </w:r>
          </w:p>
          <w:p w14:paraId="34317B89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zone-slot-persona variable count. Setting |P|=1 recovers the</w:t>
            </w:r>
          </w:p>
          <w:p w14:paraId="695D14F4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one-zone reduction; |P|&gt;1 is strictly harder.</w:t>
            </w:r>
          </w:p>
          <w:p w14:paraId="32F9BAD8" w14:textId="77777777" w:rsidR="00300B7E" w:rsidRDefault="00300B7E" w:rsidP="00B05EF4">
            <w:r>
              <w:rPr>
                <w:rFonts w:ascii="Courier New" w:eastAsia="Courier New" w:hAnsi="Courier New" w:cs="Courier New"/>
                <w:color w:val="1B2A4A"/>
                <w:sz w:val="18"/>
                <w:szCs w:val="18"/>
              </w:rPr>
              <w:t xml:space="preserve">                    The result holds even though |K|·|Z|·H·|P| is small in practice.</w:t>
            </w:r>
          </w:p>
        </w:tc>
      </w:tr>
    </w:tbl>
    <w:p w14:paraId="59D69A68" w14:textId="77777777" w:rsidR="00300B7E" w:rsidRDefault="00300B7E" w:rsidP="00300B7E">
      <w:pPr>
        <w:spacing w:after="200"/>
      </w:pPr>
    </w:p>
    <w:p w14:paraId="18EE6D76" w14:textId="77777777" w:rsidR="00300B7E" w:rsidRDefault="00300B7E" w:rsidP="00300B7E">
      <w:pPr>
        <w:spacing w:before="60" w:after="100"/>
      </w:pPr>
    </w:p>
    <w:p w14:paraId="3DF5D32F" w14:textId="77777777" w:rsidR="00E47418" w:rsidRPr="00300B7E" w:rsidRDefault="00E47418" w:rsidP="00300B7E"/>
    <w:sectPr w:rsidR="00E47418" w:rsidRPr="00300B7E" w:rsidSect="00300B7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8E16B5" w14:textId="77777777" w:rsidR="00185293" w:rsidRDefault="00185293" w:rsidP="005B60DE">
      <w:r>
        <w:separator/>
      </w:r>
    </w:p>
  </w:endnote>
  <w:endnote w:type="continuationSeparator" w:id="0">
    <w:p w14:paraId="7AE4E2F2" w14:textId="77777777" w:rsidR="00185293" w:rsidRDefault="00185293" w:rsidP="005B60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FDF67F" w14:textId="77777777" w:rsidR="00185293" w:rsidRDefault="00185293" w:rsidP="005B60DE">
      <w:r>
        <w:separator/>
      </w:r>
    </w:p>
  </w:footnote>
  <w:footnote w:type="continuationSeparator" w:id="0">
    <w:p w14:paraId="409C8BC4" w14:textId="77777777" w:rsidR="00185293" w:rsidRDefault="00185293" w:rsidP="005B60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2563"/>
    <w:multiLevelType w:val="multilevel"/>
    <w:tmpl w:val="DB004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865403"/>
    <w:multiLevelType w:val="hybridMultilevel"/>
    <w:tmpl w:val="82348972"/>
    <w:lvl w:ilvl="0" w:tplc="178007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B4DC1"/>
    <w:multiLevelType w:val="multilevel"/>
    <w:tmpl w:val="4B08E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150749"/>
    <w:multiLevelType w:val="hybridMultilevel"/>
    <w:tmpl w:val="4B00AF08"/>
    <w:lvl w:ilvl="0" w:tplc="735643F0">
      <w:start w:val="1"/>
      <w:numFmt w:val="bullet"/>
      <w:lvlText w:val="•"/>
      <w:lvlJc w:val="left"/>
      <w:pPr>
        <w:ind w:left="480" w:hanging="260"/>
      </w:pPr>
      <w:rPr>
        <w:rFonts w:ascii="Arial" w:eastAsia="Arial" w:hAnsi="Arial" w:cs="Arial"/>
        <w:sz w:val="20"/>
        <w:szCs w:val="20"/>
      </w:rPr>
    </w:lvl>
    <w:lvl w:ilvl="1" w:tplc="98FEF408">
      <w:numFmt w:val="decimal"/>
      <w:lvlText w:val=""/>
      <w:lvlJc w:val="left"/>
    </w:lvl>
    <w:lvl w:ilvl="2" w:tplc="861AF1C4">
      <w:numFmt w:val="decimal"/>
      <w:lvlText w:val=""/>
      <w:lvlJc w:val="left"/>
    </w:lvl>
    <w:lvl w:ilvl="3" w:tplc="71649868">
      <w:numFmt w:val="decimal"/>
      <w:lvlText w:val=""/>
      <w:lvlJc w:val="left"/>
    </w:lvl>
    <w:lvl w:ilvl="4" w:tplc="3C5270E8">
      <w:numFmt w:val="decimal"/>
      <w:lvlText w:val=""/>
      <w:lvlJc w:val="left"/>
    </w:lvl>
    <w:lvl w:ilvl="5" w:tplc="0F42CC94">
      <w:numFmt w:val="decimal"/>
      <w:lvlText w:val=""/>
      <w:lvlJc w:val="left"/>
    </w:lvl>
    <w:lvl w:ilvl="6" w:tplc="CD2EDF46">
      <w:numFmt w:val="decimal"/>
      <w:lvlText w:val=""/>
      <w:lvlJc w:val="left"/>
    </w:lvl>
    <w:lvl w:ilvl="7" w:tplc="0A34AA08">
      <w:numFmt w:val="decimal"/>
      <w:lvlText w:val=""/>
      <w:lvlJc w:val="left"/>
    </w:lvl>
    <w:lvl w:ilvl="8" w:tplc="97E84BA0">
      <w:numFmt w:val="decimal"/>
      <w:lvlText w:val=""/>
      <w:lvlJc w:val="left"/>
    </w:lvl>
  </w:abstractNum>
  <w:abstractNum w:abstractNumId="4" w15:restartNumberingAfterBreak="0">
    <w:nsid w:val="3A5D4018"/>
    <w:multiLevelType w:val="multilevel"/>
    <w:tmpl w:val="21507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1BF4C0F"/>
    <w:multiLevelType w:val="hybridMultilevel"/>
    <w:tmpl w:val="F1F4B46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2275B0D"/>
    <w:multiLevelType w:val="multilevel"/>
    <w:tmpl w:val="8212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8E67A0F"/>
    <w:multiLevelType w:val="multilevel"/>
    <w:tmpl w:val="E0F0E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BE2DCD"/>
    <w:multiLevelType w:val="hybridMultilevel"/>
    <w:tmpl w:val="822A18EE"/>
    <w:lvl w:ilvl="0" w:tplc="EC8681C4">
      <w:start w:val="1"/>
      <w:numFmt w:val="bullet"/>
      <w:lvlText w:val="●"/>
      <w:lvlJc w:val="left"/>
      <w:pPr>
        <w:ind w:left="720" w:hanging="360"/>
      </w:pPr>
    </w:lvl>
    <w:lvl w:ilvl="1" w:tplc="B18E39AC">
      <w:start w:val="1"/>
      <w:numFmt w:val="bullet"/>
      <w:lvlText w:val="○"/>
      <w:lvlJc w:val="left"/>
      <w:pPr>
        <w:ind w:left="1440" w:hanging="360"/>
      </w:pPr>
    </w:lvl>
    <w:lvl w:ilvl="2" w:tplc="D4BA6326">
      <w:start w:val="1"/>
      <w:numFmt w:val="bullet"/>
      <w:lvlText w:val="■"/>
      <w:lvlJc w:val="left"/>
      <w:pPr>
        <w:ind w:left="2160" w:hanging="360"/>
      </w:pPr>
    </w:lvl>
    <w:lvl w:ilvl="3" w:tplc="39A861CE">
      <w:start w:val="1"/>
      <w:numFmt w:val="bullet"/>
      <w:lvlText w:val="●"/>
      <w:lvlJc w:val="left"/>
      <w:pPr>
        <w:ind w:left="2880" w:hanging="360"/>
      </w:pPr>
    </w:lvl>
    <w:lvl w:ilvl="4" w:tplc="B532DE4A">
      <w:start w:val="1"/>
      <w:numFmt w:val="bullet"/>
      <w:lvlText w:val="○"/>
      <w:lvlJc w:val="left"/>
      <w:pPr>
        <w:ind w:left="3600" w:hanging="360"/>
      </w:pPr>
    </w:lvl>
    <w:lvl w:ilvl="5" w:tplc="77AECD04">
      <w:start w:val="1"/>
      <w:numFmt w:val="bullet"/>
      <w:lvlText w:val="■"/>
      <w:lvlJc w:val="left"/>
      <w:pPr>
        <w:ind w:left="4320" w:hanging="360"/>
      </w:pPr>
    </w:lvl>
    <w:lvl w:ilvl="6" w:tplc="91366382">
      <w:start w:val="1"/>
      <w:numFmt w:val="bullet"/>
      <w:lvlText w:val="●"/>
      <w:lvlJc w:val="left"/>
      <w:pPr>
        <w:ind w:left="5040" w:hanging="360"/>
      </w:pPr>
    </w:lvl>
    <w:lvl w:ilvl="7" w:tplc="D834C686">
      <w:start w:val="1"/>
      <w:numFmt w:val="bullet"/>
      <w:lvlText w:val="●"/>
      <w:lvlJc w:val="left"/>
      <w:pPr>
        <w:ind w:left="5760" w:hanging="360"/>
      </w:pPr>
    </w:lvl>
    <w:lvl w:ilvl="8" w:tplc="798EDC6E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7D6269D4"/>
    <w:multiLevelType w:val="multilevel"/>
    <w:tmpl w:val="78A6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6546684">
    <w:abstractNumId w:val="6"/>
  </w:num>
  <w:num w:numId="2" w16cid:durableId="232357009">
    <w:abstractNumId w:val="7"/>
  </w:num>
  <w:num w:numId="3" w16cid:durableId="768549773">
    <w:abstractNumId w:val="8"/>
    <w:lvlOverride w:ilvl="0">
      <w:startOverride w:val="1"/>
    </w:lvlOverride>
  </w:num>
  <w:num w:numId="4" w16cid:durableId="1068069234">
    <w:abstractNumId w:val="2"/>
  </w:num>
  <w:num w:numId="5" w16cid:durableId="353658863">
    <w:abstractNumId w:val="5"/>
  </w:num>
  <w:num w:numId="6" w16cid:durableId="388845219">
    <w:abstractNumId w:val="1"/>
  </w:num>
  <w:num w:numId="7" w16cid:durableId="735204045">
    <w:abstractNumId w:val="0"/>
  </w:num>
  <w:num w:numId="8" w16cid:durableId="1732147701">
    <w:abstractNumId w:val="4"/>
  </w:num>
  <w:num w:numId="9" w16cid:durableId="1973367779">
    <w:abstractNumId w:val="9"/>
  </w:num>
  <w:num w:numId="10" w16cid:durableId="2499669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FBD"/>
    <w:rsid w:val="00001870"/>
    <w:rsid w:val="0001488F"/>
    <w:rsid w:val="000263A6"/>
    <w:rsid w:val="0002640E"/>
    <w:rsid w:val="00034111"/>
    <w:rsid w:val="000402B5"/>
    <w:rsid w:val="00052F7F"/>
    <w:rsid w:val="000626AF"/>
    <w:rsid w:val="00066199"/>
    <w:rsid w:val="000673DC"/>
    <w:rsid w:val="00072CFC"/>
    <w:rsid w:val="00094891"/>
    <w:rsid w:val="000A1328"/>
    <w:rsid w:val="000C25CD"/>
    <w:rsid w:val="000E3455"/>
    <w:rsid w:val="00110CD8"/>
    <w:rsid w:val="00120F31"/>
    <w:rsid w:val="001377AF"/>
    <w:rsid w:val="0015404C"/>
    <w:rsid w:val="00161886"/>
    <w:rsid w:val="00185293"/>
    <w:rsid w:val="0018555B"/>
    <w:rsid w:val="0019112D"/>
    <w:rsid w:val="001B0FCC"/>
    <w:rsid w:val="001B3886"/>
    <w:rsid w:val="001C676F"/>
    <w:rsid w:val="001D7559"/>
    <w:rsid w:val="001E3DFF"/>
    <w:rsid w:val="001F505C"/>
    <w:rsid w:val="00216037"/>
    <w:rsid w:val="00227978"/>
    <w:rsid w:val="00231794"/>
    <w:rsid w:val="00254A26"/>
    <w:rsid w:val="00257DA7"/>
    <w:rsid w:val="0027385D"/>
    <w:rsid w:val="00276C54"/>
    <w:rsid w:val="00283F4B"/>
    <w:rsid w:val="00290D67"/>
    <w:rsid w:val="002B05CC"/>
    <w:rsid w:val="002B0FBC"/>
    <w:rsid w:val="002D1256"/>
    <w:rsid w:val="002E1FBD"/>
    <w:rsid w:val="002E48F2"/>
    <w:rsid w:val="002E5B06"/>
    <w:rsid w:val="002F2403"/>
    <w:rsid w:val="00300B7E"/>
    <w:rsid w:val="0030215D"/>
    <w:rsid w:val="00317D7A"/>
    <w:rsid w:val="00323C71"/>
    <w:rsid w:val="0033584B"/>
    <w:rsid w:val="00335CA9"/>
    <w:rsid w:val="003441BE"/>
    <w:rsid w:val="003451AA"/>
    <w:rsid w:val="00394655"/>
    <w:rsid w:val="003B08F7"/>
    <w:rsid w:val="003C0EEB"/>
    <w:rsid w:val="003C3691"/>
    <w:rsid w:val="003C36F7"/>
    <w:rsid w:val="003F34E4"/>
    <w:rsid w:val="003F3CB6"/>
    <w:rsid w:val="0040555A"/>
    <w:rsid w:val="0041319A"/>
    <w:rsid w:val="00414EA1"/>
    <w:rsid w:val="0042257E"/>
    <w:rsid w:val="00436ECF"/>
    <w:rsid w:val="00457487"/>
    <w:rsid w:val="004706D0"/>
    <w:rsid w:val="00476033"/>
    <w:rsid w:val="00490740"/>
    <w:rsid w:val="00494849"/>
    <w:rsid w:val="004C7E63"/>
    <w:rsid w:val="004D4391"/>
    <w:rsid w:val="004F2C9F"/>
    <w:rsid w:val="004F5277"/>
    <w:rsid w:val="005046E9"/>
    <w:rsid w:val="005108A6"/>
    <w:rsid w:val="0052103B"/>
    <w:rsid w:val="005258E3"/>
    <w:rsid w:val="00536D11"/>
    <w:rsid w:val="00547957"/>
    <w:rsid w:val="005730EE"/>
    <w:rsid w:val="005B493B"/>
    <w:rsid w:val="005B60DE"/>
    <w:rsid w:val="005C4D27"/>
    <w:rsid w:val="005C6456"/>
    <w:rsid w:val="005D30C0"/>
    <w:rsid w:val="005E35F4"/>
    <w:rsid w:val="005F4DFC"/>
    <w:rsid w:val="005F5091"/>
    <w:rsid w:val="00612D7C"/>
    <w:rsid w:val="00627A6F"/>
    <w:rsid w:val="00635CF7"/>
    <w:rsid w:val="00636588"/>
    <w:rsid w:val="00652BF2"/>
    <w:rsid w:val="00654F35"/>
    <w:rsid w:val="00661D43"/>
    <w:rsid w:val="00676522"/>
    <w:rsid w:val="00687D14"/>
    <w:rsid w:val="006A6093"/>
    <w:rsid w:val="006B2336"/>
    <w:rsid w:val="006B26C6"/>
    <w:rsid w:val="006C214C"/>
    <w:rsid w:val="006F0952"/>
    <w:rsid w:val="006F39AF"/>
    <w:rsid w:val="006F49ED"/>
    <w:rsid w:val="006F646F"/>
    <w:rsid w:val="0070014D"/>
    <w:rsid w:val="00704B8F"/>
    <w:rsid w:val="007071BE"/>
    <w:rsid w:val="00713644"/>
    <w:rsid w:val="007149E9"/>
    <w:rsid w:val="007450E4"/>
    <w:rsid w:val="007766DA"/>
    <w:rsid w:val="00783FAF"/>
    <w:rsid w:val="00785DAD"/>
    <w:rsid w:val="007967CA"/>
    <w:rsid w:val="007A67EA"/>
    <w:rsid w:val="007B4C85"/>
    <w:rsid w:val="007C030D"/>
    <w:rsid w:val="007C07FA"/>
    <w:rsid w:val="007E36B7"/>
    <w:rsid w:val="007F71FE"/>
    <w:rsid w:val="00800385"/>
    <w:rsid w:val="0082004E"/>
    <w:rsid w:val="00823E2B"/>
    <w:rsid w:val="0084287D"/>
    <w:rsid w:val="00843662"/>
    <w:rsid w:val="008A31AC"/>
    <w:rsid w:val="008C597F"/>
    <w:rsid w:val="008D5B76"/>
    <w:rsid w:val="00906EAC"/>
    <w:rsid w:val="00915D6D"/>
    <w:rsid w:val="00983746"/>
    <w:rsid w:val="00986DD7"/>
    <w:rsid w:val="009A5752"/>
    <w:rsid w:val="009C1A13"/>
    <w:rsid w:val="009E361E"/>
    <w:rsid w:val="009E38A9"/>
    <w:rsid w:val="00A11679"/>
    <w:rsid w:val="00A200D7"/>
    <w:rsid w:val="00A25FD4"/>
    <w:rsid w:val="00A35C44"/>
    <w:rsid w:val="00A42169"/>
    <w:rsid w:val="00A50640"/>
    <w:rsid w:val="00A6715C"/>
    <w:rsid w:val="00A72DFC"/>
    <w:rsid w:val="00A74423"/>
    <w:rsid w:val="00A77DD8"/>
    <w:rsid w:val="00AC2EC5"/>
    <w:rsid w:val="00AD1777"/>
    <w:rsid w:val="00AD23E1"/>
    <w:rsid w:val="00AE2101"/>
    <w:rsid w:val="00AF0C1B"/>
    <w:rsid w:val="00AF64ED"/>
    <w:rsid w:val="00B117FD"/>
    <w:rsid w:val="00B234A5"/>
    <w:rsid w:val="00B24641"/>
    <w:rsid w:val="00B25ECE"/>
    <w:rsid w:val="00B42C91"/>
    <w:rsid w:val="00B610BB"/>
    <w:rsid w:val="00B90B65"/>
    <w:rsid w:val="00B97C8D"/>
    <w:rsid w:val="00BC56A7"/>
    <w:rsid w:val="00BD21A1"/>
    <w:rsid w:val="00BD37D4"/>
    <w:rsid w:val="00C00F62"/>
    <w:rsid w:val="00C10082"/>
    <w:rsid w:val="00C1150D"/>
    <w:rsid w:val="00C13CE3"/>
    <w:rsid w:val="00C42EC3"/>
    <w:rsid w:val="00C5574B"/>
    <w:rsid w:val="00C90DCB"/>
    <w:rsid w:val="00CA1388"/>
    <w:rsid w:val="00CB0E68"/>
    <w:rsid w:val="00CD21B2"/>
    <w:rsid w:val="00CE5D93"/>
    <w:rsid w:val="00D00AC5"/>
    <w:rsid w:val="00D0395C"/>
    <w:rsid w:val="00D05A03"/>
    <w:rsid w:val="00D14F76"/>
    <w:rsid w:val="00D16176"/>
    <w:rsid w:val="00D2592C"/>
    <w:rsid w:val="00D41092"/>
    <w:rsid w:val="00D72C12"/>
    <w:rsid w:val="00D9506B"/>
    <w:rsid w:val="00DA42EC"/>
    <w:rsid w:val="00DB58A6"/>
    <w:rsid w:val="00DC0B7D"/>
    <w:rsid w:val="00DC5147"/>
    <w:rsid w:val="00DD5251"/>
    <w:rsid w:val="00E0438C"/>
    <w:rsid w:val="00E0632A"/>
    <w:rsid w:val="00E06364"/>
    <w:rsid w:val="00E117DB"/>
    <w:rsid w:val="00E437CF"/>
    <w:rsid w:val="00E47418"/>
    <w:rsid w:val="00E75A08"/>
    <w:rsid w:val="00EC1D49"/>
    <w:rsid w:val="00EC6EE3"/>
    <w:rsid w:val="00ED30F7"/>
    <w:rsid w:val="00EE1B35"/>
    <w:rsid w:val="00F77826"/>
    <w:rsid w:val="00F94469"/>
    <w:rsid w:val="00FA2AB8"/>
    <w:rsid w:val="00FA61D0"/>
    <w:rsid w:val="00FC572A"/>
    <w:rsid w:val="00FD49E2"/>
    <w:rsid w:val="00FD71CA"/>
    <w:rsid w:val="00FE06D8"/>
    <w:rsid w:val="00FE2288"/>
    <w:rsid w:val="00FF4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EAE8E"/>
  <w15:chartTrackingRefBased/>
  <w15:docId w15:val="{CDBE340E-61EF-E744-BBB1-36D8E5329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00D7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E1FB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1FB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E1FBD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E1FBD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1FBD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1FBD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1FBD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1FBD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1FBD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1F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E1F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E1F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1F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1F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1F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1F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1F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1FB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E1F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1FBD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E1F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1FBD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E1FBD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2E1FBD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E1F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1F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1F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1FBD"/>
    <w:rPr>
      <w:b/>
      <w:bCs/>
      <w:smallCaps/>
      <w:color w:val="0F4761" w:themeColor="accent1" w:themeShade="BF"/>
      <w:spacing w:val="5"/>
    </w:rPr>
  </w:style>
  <w:style w:type="character" w:customStyle="1" w:styleId="sym">
    <w:name w:val="sym"/>
    <w:basedOn w:val="DefaultParagraphFont"/>
    <w:rsid w:val="00654F35"/>
  </w:style>
  <w:style w:type="character" w:customStyle="1" w:styleId="meaning">
    <w:name w:val="meaning"/>
    <w:basedOn w:val="DefaultParagraphFont"/>
    <w:rsid w:val="00654F35"/>
  </w:style>
  <w:style w:type="character" w:styleId="Strong">
    <w:name w:val="Strong"/>
    <w:basedOn w:val="DefaultParagraphFont"/>
    <w:uiPriority w:val="22"/>
    <w:qFormat/>
    <w:rsid w:val="00654F35"/>
    <w:rPr>
      <w:b/>
      <w:bCs/>
    </w:rPr>
  </w:style>
  <w:style w:type="character" w:customStyle="1" w:styleId="comment">
    <w:name w:val="comment"/>
    <w:basedOn w:val="DefaultParagraphFont"/>
    <w:rsid w:val="00654F35"/>
  </w:style>
  <w:style w:type="paragraph" w:styleId="NormalWeb">
    <w:name w:val="Normal (Web)"/>
    <w:basedOn w:val="Normal"/>
    <w:uiPriority w:val="99"/>
    <w:semiHidden/>
    <w:unhideWhenUsed/>
    <w:rsid w:val="00654F35"/>
    <w:pPr>
      <w:spacing w:before="100" w:beforeAutospacing="1" w:after="100" w:afterAutospacing="1"/>
    </w:pPr>
  </w:style>
  <w:style w:type="character" w:customStyle="1" w:styleId="chain-node">
    <w:name w:val="chain-node"/>
    <w:basedOn w:val="DefaultParagraphFont"/>
    <w:rsid w:val="00654F35"/>
  </w:style>
  <w:style w:type="character" w:customStyle="1" w:styleId="chain-arrow">
    <w:name w:val="chain-arrow"/>
    <w:basedOn w:val="DefaultParagraphFont"/>
    <w:rsid w:val="00654F35"/>
  </w:style>
  <w:style w:type="character" w:customStyle="1" w:styleId="w-pill">
    <w:name w:val="w-pill"/>
    <w:basedOn w:val="DefaultParagraphFont"/>
    <w:rsid w:val="00654F35"/>
  </w:style>
  <w:style w:type="character" w:customStyle="1" w:styleId="wval">
    <w:name w:val="wval"/>
    <w:basedOn w:val="DefaultParagraphFont"/>
    <w:rsid w:val="00654F35"/>
  </w:style>
  <w:style w:type="character" w:customStyle="1" w:styleId="badge">
    <w:name w:val="badge"/>
    <w:basedOn w:val="DefaultParagraphFont"/>
    <w:rsid w:val="00654F35"/>
  </w:style>
  <w:style w:type="character" w:customStyle="1" w:styleId="step">
    <w:name w:val="step"/>
    <w:basedOn w:val="DefaultParagraphFont"/>
    <w:rsid w:val="00654F35"/>
  </w:style>
  <w:style w:type="character" w:customStyle="1" w:styleId="kk">
    <w:name w:val="kk"/>
    <w:basedOn w:val="DefaultParagraphFont"/>
    <w:rsid w:val="00E117DB"/>
  </w:style>
  <w:style w:type="character" w:customStyle="1" w:styleId="vv">
    <w:name w:val="vv"/>
    <w:basedOn w:val="DefaultParagraphFont"/>
    <w:rsid w:val="00E117DB"/>
  </w:style>
  <w:style w:type="character" w:customStyle="1" w:styleId="mono">
    <w:name w:val="mono"/>
    <w:basedOn w:val="DefaultParagraphFont"/>
    <w:rsid w:val="00E117DB"/>
  </w:style>
  <w:style w:type="character" w:customStyle="1" w:styleId="cm">
    <w:name w:val="cm"/>
    <w:basedOn w:val="DefaultParagraphFont"/>
    <w:rsid w:val="00E117DB"/>
  </w:style>
  <w:style w:type="character" w:customStyle="1" w:styleId="lbl">
    <w:name w:val="lbl"/>
    <w:basedOn w:val="DefaultParagraphFont"/>
    <w:rsid w:val="00E117DB"/>
  </w:style>
  <w:style w:type="paragraph" w:customStyle="1" w:styleId="msonormal0">
    <w:name w:val="msonormal"/>
    <w:basedOn w:val="Normal"/>
    <w:rsid w:val="007967CA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967CA"/>
    <w:pPr>
      <w:spacing w:before="100" w:beforeAutospacing="1" w:after="100" w:afterAutospacing="1"/>
    </w:pPr>
  </w:style>
  <w:style w:type="character" w:customStyle="1" w:styleId="katex-display">
    <w:name w:val="katex-display"/>
    <w:basedOn w:val="DefaultParagraphFont"/>
    <w:rsid w:val="007967CA"/>
  </w:style>
  <w:style w:type="character" w:customStyle="1" w:styleId="katex">
    <w:name w:val="katex"/>
    <w:basedOn w:val="DefaultParagraphFont"/>
    <w:rsid w:val="007967CA"/>
  </w:style>
  <w:style w:type="character" w:customStyle="1" w:styleId="katex-mathml">
    <w:name w:val="katex-mathml"/>
    <w:basedOn w:val="DefaultParagraphFont"/>
    <w:rsid w:val="007967CA"/>
  </w:style>
  <w:style w:type="character" w:customStyle="1" w:styleId="katex-html">
    <w:name w:val="katex-html"/>
    <w:basedOn w:val="DefaultParagraphFont"/>
    <w:rsid w:val="007967CA"/>
  </w:style>
  <w:style w:type="character" w:customStyle="1" w:styleId="base">
    <w:name w:val="base"/>
    <w:basedOn w:val="DefaultParagraphFont"/>
    <w:rsid w:val="007967CA"/>
  </w:style>
  <w:style w:type="character" w:customStyle="1" w:styleId="strut">
    <w:name w:val="strut"/>
    <w:basedOn w:val="DefaultParagraphFont"/>
    <w:rsid w:val="007967CA"/>
  </w:style>
  <w:style w:type="character" w:customStyle="1" w:styleId="mord">
    <w:name w:val="mord"/>
    <w:basedOn w:val="DefaultParagraphFont"/>
    <w:rsid w:val="007967CA"/>
  </w:style>
  <w:style w:type="character" w:customStyle="1" w:styleId="msupsub">
    <w:name w:val="msupsub"/>
    <w:basedOn w:val="DefaultParagraphFont"/>
    <w:rsid w:val="007967CA"/>
  </w:style>
  <w:style w:type="character" w:customStyle="1" w:styleId="vlist-t">
    <w:name w:val="vlist-t"/>
    <w:basedOn w:val="DefaultParagraphFont"/>
    <w:rsid w:val="007967CA"/>
  </w:style>
  <w:style w:type="character" w:customStyle="1" w:styleId="vlist-r">
    <w:name w:val="vlist-r"/>
    <w:basedOn w:val="DefaultParagraphFont"/>
    <w:rsid w:val="007967CA"/>
  </w:style>
  <w:style w:type="character" w:customStyle="1" w:styleId="vlist">
    <w:name w:val="vlist"/>
    <w:basedOn w:val="DefaultParagraphFont"/>
    <w:rsid w:val="007967CA"/>
  </w:style>
  <w:style w:type="character" w:customStyle="1" w:styleId="pstrut">
    <w:name w:val="pstrut"/>
    <w:basedOn w:val="DefaultParagraphFont"/>
    <w:rsid w:val="007967CA"/>
  </w:style>
  <w:style w:type="character" w:customStyle="1" w:styleId="sizing">
    <w:name w:val="sizing"/>
    <w:basedOn w:val="DefaultParagraphFont"/>
    <w:rsid w:val="007967CA"/>
  </w:style>
  <w:style w:type="character" w:customStyle="1" w:styleId="mbin">
    <w:name w:val="mbin"/>
    <w:basedOn w:val="DefaultParagraphFont"/>
    <w:rsid w:val="007967CA"/>
  </w:style>
  <w:style w:type="character" w:customStyle="1" w:styleId="mspace">
    <w:name w:val="mspace"/>
    <w:basedOn w:val="DefaultParagraphFont"/>
    <w:rsid w:val="007967CA"/>
  </w:style>
  <w:style w:type="character" w:customStyle="1" w:styleId="mrel">
    <w:name w:val="mrel"/>
    <w:basedOn w:val="DefaultParagraphFont"/>
    <w:rsid w:val="007967CA"/>
  </w:style>
  <w:style w:type="character" w:customStyle="1" w:styleId="mopen">
    <w:name w:val="mopen"/>
    <w:basedOn w:val="DefaultParagraphFont"/>
    <w:rsid w:val="007967CA"/>
  </w:style>
  <w:style w:type="character" w:customStyle="1" w:styleId="mpunct">
    <w:name w:val="mpunct"/>
    <w:basedOn w:val="DefaultParagraphFont"/>
    <w:rsid w:val="007967CA"/>
  </w:style>
  <w:style w:type="character" w:customStyle="1" w:styleId="vlist-s">
    <w:name w:val="vlist-s"/>
    <w:basedOn w:val="DefaultParagraphFont"/>
    <w:rsid w:val="007967CA"/>
  </w:style>
  <w:style w:type="character" w:customStyle="1" w:styleId="mclose">
    <w:name w:val="mclose"/>
    <w:basedOn w:val="DefaultParagraphFont"/>
    <w:rsid w:val="007967CA"/>
  </w:style>
  <w:style w:type="character" w:customStyle="1" w:styleId="minner">
    <w:name w:val="minner"/>
    <w:basedOn w:val="DefaultParagraphFont"/>
    <w:rsid w:val="007967CA"/>
  </w:style>
  <w:style w:type="character" w:styleId="HTMLCode">
    <w:name w:val="HTML Code"/>
    <w:basedOn w:val="DefaultParagraphFont"/>
    <w:uiPriority w:val="99"/>
    <w:semiHidden/>
    <w:unhideWhenUsed/>
    <w:rsid w:val="007967CA"/>
    <w:rPr>
      <w:rFonts w:ascii="Courier New" w:eastAsia="Times New Roman" w:hAnsi="Courier New" w:cs="Courier New"/>
      <w:sz w:val="20"/>
      <w:szCs w:val="20"/>
    </w:rPr>
  </w:style>
  <w:style w:type="character" w:customStyle="1" w:styleId="svg-align">
    <w:name w:val="svg-align"/>
    <w:basedOn w:val="DefaultParagraphFont"/>
    <w:rsid w:val="007967CA"/>
  </w:style>
  <w:style w:type="character" w:customStyle="1" w:styleId="accent-body">
    <w:name w:val="accent-body"/>
    <w:basedOn w:val="DefaultParagraphFont"/>
    <w:rsid w:val="007967CA"/>
  </w:style>
  <w:style w:type="character" w:customStyle="1" w:styleId="mfrac">
    <w:name w:val="mfrac"/>
    <w:basedOn w:val="DefaultParagraphFont"/>
    <w:rsid w:val="007967CA"/>
  </w:style>
  <w:style w:type="character" w:customStyle="1" w:styleId="frac-line">
    <w:name w:val="frac-line"/>
    <w:basedOn w:val="DefaultParagraphFont"/>
    <w:rsid w:val="007967CA"/>
  </w:style>
  <w:style w:type="character" w:customStyle="1" w:styleId="tag">
    <w:name w:val="tag"/>
    <w:basedOn w:val="DefaultParagraphFont"/>
    <w:rsid w:val="007967CA"/>
  </w:style>
  <w:style w:type="character" w:customStyle="1" w:styleId="stretchy">
    <w:name w:val="stretchy"/>
    <w:basedOn w:val="DefaultParagraphFont"/>
    <w:rsid w:val="007967CA"/>
  </w:style>
  <w:style w:type="character" w:customStyle="1" w:styleId="brace-left">
    <w:name w:val="brace-left"/>
    <w:basedOn w:val="DefaultParagraphFont"/>
    <w:rsid w:val="007967CA"/>
  </w:style>
  <w:style w:type="character" w:customStyle="1" w:styleId="brace-center">
    <w:name w:val="brace-center"/>
    <w:basedOn w:val="DefaultParagraphFont"/>
    <w:rsid w:val="007967CA"/>
  </w:style>
  <w:style w:type="character" w:customStyle="1" w:styleId="brace-right">
    <w:name w:val="brace-right"/>
    <w:basedOn w:val="DefaultParagraphFont"/>
    <w:rsid w:val="007967CA"/>
  </w:style>
  <w:style w:type="character" w:customStyle="1" w:styleId="mop">
    <w:name w:val="mop"/>
    <w:basedOn w:val="DefaultParagraphFont"/>
    <w:rsid w:val="007967CA"/>
  </w:style>
  <w:style w:type="character" w:styleId="Emphasis">
    <w:name w:val="Emphasis"/>
    <w:basedOn w:val="DefaultParagraphFont"/>
    <w:uiPriority w:val="20"/>
    <w:qFormat/>
    <w:rsid w:val="007967CA"/>
    <w:rPr>
      <w:i/>
      <w:iCs/>
    </w:rPr>
  </w:style>
  <w:style w:type="paragraph" w:customStyle="1" w:styleId="Strong1">
    <w:name w:val="Strong1"/>
    <w:qFormat/>
    <w:rsid w:val="000C25CD"/>
    <w:pPr>
      <w:spacing w:after="0" w:line="240" w:lineRule="auto"/>
    </w:pPr>
    <w:rPr>
      <w:rFonts w:ascii="Calibri" w:eastAsia="Calibri" w:hAnsi="Calibri" w:cs="Calibri"/>
      <w:b/>
      <w:bCs/>
      <w:kern w:val="0"/>
      <w:sz w:val="20"/>
      <w:szCs w:val="20"/>
      <w14:ligatures w14:val="none"/>
    </w:rPr>
  </w:style>
  <w:style w:type="character" w:styleId="Hyperlink">
    <w:name w:val="Hyperlink"/>
    <w:uiPriority w:val="99"/>
    <w:unhideWhenUsed/>
    <w:rsid w:val="000C25CD"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sid w:val="000C25CD"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uiPriority w:val="99"/>
    <w:semiHidden/>
    <w:unhideWhenUsed/>
    <w:rsid w:val="000C25CD"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sid w:val="000C25CD"/>
    <w:pPr>
      <w:spacing w:after="0" w:line="240" w:lineRule="auto"/>
    </w:pPr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0C25CD"/>
    <w:rPr>
      <w:rFonts w:ascii="Calibri" w:eastAsia="Calibri" w:hAnsi="Calibri" w:cs="Calibri"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B60D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B60DE"/>
    <w:rPr>
      <w:rFonts w:ascii="Times New Roman" w:eastAsia="Times New Roman" w:hAnsi="Times New Roman" w:cs="Times New Roman"/>
      <w:kern w:val="0"/>
      <w:sz w:val="22"/>
      <w:szCs w:val="22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6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6D11"/>
    <w:rPr>
      <w:rFonts w:ascii="Courier New" w:eastAsia="Times New Roman" w:hAnsi="Courier New" w:cs="Courier New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12</Pages>
  <Words>4262</Words>
  <Characters>22934</Characters>
  <Application>Microsoft Office Word</Application>
  <DocSecurity>0</DocSecurity>
  <Lines>694</Lines>
  <Paragraphs>522</Paragraphs>
  <ScaleCrop>false</ScaleCrop>
  <Company/>
  <LinksUpToDate>false</LinksUpToDate>
  <CharactersWithSpaces>26674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65</cp:revision>
  <dcterms:created xsi:type="dcterms:W3CDTF">2026-06-04T23:59:00Z</dcterms:created>
  <dcterms:modified xsi:type="dcterms:W3CDTF">2026-06-05T01:16:00Z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2026-05-16T20:19:47Z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fdaffb0d-a2ae-4b8c-a69e-6879ed07193c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</Properties>
</file>