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120"/>
        <w:jc w:val="center"/>
      </w:pPr>
      <w:r>
        <w:rPr>
          <w:rFonts w:ascii="Times New Roman" w:hAnsi="Times New Roman" w:eastAsia="Times New Roman" w:cs="Times New Roman"/>
          <w:b w:val="0"/>
          <w:i w:val="0"/>
          <w:sz w:val="28"/>
        </w:rPr>
        <w:t>ĐẠI HỌC ĐÀ NẴNG</w:t>
      </w:r>
    </w:p>
    <w:p>
      <w:pPr>
        <w:spacing w:line="276" w:lineRule="auto" w:after="0" w:before="0"/>
        <w:jc w:val="center"/>
      </w:pPr>
      <w:r>
        <w:rPr>
          <w:rFonts w:ascii="Times New Roman" w:hAnsi="Times New Roman" w:eastAsia="Times New Roman" w:cs="Times New Roman"/>
          <w:b/>
          <w:i w:val="0"/>
          <w:sz w:val="28"/>
        </w:rPr>
        <w:t>TRƯỜNG ĐẠI HỌC KINH TẾ</w:t>
      </w:r>
    </w:p>
    <w:p>
      <w:pPr>
        <w:spacing w:line="276" w:lineRule="auto" w:after="0" w:before="0"/>
        <w:jc w:val="center"/>
      </w:pPr>
      <w:r>
        <w:rPr>
          <w:rFonts w:ascii="Times New Roman" w:hAnsi="Times New Roman" w:eastAsia="Times New Roman" w:cs="Times New Roman"/>
          <w:b/>
          <w:i w:val="0"/>
          <w:sz w:val="28"/>
        </w:rPr>
        <w:t>KHOA TÀI CHÍNH</w:t>
      </w:r>
    </w:p>
    <w:p>
      <w:pPr>
        <w:spacing w:line="276" w:lineRule="auto" w:after="1200" w:before="0"/>
        <w:jc w:val="center"/>
      </w:pPr>
      <w:r>
        <w:rPr>
          <w:rFonts w:ascii="Times New Roman" w:hAnsi="Times New Roman" w:eastAsia="Times New Roman" w:cs="Times New Roman"/>
          <w:b w:val="0"/>
          <w:i w:val="0"/>
          <w:sz w:val="24"/>
        </w:rPr>
        <w:t>----------✦✦✦----------</w:t>
      </w:r>
    </w:p>
    <w:p>
      <w:pPr>
        <w:spacing w:line="276" w:lineRule="auto" w:after="240" w:before="0"/>
        <w:jc w:val="center"/>
      </w:pPr>
      <w:r>
        <w:rPr>
          <w:rFonts w:ascii="Times New Roman" w:hAnsi="Times New Roman" w:eastAsia="Times New Roman" w:cs="Times New Roman"/>
          <w:b/>
          <w:i w:val="0"/>
          <w:sz w:val="40"/>
        </w:rPr>
        <w:t>BÁO CÁO BÀI TẬP TÌNH HUỐNG 1</w:t>
      </w:r>
    </w:p>
    <w:p>
      <w:pPr>
        <w:spacing w:line="276" w:lineRule="auto" w:after="80" w:before="0"/>
        <w:jc w:val="center"/>
      </w:pPr>
      <w:r>
        <w:rPr>
          <w:rFonts w:ascii="Times New Roman" w:hAnsi="Times New Roman" w:eastAsia="Times New Roman" w:cs="Times New Roman"/>
          <w:b/>
          <w:i w:val="0"/>
          <w:sz w:val="28"/>
        </w:rPr>
        <w:t>Đề tài:</w:t>
      </w:r>
    </w:p>
    <w:p>
      <w:pPr>
        <w:spacing w:line="276" w:lineRule="auto" w:after="0" w:before="0"/>
        <w:jc w:val="center"/>
      </w:pPr>
      <w:r>
        <w:rPr>
          <w:rFonts w:ascii="Times New Roman" w:hAnsi="Times New Roman" w:eastAsia="Times New Roman" w:cs="Times New Roman"/>
          <w:b/>
          <w:i w:val="0"/>
          <w:sz w:val="32"/>
        </w:rPr>
        <w:t>PHÂN TÍCH BỐI CẢNH ĐẦU TƯ VÀ LỰA CHỌN CỔ PHIẾU</w:t>
      </w:r>
    </w:p>
    <w:p>
      <w:pPr>
        <w:spacing w:line="276" w:lineRule="auto" w:after="800" w:before="0"/>
        <w:jc w:val="center"/>
      </w:pPr>
      <w:r>
        <w:rPr>
          <w:rFonts w:ascii="Times New Roman" w:hAnsi="Times New Roman" w:eastAsia="Times New Roman" w:cs="Times New Roman"/>
          <w:b/>
          <w:i w:val="0"/>
          <w:sz w:val="32"/>
        </w:rPr>
        <w:t>CHO DANH MỤC ĐẦU TƯ 10 TỶ ĐỒNG</w:t>
      </w:r>
    </w:p>
    <w:p>
      <w:pPr>
        <w:tabs>
          <w:tab w:pos="4252" w:val="left"/>
        </w:tabs>
        <w:spacing w:line="312" w:lineRule="auto" w:after="0" w:before="0"/>
        <w:ind w:left="1134"/>
        <w:jc w:val="left"/>
      </w:pPr>
      <w:r>
        <w:rPr>
          <w:rFonts w:ascii="Times New Roman" w:hAnsi="Times New Roman" w:eastAsia="Times New Roman" w:cs="Times New Roman"/>
          <w:b/>
          <w:i w:val="0"/>
          <w:sz w:val="26"/>
        </w:rPr>
        <w:t>Học phần</w:t>
      </w:r>
      <w:r>
        <w:rPr>
          <w:rFonts w:ascii="Times New Roman" w:hAnsi="Times New Roman" w:eastAsia="Times New Roman" w:cs="Times New Roman"/>
          <w:b w:val="0"/>
          <w:i w:val="0"/>
          <w:sz w:val="26"/>
        </w:rPr>
        <w:tab/>
        <w:t>: ĐẦU TƯ TÀI CHÍNH</w:t>
      </w:r>
    </w:p>
    <w:p>
      <w:pPr>
        <w:tabs>
          <w:tab w:pos="4252" w:val="left"/>
        </w:tabs>
        <w:spacing w:line="312" w:lineRule="auto" w:after="0" w:before="0"/>
        <w:ind w:left="1134"/>
        <w:jc w:val="left"/>
      </w:pPr>
      <w:r>
        <w:rPr>
          <w:rFonts w:ascii="Times New Roman" w:hAnsi="Times New Roman" w:eastAsia="Times New Roman" w:cs="Times New Roman"/>
          <w:b/>
          <w:i w:val="0"/>
          <w:sz w:val="26"/>
        </w:rPr>
        <w:t>Lớp học phần</w:t>
      </w:r>
      <w:r>
        <w:rPr>
          <w:rFonts w:ascii="Times New Roman" w:hAnsi="Times New Roman" w:eastAsia="Times New Roman" w:cs="Times New Roman"/>
          <w:b w:val="0"/>
          <w:i w:val="0"/>
          <w:sz w:val="26"/>
        </w:rPr>
        <w:tab/>
        <w:t>: FIN3002_2</w:t>
      </w:r>
    </w:p>
    <w:p>
      <w:pPr>
        <w:tabs>
          <w:tab w:pos="4252" w:val="left"/>
        </w:tabs>
        <w:spacing w:line="312" w:lineRule="auto" w:after="0" w:before="0"/>
        <w:ind w:left="1134"/>
        <w:jc w:val="left"/>
      </w:pPr>
      <w:r>
        <w:rPr>
          <w:rFonts w:ascii="Times New Roman" w:hAnsi="Times New Roman" w:eastAsia="Times New Roman" w:cs="Times New Roman"/>
          <w:b/>
          <w:i w:val="0"/>
          <w:sz w:val="26"/>
        </w:rPr>
        <w:t>Giảng viên hướng dẫn</w:t>
      </w:r>
      <w:r>
        <w:rPr>
          <w:rFonts w:ascii="Times New Roman" w:hAnsi="Times New Roman" w:eastAsia="Times New Roman" w:cs="Times New Roman"/>
          <w:b w:val="0"/>
          <w:i w:val="0"/>
          <w:sz w:val="26"/>
        </w:rPr>
        <w:tab/>
        <w:t>: ......................................</w:t>
      </w:r>
    </w:p>
    <w:p>
      <w:pPr>
        <w:tabs>
          <w:tab w:pos="4252" w:val="left"/>
        </w:tabs>
        <w:spacing w:line="312" w:lineRule="auto" w:after="0" w:before="0"/>
        <w:ind w:left="1134"/>
        <w:jc w:val="left"/>
      </w:pPr>
      <w:r>
        <w:rPr>
          <w:rFonts w:ascii="Times New Roman" w:hAnsi="Times New Roman" w:eastAsia="Times New Roman" w:cs="Times New Roman"/>
          <w:b/>
          <w:i w:val="0"/>
          <w:sz w:val="26"/>
        </w:rPr>
        <w:t>Nhóm thực hiện</w:t>
      </w:r>
      <w:r>
        <w:rPr>
          <w:rFonts w:ascii="Times New Roman" w:hAnsi="Times New Roman" w:eastAsia="Times New Roman" w:cs="Times New Roman"/>
          <w:b w:val="0"/>
          <w:i w:val="0"/>
          <w:sz w:val="26"/>
        </w:rPr>
        <w:tab/>
        <w:t>: Nhóm 7</w:t>
      </w:r>
    </w:p>
    <w:p>
      <w:pPr>
        <w:spacing w:line="312" w:lineRule="auto" w:after="80" w:before="200"/>
        <w:ind w:left="1134"/>
        <w:jc w:val="left"/>
      </w:pPr>
      <w:r>
        <w:rPr>
          <w:rFonts w:ascii="Times New Roman" w:hAnsi="Times New Roman" w:eastAsia="Times New Roman" w:cs="Times New Roman"/>
          <w:b/>
          <w:i w:val="0"/>
          <w:sz w:val="26"/>
        </w:rPr>
        <w:t>Thành viên nhóm:</w:t>
      </w:r>
    </w:p>
    <w:tbl>
      <w:tblPr>
        <w:tblStyle w:val="TableGrid"/>
        <w:jc w:val="center"/>
        <w:tblLook w:firstColumn="1" w:firstRow="1" w:lastColumn="0" w:lastRow="0" w:noHBand="0" w:noVBand="1" w:val="04A0"/>
        <w:tblW w:w="6803" w:type="dxa"/>
        <w:tblLayout w:type="fixed"/>
      </w:tblPr>
      <w:tblGrid>
        <w:gridCol w:w="850"/>
        <w:gridCol w:w="3969"/>
        <w:gridCol w:w="1984"/>
      </w:tblGrid>
      <w:tr>
        <w:tc>
          <w:tcPr>
            <w:tcW w:type="dxa" w:w="850"/>
          </w:tcPr>
          <w:p>
            <w:pPr>
              <w:jc w:val="center"/>
            </w:pPr>
            <w:r>
              <w:rPr>
                <w:rFonts w:ascii="Times New Roman" w:hAnsi="Times New Roman" w:eastAsia="Times New Roman" w:cs="Times New Roman"/>
                <w:b/>
                <w:i w:val="0"/>
                <w:sz w:val="26"/>
              </w:rPr>
              <w:t>STT</w:t>
            </w:r>
          </w:p>
        </w:tc>
        <w:tc>
          <w:tcPr>
            <w:tcW w:type="dxa" w:w="3969"/>
          </w:tcPr>
          <w:p>
            <w:pPr>
              <w:jc w:val="center"/>
            </w:pPr>
            <w:r>
              <w:rPr>
                <w:rFonts w:ascii="Times New Roman" w:hAnsi="Times New Roman" w:eastAsia="Times New Roman" w:cs="Times New Roman"/>
                <w:b/>
                <w:i w:val="0"/>
                <w:sz w:val="26"/>
              </w:rPr>
              <w:t>Họ và tên</w:t>
            </w:r>
          </w:p>
        </w:tc>
        <w:tc>
          <w:tcPr>
            <w:tcW w:type="dxa" w:w="1984"/>
          </w:tcPr>
          <w:p>
            <w:pPr>
              <w:jc w:val="center"/>
            </w:pPr>
            <w:r>
              <w:rPr>
                <w:rFonts w:ascii="Times New Roman" w:hAnsi="Times New Roman" w:eastAsia="Times New Roman" w:cs="Times New Roman"/>
                <w:b/>
                <w:i w:val="0"/>
                <w:sz w:val="26"/>
              </w:rPr>
              <w:t>Lớp sinh hoạt</w:t>
            </w:r>
          </w:p>
        </w:tc>
      </w:tr>
      <w:tr>
        <w:tc>
          <w:tcPr>
            <w:tcW w:type="dxa" w:w="850"/>
          </w:tcPr>
          <w:p>
            <w:pPr>
              <w:jc w:val="center"/>
            </w:pPr>
            <w:r>
              <w:rPr>
                <w:rFonts w:ascii="Times New Roman" w:hAnsi="Times New Roman" w:eastAsia="Times New Roman" w:cs="Times New Roman"/>
                <w:b w:val="0"/>
                <w:i w:val="0"/>
                <w:sz w:val="26"/>
              </w:rPr>
              <w:t>1</w:t>
            </w:r>
          </w:p>
        </w:tc>
        <w:tc>
          <w:tcPr>
            <w:tcW w:type="dxa" w:w="3969"/>
          </w:tcPr>
          <w:p>
            <w:pPr>
              <w:jc w:val="left"/>
            </w:pPr>
            <w:r>
              <w:rPr>
                <w:rFonts w:ascii="Times New Roman" w:hAnsi="Times New Roman" w:eastAsia="Times New Roman" w:cs="Times New Roman"/>
                <w:b w:val="0"/>
                <w:i w:val="0"/>
                <w:sz w:val="26"/>
              </w:rPr>
              <w:t>Nguyễn Công Hiếu</w:t>
            </w:r>
          </w:p>
        </w:tc>
        <w:tc>
          <w:tcPr>
            <w:tcW w:type="dxa" w:w="1984"/>
          </w:tcPr>
          <w:p>
            <w:pPr>
              <w:jc w:val="center"/>
            </w:pPr>
            <w:r>
              <w:rPr>
                <w:rFonts w:ascii="Times New Roman" w:hAnsi="Times New Roman" w:eastAsia="Times New Roman" w:cs="Times New Roman"/>
                <w:b w:val="0"/>
                <w:i w:val="0"/>
                <w:sz w:val="26"/>
              </w:rPr>
              <w:t>49K29.1</w:t>
            </w:r>
          </w:p>
        </w:tc>
      </w:tr>
      <w:tr>
        <w:tc>
          <w:tcPr>
            <w:tcW w:type="dxa" w:w="850"/>
          </w:tcPr>
          <w:p>
            <w:pPr>
              <w:jc w:val="center"/>
            </w:pPr>
            <w:r>
              <w:rPr>
                <w:rFonts w:ascii="Times New Roman" w:hAnsi="Times New Roman" w:eastAsia="Times New Roman" w:cs="Times New Roman"/>
                <w:b w:val="0"/>
                <w:i w:val="0"/>
                <w:sz w:val="26"/>
              </w:rPr>
              <w:t>2</w:t>
            </w:r>
          </w:p>
        </w:tc>
        <w:tc>
          <w:tcPr>
            <w:tcW w:type="dxa" w:w="3969"/>
          </w:tcPr>
          <w:p>
            <w:pPr>
              <w:jc w:val="left"/>
            </w:pPr>
            <w:r>
              <w:rPr>
                <w:rFonts w:ascii="Times New Roman" w:hAnsi="Times New Roman" w:eastAsia="Times New Roman" w:cs="Times New Roman"/>
                <w:b w:val="0"/>
                <w:i w:val="0"/>
                <w:sz w:val="26"/>
              </w:rPr>
              <w:t>Nguyễn Thị Bảo Na</w:t>
            </w:r>
          </w:p>
        </w:tc>
        <w:tc>
          <w:tcPr>
            <w:tcW w:type="dxa" w:w="1984"/>
          </w:tcPr>
          <w:p>
            <w:pPr>
              <w:jc w:val="center"/>
            </w:pPr>
            <w:r>
              <w:rPr>
                <w:rFonts w:ascii="Times New Roman" w:hAnsi="Times New Roman" w:eastAsia="Times New Roman" w:cs="Times New Roman"/>
                <w:b w:val="0"/>
                <w:i w:val="0"/>
                <w:sz w:val="26"/>
              </w:rPr>
              <w:t>49K29.1</w:t>
            </w:r>
          </w:p>
        </w:tc>
      </w:tr>
      <w:tr>
        <w:tc>
          <w:tcPr>
            <w:tcW w:type="dxa" w:w="850"/>
          </w:tcPr>
          <w:p>
            <w:pPr>
              <w:jc w:val="center"/>
            </w:pPr>
            <w:r>
              <w:rPr>
                <w:rFonts w:ascii="Times New Roman" w:hAnsi="Times New Roman" w:eastAsia="Times New Roman" w:cs="Times New Roman"/>
                <w:b w:val="0"/>
                <w:i w:val="0"/>
                <w:sz w:val="26"/>
              </w:rPr>
              <w:t>3</w:t>
            </w:r>
          </w:p>
        </w:tc>
        <w:tc>
          <w:tcPr>
            <w:tcW w:type="dxa" w:w="3969"/>
          </w:tcPr>
          <w:p>
            <w:pPr>
              <w:jc w:val="left"/>
            </w:pPr>
            <w:r>
              <w:rPr>
                <w:rFonts w:ascii="Times New Roman" w:hAnsi="Times New Roman" w:eastAsia="Times New Roman" w:cs="Times New Roman"/>
                <w:b w:val="0"/>
                <w:i w:val="0"/>
                <w:sz w:val="26"/>
              </w:rPr>
              <w:t>Nguyễn Thị Mỹ Thanh</w:t>
            </w:r>
          </w:p>
        </w:tc>
        <w:tc>
          <w:tcPr>
            <w:tcW w:type="dxa" w:w="1984"/>
          </w:tcPr>
          <w:p>
            <w:pPr>
              <w:jc w:val="center"/>
            </w:pPr>
            <w:r>
              <w:rPr>
                <w:rFonts w:ascii="Times New Roman" w:hAnsi="Times New Roman" w:eastAsia="Times New Roman" w:cs="Times New Roman"/>
                <w:b w:val="0"/>
                <w:i w:val="0"/>
                <w:sz w:val="26"/>
              </w:rPr>
              <w:t>49K29.1</w:t>
            </w:r>
          </w:p>
        </w:tc>
      </w:tr>
      <w:tr>
        <w:tc>
          <w:tcPr>
            <w:tcW w:type="dxa" w:w="850"/>
          </w:tcPr>
          <w:p>
            <w:pPr>
              <w:jc w:val="center"/>
            </w:pPr>
            <w:r>
              <w:rPr>
                <w:rFonts w:ascii="Times New Roman" w:hAnsi="Times New Roman" w:eastAsia="Times New Roman" w:cs="Times New Roman"/>
                <w:b w:val="0"/>
                <w:i w:val="0"/>
                <w:sz w:val="26"/>
              </w:rPr>
              <w:t>4</w:t>
            </w:r>
          </w:p>
        </w:tc>
        <w:tc>
          <w:tcPr>
            <w:tcW w:type="dxa" w:w="3969"/>
          </w:tcPr>
          <w:p>
            <w:pPr>
              <w:jc w:val="left"/>
            </w:pPr>
            <w:r>
              <w:rPr>
                <w:rFonts w:ascii="Times New Roman" w:hAnsi="Times New Roman" w:eastAsia="Times New Roman" w:cs="Times New Roman"/>
                <w:b w:val="0"/>
                <w:i w:val="0"/>
                <w:sz w:val="26"/>
              </w:rPr>
              <w:t>Nguyễn Bảo Anh Thư</w:t>
            </w:r>
          </w:p>
        </w:tc>
        <w:tc>
          <w:tcPr>
            <w:tcW w:type="dxa" w:w="1984"/>
          </w:tcPr>
          <w:p>
            <w:pPr>
              <w:jc w:val="center"/>
            </w:pPr>
            <w:r>
              <w:rPr>
                <w:rFonts w:ascii="Times New Roman" w:hAnsi="Times New Roman" w:eastAsia="Times New Roman" w:cs="Times New Roman"/>
                <w:b w:val="0"/>
                <w:i w:val="0"/>
                <w:sz w:val="26"/>
              </w:rPr>
              <w:t>49K29.1</w:t>
            </w:r>
          </w:p>
        </w:tc>
      </w:tr>
      <w:tr>
        <w:tc>
          <w:tcPr>
            <w:tcW w:type="dxa" w:w="850"/>
          </w:tcPr>
          <w:p>
            <w:pPr>
              <w:jc w:val="center"/>
            </w:pPr>
            <w:r>
              <w:rPr>
                <w:rFonts w:ascii="Times New Roman" w:hAnsi="Times New Roman" w:eastAsia="Times New Roman" w:cs="Times New Roman"/>
                <w:b w:val="0"/>
                <w:i w:val="0"/>
                <w:sz w:val="26"/>
              </w:rPr>
              <w:t>5</w:t>
            </w:r>
          </w:p>
        </w:tc>
        <w:tc>
          <w:tcPr>
            <w:tcW w:type="dxa" w:w="3969"/>
          </w:tcPr>
          <w:p>
            <w:pPr>
              <w:jc w:val="left"/>
            </w:pPr>
            <w:r>
              <w:rPr>
                <w:rFonts w:ascii="Times New Roman" w:hAnsi="Times New Roman" w:eastAsia="Times New Roman" w:cs="Times New Roman"/>
                <w:b w:val="0"/>
                <w:i w:val="0"/>
                <w:sz w:val="26"/>
              </w:rPr>
              <w:t>Dương Mẫn Trân</w:t>
            </w:r>
          </w:p>
        </w:tc>
        <w:tc>
          <w:tcPr>
            <w:tcW w:type="dxa" w:w="1984"/>
          </w:tcPr>
          <w:p>
            <w:pPr>
              <w:jc w:val="center"/>
            </w:pPr>
            <w:r>
              <w:rPr>
                <w:rFonts w:ascii="Times New Roman" w:hAnsi="Times New Roman" w:eastAsia="Times New Roman" w:cs="Times New Roman"/>
                <w:b w:val="0"/>
                <w:i w:val="0"/>
                <w:sz w:val="26"/>
              </w:rPr>
              <w:t>49K29.1</w:t>
            </w:r>
          </w:p>
        </w:tc>
      </w:tr>
      <w:tr>
        <w:tc>
          <w:tcPr>
            <w:tcW w:type="dxa" w:w="850"/>
          </w:tcPr>
          <w:p>
            <w:pPr>
              <w:jc w:val="center"/>
            </w:pPr>
            <w:r>
              <w:rPr>
                <w:rFonts w:ascii="Times New Roman" w:hAnsi="Times New Roman" w:eastAsia="Times New Roman" w:cs="Times New Roman"/>
                <w:b w:val="0"/>
                <w:i w:val="0"/>
                <w:sz w:val="26"/>
              </w:rPr>
              <w:t>6</w:t>
            </w:r>
          </w:p>
        </w:tc>
        <w:tc>
          <w:tcPr>
            <w:tcW w:type="dxa" w:w="3969"/>
          </w:tcPr>
          <w:p>
            <w:pPr>
              <w:jc w:val="left"/>
            </w:pPr>
            <w:r>
              <w:rPr>
                <w:rFonts w:ascii="Times New Roman" w:hAnsi="Times New Roman" w:eastAsia="Times New Roman" w:cs="Times New Roman"/>
                <w:b w:val="0"/>
                <w:i w:val="0"/>
                <w:sz w:val="26"/>
              </w:rPr>
              <w:t>Ngô Triệu Vy</w:t>
            </w:r>
          </w:p>
        </w:tc>
        <w:tc>
          <w:tcPr>
            <w:tcW w:type="dxa" w:w="1984"/>
          </w:tcPr>
          <w:p>
            <w:pPr>
              <w:jc w:val="center"/>
            </w:pPr>
            <w:r>
              <w:rPr>
                <w:rFonts w:ascii="Times New Roman" w:hAnsi="Times New Roman" w:eastAsia="Times New Roman" w:cs="Times New Roman"/>
                <w:b w:val="0"/>
                <w:i w:val="0"/>
                <w:sz w:val="26"/>
              </w:rPr>
              <w:t>49K29.1</w:t>
            </w:r>
          </w:p>
        </w:tc>
      </w:tr>
    </w:tbl>
    <w:p>
      <w:pPr>
        <w:spacing w:line="276" w:lineRule="auto" w:after="0" w:before="1200"/>
        <w:jc w:val="center"/>
      </w:pPr>
      <w:r>
        <w:rPr>
          <w:rFonts w:ascii="Times New Roman" w:hAnsi="Times New Roman" w:eastAsia="Times New Roman" w:cs="Times New Roman"/>
          <w:b/>
          <w:i w:val="0"/>
          <w:sz w:val="26"/>
        </w:rPr>
        <w:t>Đà Nẵng, tháng 10 năm 2026</w:t>
      </w:r>
    </w:p>
    <w:p>
      <w:pPr>
        <w:sectPr>
          <w:pgSz w:w="11906" w:h="16838"/>
          <w:pgMar w:top="1134" w:right="1134" w:bottom="1134" w:left="1701" w:header="720" w:footer="720" w:gutter="0"/>
          <w:cols w:space="720"/>
          <w:docGrid w:linePitch="360"/>
          <w:pgBorders w:offsetFrom="page">
            <w:top w:val="thinThickSmallGap" w:sz="24" w:space="24" w:color="1F3864"/>
            <w:left w:val="thinThickSmallGap" w:sz="24" w:space="24" w:color="1F3864"/>
            <w:bottom w:val="thinThickSmallGap" w:sz="24" w:space="24" w:color="1F3864"/>
            <w:right w:val="thinThickSmallGap" w:sz="24" w:space="24" w:color="1F3864"/>
          </w:pgBorders>
        </w:sectPr>
      </w:pPr>
    </w:p>
    <w:p>
      <w:pPr>
        <w:pStyle w:val="Heading1"/>
        <w:keepNext/>
        <w:spacing w:line="312" w:lineRule="auto" w:after="240" w:before="0"/>
        <w:jc w:val="center"/>
      </w:pPr>
      <w:r>
        <w:rPr>
          <w:rFonts w:ascii="Times New Roman" w:hAnsi="Times New Roman" w:eastAsia="Times New Roman" w:cs="Times New Roman"/>
          <w:b/>
          <w:i w:val="0"/>
          <w:sz w:val="28"/>
        </w:rPr>
        <w:t>TÓM TẮT</w:t>
      </w:r>
    </w:p>
    <w:p>
      <w:pPr>
        <w:spacing w:line="312" w:lineRule="auto" w:after="120" w:before="0"/>
        <w:ind w:firstLine="720"/>
        <w:jc w:val="both"/>
      </w:pPr>
      <w:r>
        <w:rPr>
          <w:rFonts w:ascii="Times New Roman" w:hAnsi="Times New Roman" w:eastAsia="Times New Roman" w:cs="Times New Roman"/>
          <w:b w:val="0"/>
          <w:i w:val="0"/>
          <w:sz w:val="26"/>
        </w:rPr>
        <w:t xml:space="preserve">Nhóm 7 đóng vai trò công ty quản lý quỹ, xây dựng danh mục cổ phiếu niêm yết với vốn giả định 10 tỷ đồng trong 1 tháng (26/10 – 25/11/2026). Báo cáo đi theo phương pháp </w:t>
      </w:r>
      <w:r>
        <w:rPr>
          <w:rFonts w:ascii="Times New Roman" w:hAnsi="Times New Roman" w:eastAsia="Times New Roman" w:cs="Times New Roman"/>
          <w:b/>
          <w:i w:val="0"/>
          <w:sz w:val="26"/>
        </w:rPr>
        <w:t>top-down</w:t>
      </w:r>
      <w:r>
        <w:rPr>
          <w:rFonts w:ascii="Times New Roman" w:hAnsi="Times New Roman" w:eastAsia="Times New Roman" w:cs="Times New Roman"/>
          <w:b w:val="0"/>
          <w:i w:val="0"/>
          <w:sz w:val="26"/>
        </w:rPr>
        <w:t>: phân tích vĩ mô, chọn ngành hưởng lợi, rồi phân tích và định giá từng doanh nghiệp.</w:t>
      </w:r>
    </w:p>
    <w:p>
      <w:pPr>
        <w:spacing w:line="312" w:lineRule="auto" w:after="120" w:before="0"/>
        <w:ind w:firstLine="720"/>
        <w:jc w:val="both"/>
      </w:pPr>
      <w:r>
        <w:rPr>
          <w:rFonts w:ascii="Times New Roman" w:hAnsi="Times New Roman" w:eastAsia="Times New Roman" w:cs="Times New Roman"/>
          <w:b w:val="0"/>
          <w:i w:val="0"/>
          <w:sz w:val="26"/>
        </w:rPr>
        <w:t>Bối cảnh vĩ mô có hai mặt: GDP quý III/2026 tăng 9,95%, cao nhất từ năm 2022, nhưng CPI tháng 9 tăng 5,08%, vượt mục tiêu 4,5% do giá dầu cao. Ngân hàng Nhà nước vì vậy khó hạ lãi suất thêm. Thị trường đang ở vùng định giá thấp (P/E khoảng 13,1 lần) và vừa được FTSE Russell nâng hạng lên thị trường mới nổi, nhưng biến động mạnh.</w:t>
      </w:r>
    </w:p>
    <w:p>
      <w:pPr>
        <w:spacing w:line="312" w:lineRule="auto" w:after="120" w:before="0"/>
        <w:ind w:firstLine="720"/>
        <w:jc w:val="both"/>
      </w:pPr>
      <w:r>
        <w:rPr>
          <w:rFonts w:ascii="Times New Roman" w:hAnsi="Times New Roman" w:eastAsia="Times New Roman" w:cs="Times New Roman"/>
          <w:b w:val="0"/>
          <w:i w:val="0"/>
          <w:sz w:val="26"/>
        </w:rPr>
        <w:t xml:space="preserve">Nhóm chọn </w:t>
      </w:r>
      <w:r>
        <w:rPr>
          <w:rFonts w:ascii="Times New Roman" w:hAnsi="Times New Roman" w:eastAsia="Times New Roman" w:cs="Times New Roman"/>
          <w:b/>
          <w:i w:val="0"/>
          <w:sz w:val="26"/>
        </w:rPr>
        <w:t>chiến lược cân bằng</w:t>
      </w:r>
      <w:r>
        <w:rPr>
          <w:rFonts w:ascii="Times New Roman" w:hAnsi="Times New Roman" w:eastAsia="Times New Roman" w:cs="Times New Roman"/>
          <w:b w:val="0"/>
          <w:i w:val="0"/>
          <w:sz w:val="26"/>
        </w:rPr>
        <w:t xml:space="preserve"> với ba cổ phiếu thuộc ba ngành khác nhau: </w:t>
      </w:r>
      <w:r>
        <w:rPr>
          <w:rFonts w:ascii="Times New Roman" w:hAnsi="Times New Roman" w:eastAsia="Times New Roman" w:cs="Times New Roman"/>
          <w:b/>
          <w:i w:val="0"/>
          <w:sz w:val="26"/>
        </w:rPr>
        <w:t>MBB</w:t>
      </w:r>
      <w:r>
        <w:rPr>
          <w:rFonts w:ascii="Times New Roman" w:hAnsi="Times New Roman" w:eastAsia="Times New Roman" w:cs="Times New Roman"/>
          <w:b w:val="0"/>
          <w:i w:val="0"/>
          <w:sz w:val="26"/>
        </w:rPr>
        <w:t xml:space="preserve"> (ngân hàng, vai trò giá trị, giá hợp lý 25.000 đ, +26%), </w:t>
      </w:r>
      <w:r>
        <w:rPr>
          <w:rFonts w:ascii="Times New Roman" w:hAnsi="Times New Roman" w:eastAsia="Times New Roman" w:cs="Times New Roman"/>
          <w:b/>
          <w:i w:val="0"/>
          <w:sz w:val="26"/>
        </w:rPr>
        <w:t>MWG</w:t>
      </w:r>
      <w:r>
        <w:rPr>
          <w:rFonts w:ascii="Times New Roman" w:hAnsi="Times New Roman" w:eastAsia="Times New Roman" w:cs="Times New Roman"/>
          <w:b w:val="0"/>
          <w:i w:val="0"/>
          <w:sz w:val="26"/>
        </w:rPr>
        <w:t xml:space="preserve"> (bán lẻ, vai trò tăng trưởng, 90.000 đ, +20%) và </w:t>
      </w:r>
      <w:r>
        <w:rPr>
          <w:rFonts w:ascii="Times New Roman" w:hAnsi="Times New Roman" w:eastAsia="Times New Roman" w:cs="Times New Roman"/>
          <w:b/>
          <w:i w:val="0"/>
          <w:sz w:val="26"/>
        </w:rPr>
        <w:t>GAS</w:t>
      </w:r>
      <w:r>
        <w:rPr>
          <w:rFonts w:ascii="Times New Roman" w:hAnsi="Times New Roman" w:eastAsia="Times New Roman" w:cs="Times New Roman"/>
          <w:b w:val="0"/>
          <w:i w:val="0"/>
          <w:sz w:val="26"/>
        </w:rPr>
        <w:t xml:space="preserve"> (khí đốt, vai trò phòng thủ và cổ tức, 78.400 đ, +2%). HPG và FPT bị loại vì giá đang giảm kéo dài, dễ trở thành tài sản bị thống trị khi tối ưu danh mục ở Bài tập tình huống 2.</w:t>
      </w:r>
    </w:p>
    <w:p>
      <w:pPr>
        <w:spacing w:line="312" w:lineRule="auto" w:after="120" w:before="0"/>
        <w:ind w:firstLine="720"/>
        <w:jc w:val="both"/>
      </w:pPr>
      <w:r>
        <w:rPr>
          <w:rFonts w:ascii="Times New Roman" w:hAnsi="Times New Roman" w:eastAsia="Times New Roman" w:cs="Times New Roman"/>
          <w:b/>
          <w:i w:val="0"/>
          <w:sz w:val="26"/>
        </w:rPr>
        <w:t>Từ khóa:</w:t>
      </w:r>
      <w:r>
        <w:rPr>
          <w:rFonts w:ascii="Times New Roman" w:hAnsi="Times New Roman" w:eastAsia="Times New Roman" w:cs="Times New Roman"/>
          <w:b w:val="0"/>
          <w:i w:val="0"/>
          <w:sz w:val="26"/>
        </w:rPr>
        <w:t xml:space="preserve"> phân tích top-down, CAPM, định giá cổ phiếu, chiến lược cân bằng, MBB, MWG, GAS.</w:t>
      </w:r>
    </w:p>
    <w:p>
      <w:r>
        <w:br w:type="page"/>
      </w:r>
    </w:p>
    <w:p>
      <w:pPr>
        <w:pStyle w:val="Heading1"/>
        <w:keepNext/>
        <w:spacing w:line="312" w:lineRule="auto" w:after="240" w:before="0"/>
        <w:jc w:val="center"/>
      </w:pPr>
      <w:r>
        <w:rPr>
          <w:rFonts w:ascii="Times New Roman" w:hAnsi="Times New Roman" w:eastAsia="Times New Roman" w:cs="Times New Roman"/>
          <w:b/>
          <w:i w:val="0"/>
          <w:sz w:val="28"/>
        </w:rPr>
        <w:t>MỤC LỤC</w:t>
      </w:r>
    </w:p>
    <w:p>
      <w:pPr>
        <w:tabs>
          <w:tab w:pos="9071" w:val="right" w:leader="dot"/>
        </w:tabs>
        <w:spacing w:line="312" w:lineRule="auto" w:after="0" w:before="0"/>
        <w:ind w:left="0"/>
        <w:jc w:val="left"/>
      </w:pPr>
      <w:r>
        <w:rPr>
          <w:rFonts w:ascii="Times New Roman" w:hAnsi="Times New Roman" w:eastAsia="Times New Roman" w:cs="Times New Roman"/>
          <w:b/>
          <w:i w:val="0"/>
          <w:sz w:val="26"/>
        </w:rPr>
        <w:t>TÓM TẮT</w:t>
      </w:r>
      <w:r>
        <w:rPr>
          <w:rFonts w:ascii="Times New Roman" w:hAnsi="Times New Roman" w:eastAsia="Times New Roman" w:cs="Times New Roman"/>
          <w:b/>
          <w:i w:val="0"/>
          <w:sz w:val="26"/>
        </w:rPr>
        <w:tab/>
        <w:t>i</w:t>
      </w:r>
    </w:p>
    <w:p>
      <w:pPr>
        <w:tabs>
          <w:tab w:pos="9071" w:val="right" w:leader="dot"/>
        </w:tabs>
        <w:spacing w:line="312" w:lineRule="auto" w:after="0" w:before="0"/>
        <w:ind w:left="0"/>
        <w:jc w:val="left"/>
      </w:pPr>
      <w:r>
        <w:rPr>
          <w:rFonts w:ascii="Times New Roman" w:hAnsi="Times New Roman" w:eastAsia="Times New Roman" w:cs="Times New Roman"/>
          <w:b/>
          <w:i w:val="0"/>
          <w:sz w:val="26"/>
        </w:rPr>
        <w:t>DANH MỤC CÁC BẢNG BIỂU</w:t>
      </w:r>
      <w:r>
        <w:rPr>
          <w:rFonts w:ascii="Times New Roman" w:hAnsi="Times New Roman" w:eastAsia="Times New Roman" w:cs="Times New Roman"/>
          <w:b/>
          <w:i w:val="0"/>
          <w:sz w:val="26"/>
        </w:rPr>
        <w:tab/>
        <w:t>ii</w:t>
      </w:r>
    </w:p>
    <w:p>
      <w:pPr>
        <w:tabs>
          <w:tab w:pos="9071" w:val="right" w:leader="dot"/>
        </w:tabs>
        <w:spacing w:line="312" w:lineRule="auto" w:after="0" w:before="0"/>
        <w:ind w:left="0"/>
        <w:jc w:val="left"/>
      </w:pPr>
      <w:r>
        <w:rPr>
          <w:rFonts w:ascii="Times New Roman" w:hAnsi="Times New Roman" w:eastAsia="Times New Roman" w:cs="Times New Roman"/>
          <w:b/>
          <w:i w:val="0"/>
          <w:sz w:val="26"/>
        </w:rPr>
        <w:t>DANH MỤC CÁC HÌNH VẼ, ĐỒ THỊ</w:t>
      </w:r>
      <w:r>
        <w:rPr>
          <w:rFonts w:ascii="Times New Roman" w:hAnsi="Times New Roman" w:eastAsia="Times New Roman" w:cs="Times New Roman"/>
          <w:b/>
          <w:i w:val="0"/>
          <w:sz w:val="26"/>
        </w:rPr>
        <w:tab/>
        <w:t>ii</w:t>
      </w:r>
    </w:p>
    <w:p>
      <w:pPr>
        <w:tabs>
          <w:tab w:pos="9071" w:val="right" w:leader="dot"/>
        </w:tabs>
        <w:spacing w:line="312" w:lineRule="auto" w:after="0" w:before="0"/>
        <w:ind w:left="0"/>
        <w:jc w:val="left"/>
      </w:pPr>
      <w:r>
        <w:rPr>
          <w:rFonts w:ascii="Times New Roman" w:hAnsi="Times New Roman" w:eastAsia="Times New Roman" w:cs="Times New Roman"/>
          <w:b/>
          <w:i w:val="0"/>
          <w:sz w:val="26"/>
        </w:rPr>
        <w:t>DANH MỤC CÁC KÝ HIỆU, CHỮ VIẾT TẮT</w:t>
      </w:r>
      <w:r>
        <w:rPr>
          <w:rFonts w:ascii="Times New Roman" w:hAnsi="Times New Roman" w:eastAsia="Times New Roman" w:cs="Times New Roman"/>
          <w:b/>
          <w:i w:val="0"/>
          <w:sz w:val="26"/>
        </w:rPr>
        <w:tab/>
        <w:t>ii</w:t>
      </w:r>
    </w:p>
    <w:p>
      <w:pPr>
        <w:tabs>
          <w:tab w:pos="9071" w:val="right" w:leader="dot"/>
        </w:tabs>
        <w:spacing w:line="312" w:lineRule="auto" w:after="0" w:before="0"/>
        <w:ind w:left="0"/>
        <w:jc w:val="left"/>
      </w:pPr>
      <w:r>
        <w:rPr>
          <w:rFonts w:ascii="Times New Roman" w:hAnsi="Times New Roman" w:eastAsia="Times New Roman" w:cs="Times New Roman"/>
          <w:b/>
          <w:i w:val="0"/>
          <w:sz w:val="26"/>
        </w:rPr>
        <w:t>PHẦN 1. PHÂN TÍCH BỐI CẢNH ĐẦU TƯ</w:t>
      </w:r>
      <w:r>
        <w:rPr>
          <w:rFonts w:ascii="Times New Roman" w:hAnsi="Times New Roman" w:eastAsia="Times New Roman" w:cs="Times New Roman"/>
          <w:b/>
          <w:i w:val="0"/>
          <w:sz w:val="26"/>
        </w:rPr>
        <w:tab/>
        <w:t>1</w:t>
      </w:r>
    </w:p>
    <w:p>
      <w:pPr>
        <w:tabs>
          <w:tab w:pos="9071" w:val="right" w:leader="dot"/>
        </w:tabs>
        <w:spacing w:line="312" w:lineRule="auto" w:after="0" w:before="0"/>
        <w:ind w:left="340"/>
        <w:jc w:val="left"/>
      </w:pPr>
      <w:r>
        <w:rPr>
          <w:rFonts w:ascii="Times New Roman" w:hAnsi="Times New Roman" w:eastAsia="Times New Roman" w:cs="Times New Roman"/>
          <w:b w:val="0"/>
          <w:i w:val="0"/>
          <w:sz w:val="26"/>
        </w:rPr>
        <w:t>1.1. Đánh giá các yếu tố kinh tế vĩ mô</w:t>
      </w:r>
      <w:r>
        <w:rPr>
          <w:rFonts w:ascii="Times New Roman" w:hAnsi="Times New Roman" w:eastAsia="Times New Roman" w:cs="Times New Roman"/>
          <w:b w:val="0"/>
          <w:i w:val="0"/>
          <w:sz w:val="26"/>
        </w:rPr>
        <w:tab/>
        <w:t>1</w:t>
      </w:r>
    </w:p>
    <w:p>
      <w:pPr>
        <w:tabs>
          <w:tab w:pos="9071" w:val="right" w:leader="dot"/>
        </w:tabs>
        <w:spacing w:line="312" w:lineRule="auto" w:after="0" w:before="0"/>
        <w:ind w:left="680"/>
        <w:jc w:val="left"/>
      </w:pPr>
      <w:r>
        <w:rPr>
          <w:rFonts w:ascii="Times New Roman" w:hAnsi="Times New Roman" w:eastAsia="Times New Roman" w:cs="Times New Roman"/>
          <w:b w:val="0"/>
          <w:i/>
          <w:sz w:val="26"/>
        </w:rPr>
        <w:t>1.1.1. Tăng trưởng kinh tế</w:t>
      </w:r>
      <w:r>
        <w:rPr>
          <w:rFonts w:ascii="Times New Roman" w:hAnsi="Times New Roman" w:eastAsia="Times New Roman" w:cs="Times New Roman"/>
          <w:b w:val="0"/>
          <w:i w:val="0"/>
          <w:sz w:val="26"/>
        </w:rPr>
        <w:tab/>
        <w:t>1</w:t>
      </w:r>
    </w:p>
    <w:p>
      <w:pPr>
        <w:tabs>
          <w:tab w:pos="9071" w:val="right" w:leader="dot"/>
        </w:tabs>
        <w:spacing w:line="312" w:lineRule="auto" w:after="0" w:before="0"/>
        <w:ind w:left="680"/>
        <w:jc w:val="left"/>
      </w:pPr>
      <w:r>
        <w:rPr>
          <w:rFonts w:ascii="Times New Roman" w:hAnsi="Times New Roman" w:eastAsia="Times New Roman" w:cs="Times New Roman"/>
          <w:b w:val="0"/>
          <w:i/>
          <w:sz w:val="26"/>
        </w:rPr>
        <w:t>1.1.2. Lạm phát</w:t>
      </w:r>
      <w:r>
        <w:rPr>
          <w:rFonts w:ascii="Times New Roman" w:hAnsi="Times New Roman" w:eastAsia="Times New Roman" w:cs="Times New Roman"/>
          <w:b w:val="0"/>
          <w:i w:val="0"/>
          <w:sz w:val="26"/>
        </w:rPr>
        <w:tab/>
        <w:t>1</w:t>
      </w:r>
    </w:p>
    <w:p>
      <w:pPr>
        <w:tabs>
          <w:tab w:pos="9071" w:val="right" w:leader="dot"/>
        </w:tabs>
        <w:spacing w:line="312" w:lineRule="auto" w:after="0" w:before="0"/>
        <w:ind w:left="680"/>
        <w:jc w:val="left"/>
      </w:pPr>
      <w:r>
        <w:rPr>
          <w:rFonts w:ascii="Times New Roman" w:hAnsi="Times New Roman" w:eastAsia="Times New Roman" w:cs="Times New Roman"/>
          <w:b w:val="0"/>
          <w:i/>
          <w:sz w:val="26"/>
        </w:rPr>
        <w:t>1.1.3. Lãi suất và chính sách tiền tệ</w:t>
      </w:r>
      <w:r>
        <w:rPr>
          <w:rFonts w:ascii="Times New Roman" w:hAnsi="Times New Roman" w:eastAsia="Times New Roman" w:cs="Times New Roman"/>
          <w:b w:val="0"/>
          <w:i w:val="0"/>
          <w:sz w:val="26"/>
        </w:rPr>
        <w:tab/>
        <w:t>1</w:t>
      </w:r>
    </w:p>
    <w:p>
      <w:pPr>
        <w:tabs>
          <w:tab w:pos="9071" w:val="right" w:leader="dot"/>
        </w:tabs>
        <w:spacing w:line="312" w:lineRule="auto" w:after="0" w:before="0"/>
        <w:ind w:left="680"/>
        <w:jc w:val="left"/>
      </w:pPr>
      <w:r>
        <w:rPr>
          <w:rFonts w:ascii="Times New Roman" w:hAnsi="Times New Roman" w:eastAsia="Times New Roman" w:cs="Times New Roman"/>
          <w:b w:val="0"/>
          <w:i/>
          <w:sz w:val="26"/>
        </w:rPr>
        <w:t>1.1.4. Tỷ giá</w:t>
      </w:r>
      <w:r>
        <w:rPr>
          <w:rFonts w:ascii="Times New Roman" w:hAnsi="Times New Roman" w:eastAsia="Times New Roman" w:cs="Times New Roman"/>
          <w:b w:val="0"/>
          <w:i w:val="0"/>
          <w:sz w:val="26"/>
        </w:rPr>
        <w:tab/>
        <w:t>1</w:t>
      </w:r>
    </w:p>
    <w:p>
      <w:pPr>
        <w:tabs>
          <w:tab w:pos="9071" w:val="right" w:leader="dot"/>
        </w:tabs>
        <w:spacing w:line="312" w:lineRule="auto" w:after="0" w:before="0"/>
        <w:ind w:left="680"/>
        <w:jc w:val="left"/>
      </w:pPr>
      <w:r>
        <w:rPr>
          <w:rFonts w:ascii="Times New Roman" w:hAnsi="Times New Roman" w:eastAsia="Times New Roman" w:cs="Times New Roman"/>
          <w:b w:val="0"/>
          <w:i/>
          <w:sz w:val="26"/>
        </w:rPr>
        <w:t>1.1.5. Diễn biến thị trường chứng khoán</w:t>
      </w:r>
      <w:r>
        <w:rPr>
          <w:rFonts w:ascii="Times New Roman" w:hAnsi="Times New Roman" w:eastAsia="Times New Roman" w:cs="Times New Roman"/>
          <w:b w:val="0"/>
          <w:i w:val="0"/>
          <w:sz w:val="26"/>
        </w:rPr>
        <w:tab/>
        <w:t>2</w:t>
      </w:r>
    </w:p>
    <w:p>
      <w:pPr>
        <w:tabs>
          <w:tab w:pos="9071" w:val="right" w:leader="dot"/>
        </w:tabs>
        <w:spacing w:line="312" w:lineRule="auto" w:after="0" w:before="0"/>
        <w:ind w:left="340"/>
        <w:jc w:val="left"/>
      </w:pPr>
      <w:r>
        <w:rPr>
          <w:rFonts w:ascii="Times New Roman" w:hAnsi="Times New Roman" w:eastAsia="Times New Roman" w:cs="Times New Roman"/>
          <w:b w:val="0"/>
          <w:i w:val="0"/>
          <w:sz w:val="26"/>
        </w:rPr>
        <w:t>1.2. Nhận định triển vọng thị trường và triển vọng ngành</w:t>
      </w:r>
      <w:r>
        <w:rPr>
          <w:rFonts w:ascii="Times New Roman" w:hAnsi="Times New Roman" w:eastAsia="Times New Roman" w:cs="Times New Roman"/>
          <w:b w:val="0"/>
          <w:i w:val="0"/>
          <w:sz w:val="26"/>
        </w:rPr>
        <w:tab/>
        <w:t>2</w:t>
      </w:r>
    </w:p>
    <w:p>
      <w:pPr>
        <w:tabs>
          <w:tab w:pos="9071" w:val="right" w:leader="dot"/>
        </w:tabs>
        <w:spacing w:line="312" w:lineRule="auto" w:after="0" w:before="0"/>
        <w:ind w:left="680"/>
        <w:jc w:val="left"/>
      </w:pPr>
      <w:r>
        <w:rPr>
          <w:rFonts w:ascii="Times New Roman" w:hAnsi="Times New Roman" w:eastAsia="Times New Roman" w:cs="Times New Roman"/>
          <w:b w:val="0"/>
          <w:i/>
          <w:sz w:val="26"/>
        </w:rPr>
        <w:t>1.2.1. Triển vọng thị trường trong thời gian đầu tư</w:t>
      </w:r>
      <w:r>
        <w:rPr>
          <w:rFonts w:ascii="Times New Roman" w:hAnsi="Times New Roman" w:eastAsia="Times New Roman" w:cs="Times New Roman"/>
          <w:b w:val="0"/>
          <w:i w:val="0"/>
          <w:sz w:val="26"/>
        </w:rPr>
        <w:tab/>
        <w:t>2</w:t>
      </w:r>
    </w:p>
    <w:p>
      <w:pPr>
        <w:tabs>
          <w:tab w:pos="9071" w:val="right" w:leader="dot"/>
        </w:tabs>
        <w:spacing w:line="312" w:lineRule="auto" w:after="0" w:before="0"/>
        <w:ind w:left="680"/>
        <w:jc w:val="left"/>
      </w:pPr>
      <w:r>
        <w:rPr>
          <w:rFonts w:ascii="Times New Roman" w:hAnsi="Times New Roman" w:eastAsia="Times New Roman" w:cs="Times New Roman"/>
          <w:b w:val="0"/>
          <w:i/>
          <w:sz w:val="26"/>
        </w:rPr>
        <w:t>1.2.2. Triển vọng ngành</w:t>
      </w:r>
      <w:r>
        <w:rPr>
          <w:rFonts w:ascii="Times New Roman" w:hAnsi="Times New Roman" w:eastAsia="Times New Roman" w:cs="Times New Roman"/>
          <w:b w:val="0"/>
          <w:i w:val="0"/>
          <w:sz w:val="26"/>
        </w:rPr>
        <w:tab/>
        <w:t>2</w:t>
      </w:r>
    </w:p>
    <w:p>
      <w:pPr>
        <w:tabs>
          <w:tab w:pos="9071" w:val="right" w:leader="dot"/>
        </w:tabs>
        <w:spacing w:line="312" w:lineRule="auto" w:after="0" w:before="0"/>
        <w:ind w:left="340"/>
        <w:jc w:val="left"/>
      </w:pPr>
      <w:r>
        <w:rPr>
          <w:rFonts w:ascii="Times New Roman" w:hAnsi="Times New Roman" w:eastAsia="Times New Roman" w:cs="Times New Roman"/>
          <w:b w:val="0"/>
          <w:i w:val="0"/>
          <w:sz w:val="26"/>
        </w:rPr>
        <w:t>1.3. Chiến lược đầu tư của nhóm</w:t>
      </w:r>
      <w:r>
        <w:rPr>
          <w:rFonts w:ascii="Times New Roman" w:hAnsi="Times New Roman" w:eastAsia="Times New Roman" w:cs="Times New Roman"/>
          <w:b w:val="0"/>
          <w:i w:val="0"/>
          <w:sz w:val="26"/>
        </w:rPr>
        <w:tab/>
        <w:t>3</w:t>
      </w:r>
    </w:p>
    <w:p>
      <w:pPr>
        <w:tabs>
          <w:tab w:pos="9071" w:val="right" w:leader="dot"/>
        </w:tabs>
        <w:spacing w:line="312" w:lineRule="auto" w:after="0" w:before="0"/>
        <w:ind w:left="0"/>
        <w:jc w:val="left"/>
      </w:pPr>
      <w:r>
        <w:rPr>
          <w:rFonts w:ascii="Times New Roman" w:hAnsi="Times New Roman" w:eastAsia="Times New Roman" w:cs="Times New Roman"/>
          <w:b/>
          <w:i w:val="0"/>
          <w:sz w:val="26"/>
        </w:rPr>
        <w:t>PHẦN 2. PHÂN TÍCH CỔ PHIẾU</w:t>
      </w:r>
      <w:r>
        <w:rPr>
          <w:rFonts w:ascii="Times New Roman" w:hAnsi="Times New Roman" w:eastAsia="Times New Roman" w:cs="Times New Roman"/>
          <w:b/>
          <w:i w:val="0"/>
          <w:sz w:val="26"/>
        </w:rPr>
        <w:tab/>
        <w:t>3</w:t>
      </w:r>
    </w:p>
    <w:p>
      <w:pPr>
        <w:tabs>
          <w:tab w:pos="9071" w:val="right" w:leader="dot"/>
        </w:tabs>
        <w:spacing w:line="312" w:lineRule="auto" w:after="0" w:before="0"/>
        <w:ind w:left="340"/>
        <w:jc w:val="left"/>
      </w:pPr>
      <w:r>
        <w:rPr>
          <w:rFonts w:ascii="Times New Roman" w:hAnsi="Times New Roman" w:eastAsia="Times New Roman" w:cs="Times New Roman"/>
          <w:b w:val="0"/>
          <w:i w:val="0"/>
          <w:sz w:val="26"/>
        </w:rPr>
        <w:t>2.1. Tiêu chí lựa chọn cổ phiếu</w:t>
      </w:r>
      <w:r>
        <w:rPr>
          <w:rFonts w:ascii="Times New Roman" w:hAnsi="Times New Roman" w:eastAsia="Times New Roman" w:cs="Times New Roman"/>
          <w:b w:val="0"/>
          <w:i w:val="0"/>
          <w:sz w:val="26"/>
        </w:rPr>
        <w:tab/>
        <w:t>3</w:t>
      </w:r>
    </w:p>
    <w:p>
      <w:pPr>
        <w:tabs>
          <w:tab w:pos="9071" w:val="right" w:leader="dot"/>
        </w:tabs>
        <w:spacing w:line="312" w:lineRule="auto" w:after="0" w:before="0"/>
        <w:ind w:left="340"/>
        <w:jc w:val="left"/>
      </w:pPr>
      <w:r>
        <w:rPr>
          <w:rFonts w:ascii="Times New Roman" w:hAnsi="Times New Roman" w:eastAsia="Times New Roman" w:cs="Times New Roman"/>
          <w:b w:val="0"/>
          <w:i w:val="0"/>
          <w:sz w:val="26"/>
        </w:rPr>
        <w:t>2.2. Ngân hàng TMCP Quân đội (MBB – HOSE)</w:t>
      </w:r>
      <w:r>
        <w:rPr>
          <w:rFonts w:ascii="Times New Roman" w:hAnsi="Times New Roman" w:eastAsia="Times New Roman" w:cs="Times New Roman"/>
          <w:b w:val="0"/>
          <w:i w:val="0"/>
          <w:sz w:val="26"/>
        </w:rPr>
        <w:tab/>
        <w:t>4</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2.2.1. Mô hình kinh doanh</w:t>
      </w:r>
      <w:r>
        <w:rPr>
          <w:rFonts w:ascii="Times New Roman" w:hAnsi="Times New Roman" w:eastAsia="Times New Roman" w:cs="Times New Roman"/>
          <w:b w:val="0"/>
          <w:i w:val="0"/>
          <w:sz w:val="26"/>
        </w:rPr>
        <w:tab/>
        <w:t>4</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2.2.2. Kết quả kinh doanh và tình hình tài chính</w:t>
      </w:r>
      <w:r>
        <w:rPr>
          <w:rFonts w:ascii="Times New Roman" w:hAnsi="Times New Roman" w:eastAsia="Times New Roman" w:cs="Times New Roman"/>
          <w:b w:val="0"/>
          <w:i w:val="0"/>
          <w:sz w:val="26"/>
        </w:rPr>
        <w:tab/>
        <w:t>4</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2.2.3. Chính sách cổ tức, rủi ro và triển vọng tăng trưởng</w:t>
      </w:r>
      <w:r>
        <w:rPr>
          <w:rFonts w:ascii="Times New Roman" w:hAnsi="Times New Roman" w:eastAsia="Times New Roman" w:cs="Times New Roman"/>
          <w:b w:val="0"/>
          <w:i w:val="0"/>
          <w:sz w:val="26"/>
        </w:rPr>
        <w:tab/>
        <w:t>5</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2.2.4. Nhận định về mức giá hợp lý</w:t>
      </w:r>
      <w:r>
        <w:rPr>
          <w:rFonts w:ascii="Times New Roman" w:hAnsi="Times New Roman" w:eastAsia="Times New Roman" w:cs="Times New Roman"/>
          <w:b w:val="0"/>
          <w:i w:val="0"/>
          <w:sz w:val="26"/>
        </w:rPr>
        <w:tab/>
        <w:t>5</w:t>
      </w:r>
    </w:p>
    <w:p>
      <w:pPr>
        <w:tabs>
          <w:tab w:pos="9071" w:val="right" w:leader="dot"/>
        </w:tabs>
        <w:spacing w:line="312" w:lineRule="auto" w:after="0" w:before="0"/>
        <w:ind w:left="340"/>
        <w:jc w:val="left"/>
      </w:pPr>
      <w:r>
        <w:rPr>
          <w:rFonts w:ascii="Times New Roman" w:hAnsi="Times New Roman" w:eastAsia="Times New Roman" w:cs="Times New Roman"/>
          <w:b w:val="0"/>
          <w:i w:val="0"/>
          <w:sz w:val="26"/>
        </w:rPr>
        <w:t>2.3. CTCP Đầu tư Thế Giới Di Động (MWG – HOSE)</w:t>
      </w:r>
      <w:r>
        <w:rPr>
          <w:rFonts w:ascii="Times New Roman" w:hAnsi="Times New Roman" w:eastAsia="Times New Roman" w:cs="Times New Roman"/>
          <w:b w:val="0"/>
          <w:i w:val="0"/>
          <w:sz w:val="26"/>
        </w:rPr>
        <w:tab/>
        <w:t>6</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2.3.1. Mô hình kinh doanh</w:t>
      </w:r>
      <w:r>
        <w:rPr>
          <w:rFonts w:ascii="Times New Roman" w:hAnsi="Times New Roman" w:eastAsia="Times New Roman" w:cs="Times New Roman"/>
          <w:b w:val="0"/>
          <w:i w:val="0"/>
          <w:sz w:val="26"/>
        </w:rPr>
        <w:tab/>
        <w:t>6</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2.3.2. Kết quả kinh doanh và tình hình tài chính</w:t>
      </w:r>
      <w:r>
        <w:rPr>
          <w:rFonts w:ascii="Times New Roman" w:hAnsi="Times New Roman" w:eastAsia="Times New Roman" w:cs="Times New Roman"/>
          <w:b w:val="0"/>
          <w:i w:val="0"/>
          <w:sz w:val="26"/>
        </w:rPr>
        <w:tab/>
        <w:t>6</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2.3.3. Chính sách cổ tức, rủi ro và triển vọng tăng trưởng</w:t>
      </w:r>
      <w:r>
        <w:rPr>
          <w:rFonts w:ascii="Times New Roman" w:hAnsi="Times New Roman" w:eastAsia="Times New Roman" w:cs="Times New Roman"/>
          <w:b w:val="0"/>
          <w:i w:val="0"/>
          <w:sz w:val="26"/>
        </w:rPr>
        <w:tab/>
        <w:t>6</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2.3.4. Nhận định về mức giá hợp lý</w:t>
      </w:r>
      <w:r>
        <w:rPr>
          <w:rFonts w:ascii="Times New Roman" w:hAnsi="Times New Roman" w:eastAsia="Times New Roman" w:cs="Times New Roman"/>
          <w:b w:val="0"/>
          <w:i w:val="0"/>
          <w:sz w:val="26"/>
        </w:rPr>
        <w:tab/>
        <w:t>6</w:t>
      </w:r>
    </w:p>
    <w:p>
      <w:pPr>
        <w:tabs>
          <w:tab w:pos="9071" w:val="right" w:leader="dot"/>
        </w:tabs>
        <w:spacing w:line="312" w:lineRule="auto" w:after="0" w:before="0"/>
        <w:ind w:left="340"/>
        <w:jc w:val="left"/>
      </w:pPr>
      <w:r>
        <w:rPr>
          <w:rFonts w:ascii="Times New Roman" w:hAnsi="Times New Roman" w:eastAsia="Times New Roman" w:cs="Times New Roman"/>
          <w:b w:val="0"/>
          <w:i w:val="0"/>
          <w:sz w:val="26"/>
        </w:rPr>
        <w:t>2.4. Tổng Công ty Khí Việt Nam (GAS – HOSE)</w:t>
      </w:r>
      <w:r>
        <w:rPr>
          <w:rFonts w:ascii="Times New Roman" w:hAnsi="Times New Roman" w:eastAsia="Times New Roman" w:cs="Times New Roman"/>
          <w:b w:val="0"/>
          <w:i w:val="0"/>
          <w:sz w:val="26"/>
        </w:rPr>
        <w:tab/>
        <w:t>7</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2.4.1. Mô hình kinh doanh</w:t>
      </w:r>
      <w:r>
        <w:rPr>
          <w:rFonts w:ascii="Times New Roman" w:hAnsi="Times New Roman" w:eastAsia="Times New Roman" w:cs="Times New Roman"/>
          <w:b w:val="0"/>
          <w:i w:val="0"/>
          <w:sz w:val="26"/>
        </w:rPr>
        <w:tab/>
        <w:t>7</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2.4.2. Kết quả kinh doanh và tình hình tài chính</w:t>
      </w:r>
      <w:r>
        <w:rPr>
          <w:rFonts w:ascii="Times New Roman" w:hAnsi="Times New Roman" w:eastAsia="Times New Roman" w:cs="Times New Roman"/>
          <w:b w:val="0"/>
          <w:i w:val="0"/>
          <w:sz w:val="26"/>
        </w:rPr>
        <w:tab/>
        <w:t>7</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2.4.3. Chính sách cổ tức, rủi ro và triển vọng tăng trưởng</w:t>
      </w:r>
      <w:r>
        <w:rPr>
          <w:rFonts w:ascii="Times New Roman" w:hAnsi="Times New Roman" w:eastAsia="Times New Roman" w:cs="Times New Roman"/>
          <w:b w:val="0"/>
          <w:i w:val="0"/>
          <w:sz w:val="26"/>
        </w:rPr>
        <w:tab/>
        <w:t>7</w:t>
      </w:r>
    </w:p>
    <w:p>
      <w:pPr>
        <w:tabs>
          <w:tab w:pos="9071" w:val="right" w:leader="dot"/>
        </w:tabs>
        <w:spacing w:line="312" w:lineRule="auto" w:after="0" w:before="0"/>
        <w:ind w:left="680"/>
        <w:jc w:val="left"/>
      </w:pPr>
      <w:r>
        <w:rPr>
          <w:rFonts w:ascii="Times New Roman" w:hAnsi="Times New Roman" w:eastAsia="Times New Roman" w:cs="Times New Roman"/>
          <w:b w:val="0"/>
          <w:i/>
          <w:sz w:val="26"/>
        </w:rPr>
        <w:t>2.4.4. Nhận định về mức giá hợp lý</w:t>
      </w:r>
      <w:r>
        <w:rPr>
          <w:rFonts w:ascii="Times New Roman" w:hAnsi="Times New Roman" w:eastAsia="Times New Roman" w:cs="Times New Roman"/>
          <w:b w:val="0"/>
          <w:i w:val="0"/>
          <w:sz w:val="26"/>
        </w:rPr>
        <w:tab/>
        <w:t>8</w:t>
      </w:r>
    </w:p>
    <w:p>
      <w:pPr>
        <w:tabs>
          <w:tab w:pos="9071" w:val="right" w:leader="dot"/>
        </w:tabs>
        <w:spacing w:line="312" w:lineRule="auto" w:after="0" w:before="0"/>
        <w:ind w:left="340"/>
        <w:jc w:val="left"/>
      </w:pPr>
      <w:r>
        <w:rPr>
          <w:rFonts w:ascii="Times New Roman" w:hAnsi="Times New Roman" w:eastAsia="Times New Roman" w:cs="Times New Roman"/>
          <w:b w:val="0"/>
          <w:i w:val="0"/>
          <w:sz w:val="26"/>
        </w:rPr>
        <w:t>2.5. Tổng hợp và kết luận</w:t>
      </w:r>
      <w:r>
        <w:rPr>
          <w:rFonts w:ascii="Times New Roman" w:hAnsi="Times New Roman" w:eastAsia="Times New Roman" w:cs="Times New Roman"/>
          <w:b w:val="0"/>
          <w:i w:val="0"/>
          <w:sz w:val="26"/>
        </w:rPr>
        <w:tab/>
        <w:t>8</w:t>
      </w:r>
    </w:p>
    <w:p>
      <w:pPr>
        <w:tabs>
          <w:tab w:pos="9071" w:val="right" w:leader="dot"/>
        </w:tabs>
        <w:spacing w:line="312" w:lineRule="auto" w:after="0" w:before="0"/>
        <w:ind w:left="0"/>
        <w:jc w:val="left"/>
      </w:pPr>
      <w:r>
        <w:rPr>
          <w:rFonts w:ascii="Times New Roman" w:hAnsi="Times New Roman" w:eastAsia="Times New Roman" w:cs="Times New Roman"/>
          <w:b/>
          <w:i w:val="0"/>
          <w:sz w:val="26"/>
        </w:rPr>
        <w:t>TÀI LIỆU THAM KHẢO</w:t>
      </w:r>
      <w:r>
        <w:rPr>
          <w:rFonts w:ascii="Times New Roman" w:hAnsi="Times New Roman" w:eastAsia="Times New Roman" w:cs="Times New Roman"/>
          <w:b/>
          <w:i w:val="0"/>
          <w:sz w:val="26"/>
        </w:rPr>
        <w:tab/>
        <w:t>10</w:t>
      </w:r>
    </w:p>
    <w:p>
      <w:r>
        <w:br w:type="page"/>
      </w:r>
    </w:p>
    <w:p>
      <w:pPr>
        <w:pStyle w:val="Heading1"/>
        <w:keepNext/>
        <w:spacing w:line="312" w:lineRule="auto" w:after="240" w:before="0"/>
        <w:jc w:val="center"/>
      </w:pPr>
      <w:r>
        <w:rPr>
          <w:rFonts w:ascii="Times New Roman" w:hAnsi="Times New Roman" w:eastAsia="Times New Roman" w:cs="Times New Roman"/>
          <w:b/>
          <w:i w:val="0"/>
          <w:sz w:val="28"/>
        </w:rPr>
        <w:t>DANH MỤC CÁC BẢNG BIỂU</w:t>
      </w:r>
    </w:p>
    <w:p>
      <w:pPr>
        <w:tabs>
          <w:tab w:pos="9071" w:val="right" w:leader="dot"/>
        </w:tabs>
        <w:spacing w:line="312" w:lineRule="auto" w:after="0" w:before="0"/>
        <w:ind w:left="0"/>
        <w:jc w:val="left"/>
      </w:pPr>
      <w:r>
        <w:rPr>
          <w:rFonts w:ascii="Times New Roman" w:hAnsi="Times New Roman" w:eastAsia="Times New Roman" w:cs="Times New Roman"/>
          <w:b w:val="0"/>
          <w:i w:val="0"/>
          <w:sz w:val="26"/>
        </w:rPr>
        <w:t>Bảng 1-1. Kịch bản VN-Index đến ngày 25/11/2026</w:t>
      </w:r>
      <w:r>
        <w:rPr>
          <w:rFonts w:ascii="Times New Roman" w:hAnsi="Times New Roman" w:eastAsia="Times New Roman" w:cs="Times New Roman"/>
          <w:b w:val="0"/>
          <w:i w:val="0"/>
          <w:sz w:val="26"/>
        </w:rPr>
        <w:tab/>
        <w:t>2</w:t>
      </w:r>
    </w:p>
    <w:p>
      <w:pPr>
        <w:tabs>
          <w:tab w:pos="9071" w:val="right" w:leader="dot"/>
        </w:tabs>
        <w:spacing w:line="312" w:lineRule="auto" w:after="0" w:before="0"/>
        <w:ind w:left="0"/>
        <w:jc w:val="left"/>
      </w:pPr>
      <w:r>
        <w:rPr>
          <w:rFonts w:ascii="Times New Roman" w:hAnsi="Times New Roman" w:eastAsia="Times New Roman" w:cs="Times New Roman"/>
          <w:b w:val="0"/>
          <w:i w:val="0"/>
          <w:sz w:val="26"/>
        </w:rPr>
        <w:t>Bảng 1-2. Đánh giá triển vọng các ngành ứng viên</w:t>
      </w:r>
      <w:r>
        <w:rPr>
          <w:rFonts w:ascii="Times New Roman" w:hAnsi="Times New Roman" w:eastAsia="Times New Roman" w:cs="Times New Roman"/>
          <w:b w:val="0"/>
          <w:i w:val="0"/>
          <w:sz w:val="26"/>
        </w:rPr>
        <w:tab/>
        <w:t>2</w:t>
      </w:r>
    </w:p>
    <w:p>
      <w:pPr>
        <w:tabs>
          <w:tab w:pos="9071" w:val="right" w:leader="dot"/>
        </w:tabs>
        <w:spacing w:line="312" w:lineRule="auto" w:after="0" w:before="0"/>
        <w:ind w:left="0"/>
        <w:jc w:val="left"/>
      </w:pPr>
      <w:r>
        <w:rPr>
          <w:rFonts w:ascii="Times New Roman" w:hAnsi="Times New Roman" w:eastAsia="Times New Roman" w:cs="Times New Roman"/>
          <w:b w:val="0"/>
          <w:i w:val="0"/>
          <w:sz w:val="26"/>
        </w:rPr>
        <w:t>Bảng 1-3. Vai trò của từng cổ phiếu trong chiến lược cân bằng</w:t>
      </w:r>
      <w:r>
        <w:rPr>
          <w:rFonts w:ascii="Times New Roman" w:hAnsi="Times New Roman" w:eastAsia="Times New Roman" w:cs="Times New Roman"/>
          <w:b w:val="0"/>
          <w:i w:val="0"/>
          <w:sz w:val="26"/>
        </w:rPr>
        <w:tab/>
        <w:t>3</w:t>
      </w:r>
    </w:p>
    <w:p>
      <w:pPr>
        <w:tabs>
          <w:tab w:pos="9071" w:val="right" w:leader="dot"/>
        </w:tabs>
        <w:spacing w:line="312" w:lineRule="auto" w:after="0" w:before="0"/>
        <w:ind w:left="0"/>
        <w:jc w:val="left"/>
      </w:pPr>
      <w:r>
        <w:rPr>
          <w:rFonts w:ascii="Times New Roman" w:hAnsi="Times New Roman" w:eastAsia="Times New Roman" w:cs="Times New Roman"/>
          <w:b w:val="0"/>
          <w:i w:val="0"/>
          <w:sz w:val="26"/>
        </w:rPr>
        <w:t>Bảng 2-1. Kết quả sàng lọc các cổ phiếu ứng viên</w:t>
      </w:r>
      <w:r>
        <w:rPr>
          <w:rFonts w:ascii="Times New Roman" w:hAnsi="Times New Roman" w:eastAsia="Times New Roman" w:cs="Times New Roman"/>
          <w:b w:val="0"/>
          <w:i w:val="0"/>
          <w:sz w:val="26"/>
        </w:rPr>
        <w:tab/>
        <w:t>4</w:t>
      </w:r>
    </w:p>
    <w:p>
      <w:pPr>
        <w:tabs>
          <w:tab w:pos="9071" w:val="right" w:leader="dot"/>
        </w:tabs>
        <w:spacing w:line="312" w:lineRule="auto" w:after="0" w:before="0"/>
        <w:ind w:left="0"/>
        <w:jc w:val="left"/>
      </w:pPr>
      <w:r>
        <w:rPr>
          <w:rFonts w:ascii="Times New Roman" w:hAnsi="Times New Roman" w:eastAsia="Times New Roman" w:cs="Times New Roman"/>
          <w:b w:val="0"/>
          <w:i w:val="0"/>
          <w:sz w:val="26"/>
        </w:rPr>
        <w:t>Bảng 2-2. Kết quả kinh doanh chính của MBB</w:t>
      </w:r>
      <w:r>
        <w:rPr>
          <w:rFonts w:ascii="Times New Roman" w:hAnsi="Times New Roman" w:eastAsia="Times New Roman" w:cs="Times New Roman"/>
          <w:b w:val="0"/>
          <w:i w:val="0"/>
          <w:sz w:val="26"/>
        </w:rPr>
        <w:tab/>
        <w:t>4</w:t>
      </w:r>
    </w:p>
    <w:p>
      <w:pPr>
        <w:tabs>
          <w:tab w:pos="9071" w:val="right" w:leader="dot"/>
        </w:tabs>
        <w:spacing w:line="312" w:lineRule="auto" w:after="0" w:before="0"/>
        <w:ind w:left="0"/>
        <w:jc w:val="left"/>
      </w:pPr>
      <w:r>
        <w:rPr>
          <w:rFonts w:ascii="Times New Roman" w:hAnsi="Times New Roman" w:eastAsia="Times New Roman" w:cs="Times New Roman"/>
          <w:b w:val="0"/>
          <w:i w:val="0"/>
          <w:sz w:val="26"/>
        </w:rPr>
        <w:t>Bảng 2-3. Định giá MBB theo P/B hợp lý</w:t>
      </w:r>
      <w:r>
        <w:rPr>
          <w:rFonts w:ascii="Times New Roman" w:hAnsi="Times New Roman" w:eastAsia="Times New Roman" w:cs="Times New Roman"/>
          <w:b w:val="0"/>
          <w:i w:val="0"/>
          <w:sz w:val="26"/>
        </w:rPr>
        <w:tab/>
        <w:t>5</w:t>
      </w:r>
    </w:p>
    <w:p>
      <w:pPr>
        <w:tabs>
          <w:tab w:pos="9071" w:val="right" w:leader="dot"/>
        </w:tabs>
        <w:spacing w:line="312" w:lineRule="auto" w:after="0" w:before="0"/>
        <w:ind w:left="0"/>
        <w:jc w:val="left"/>
      </w:pPr>
      <w:r>
        <w:rPr>
          <w:rFonts w:ascii="Times New Roman" w:hAnsi="Times New Roman" w:eastAsia="Times New Roman" w:cs="Times New Roman"/>
          <w:b w:val="0"/>
          <w:i w:val="0"/>
          <w:sz w:val="26"/>
        </w:rPr>
        <w:t>Bảng 2-4. Kết quả kinh doanh chính của MWG</w:t>
      </w:r>
      <w:r>
        <w:rPr>
          <w:rFonts w:ascii="Times New Roman" w:hAnsi="Times New Roman" w:eastAsia="Times New Roman" w:cs="Times New Roman"/>
          <w:b w:val="0"/>
          <w:i w:val="0"/>
          <w:sz w:val="26"/>
        </w:rPr>
        <w:tab/>
        <w:t>6</w:t>
      </w:r>
    </w:p>
    <w:p>
      <w:pPr>
        <w:tabs>
          <w:tab w:pos="9071" w:val="right" w:leader="dot"/>
        </w:tabs>
        <w:spacing w:line="312" w:lineRule="auto" w:after="0" w:before="0"/>
        <w:ind w:left="0"/>
        <w:jc w:val="left"/>
      </w:pPr>
      <w:r>
        <w:rPr>
          <w:rFonts w:ascii="Times New Roman" w:hAnsi="Times New Roman" w:eastAsia="Times New Roman" w:cs="Times New Roman"/>
          <w:b w:val="0"/>
          <w:i w:val="0"/>
          <w:sz w:val="26"/>
        </w:rPr>
        <w:t>Bảng 2-5. Kết quả kinh doanh chính của GAS</w:t>
      </w:r>
      <w:r>
        <w:rPr>
          <w:rFonts w:ascii="Times New Roman" w:hAnsi="Times New Roman" w:eastAsia="Times New Roman" w:cs="Times New Roman"/>
          <w:b w:val="0"/>
          <w:i w:val="0"/>
          <w:sz w:val="26"/>
        </w:rPr>
        <w:tab/>
        <w:t>7</w:t>
      </w:r>
    </w:p>
    <w:p>
      <w:pPr>
        <w:tabs>
          <w:tab w:pos="9071" w:val="right" w:leader="dot"/>
        </w:tabs>
        <w:spacing w:line="312" w:lineRule="auto" w:after="0" w:before="0"/>
        <w:ind w:left="0"/>
        <w:jc w:val="left"/>
      </w:pPr>
      <w:r>
        <w:rPr>
          <w:rFonts w:ascii="Times New Roman" w:hAnsi="Times New Roman" w:eastAsia="Times New Roman" w:cs="Times New Roman"/>
          <w:b w:val="0"/>
          <w:i w:val="0"/>
          <w:sz w:val="26"/>
        </w:rPr>
        <w:t>Bảng 2-6. So sánh ba cổ phiếu được chọn</w:t>
      </w:r>
      <w:r>
        <w:rPr>
          <w:rFonts w:ascii="Times New Roman" w:hAnsi="Times New Roman" w:eastAsia="Times New Roman" w:cs="Times New Roman"/>
          <w:b w:val="0"/>
          <w:i w:val="0"/>
          <w:sz w:val="26"/>
        </w:rPr>
        <w:tab/>
        <w:t>8</w:t>
      </w:r>
    </w:p>
    <w:p/>
    <w:p>
      <w:pPr>
        <w:pStyle w:val="Heading1"/>
        <w:keepNext/>
        <w:spacing w:line="312" w:lineRule="auto" w:after="240" w:before="0"/>
        <w:jc w:val="center"/>
      </w:pPr>
      <w:r>
        <w:rPr>
          <w:rFonts w:ascii="Times New Roman" w:hAnsi="Times New Roman" w:eastAsia="Times New Roman" w:cs="Times New Roman"/>
          <w:b/>
          <w:i w:val="0"/>
          <w:sz w:val="28"/>
        </w:rPr>
        <w:t>DANH MỤC CÁC HÌNH VẼ, ĐỒ THỊ</w:t>
      </w:r>
    </w:p>
    <w:p>
      <w:pPr>
        <w:tabs>
          <w:tab w:pos="9071" w:val="right" w:leader="dot"/>
        </w:tabs>
        <w:spacing w:line="312" w:lineRule="auto" w:after="0" w:before="0"/>
        <w:ind w:left="0"/>
        <w:jc w:val="left"/>
      </w:pPr>
      <w:r>
        <w:rPr>
          <w:rFonts w:ascii="Times New Roman" w:hAnsi="Times New Roman" w:eastAsia="Times New Roman" w:cs="Times New Roman"/>
          <w:b w:val="0"/>
          <w:i w:val="0"/>
          <w:sz w:val="26"/>
        </w:rPr>
        <w:t>Hình 2.1. Vùng giá hợp lý của MBB, MWG, GAS so với giá hiện tại</w:t>
      </w:r>
      <w:r>
        <w:rPr>
          <w:rFonts w:ascii="Times New Roman" w:hAnsi="Times New Roman" w:eastAsia="Times New Roman" w:cs="Times New Roman"/>
          <w:b w:val="0"/>
          <w:i w:val="0"/>
          <w:sz w:val="26"/>
        </w:rPr>
        <w:tab/>
        <w:t>8</w:t>
      </w:r>
    </w:p>
    <w:p>
      <w:r>
        <w:br w:type="page"/>
      </w:r>
    </w:p>
    <w:p>
      <w:pPr>
        <w:pStyle w:val="Heading1"/>
        <w:keepNext/>
        <w:spacing w:line="312" w:lineRule="auto" w:after="240" w:before="0"/>
        <w:jc w:val="center"/>
      </w:pPr>
      <w:r>
        <w:rPr>
          <w:rFonts w:ascii="Times New Roman" w:hAnsi="Times New Roman" w:eastAsia="Times New Roman" w:cs="Times New Roman"/>
          <w:b/>
          <w:i w:val="0"/>
          <w:sz w:val="28"/>
        </w:rPr>
        <w:t>DANH MỤC CÁC KÝ HIỆU, CHỮ VIẾT TẮT</w:t>
      </w:r>
    </w:p>
    <w:tbl>
      <w:tblPr>
        <w:tblStyle w:val="TableGrid"/>
        <w:jc w:val="center"/>
        <w:tblLook w:firstColumn="1" w:firstRow="1" w:lastColumn="0" w:lastRow="0" w:noHBand="0" w:noVBand="1" w:val="04A0"/>
        <w:tblW w:w="9071" w:type="dxa"/>
        <w:tblLayout w:type="fixed"/>
      </w:tblPr>
      <w:tblGrid>
        <w:gridCol w:w="1984"/>
        <w:gridCol w:w="7087"/>
      </w:tblGrid>
      <w:tr>
        <w:tc>
          <w:tcPr>
            <w:tcW w:type="dxa" w:w="1984"/>
          </w:tcPr>
          <w:p>
            <w:pPr>
              <w:spacing w:line="240" w:lineRule="auto"/>
              <w:jc w:val="center"/>
            </w:pPr>
            <w:r>
              <w:rPr>
                <w:rFonts w:ascii="Times New Roman" w:hAnsi="Times New Roman" w:eastAsia="Times New Roman" w:cs="Times New Roman"/>
                <w:b/>
                <w:i w:val="0"/>
                <w:sz w:val="24"/>
              </w:rPr>
              <w:t>Chữ viết tắt</w:t>
            </w:r>
          </w:p>
        </w:tc>
        <w:tc>
          <w:tcPr>
            <w:tcW w:type="dxa" w:w="7087"/>
          </w:tcPr>
          <w:p>
            <w:pPr>
              <w:spacing w:line="240" w:lineRule="auto"/>
              <w:jc w:val="center"/>
            </w:pPr>
            <w:r>
              <w:rPr>
                <w:rFonts w:ascii="Times New Roman" w:hAnsi="Times New Roman" w:eastAsia="Times New Roman" w:cs="Times New Roman"/>
                <w:b/>
                <w:i w:val="0"/>
                <w:sz w:val="24"/>
              </w:rPr>
              <w:t>Nguyên nghĩa</w:t>
            </w:r>
          </w:p>
        </w:tc>
      </w:tr>
      <w:tr>
        <w:tc>
          <w:tcPr>
            <w:tcW w:type="dxa" w:w="1984"/>
          </w:tcPr>
          <w:p>
            <w:pPr>
              <w:spacing w:line="240" w:lineRule="auto"/>
              <w:jc w:val="left"/>
            </w:pPr>
            <w:r>
              <w:rPr>
                <w:rFonts w:ascii="Times New Roman" w:hAnsi="Times New Roman" w:eastAsia="Times New Roman" w:cs="Times New Roman"/>
                <w:b w:val="0"/>
                <w:i w:val="0"/>
                <w:sz w:val="24"/>
              </w:rPr>
              <w:t>BVPS</w:t>
            </w:r>
          </w:p>
        </w:tc>
        <w:tc>
          <w:tcPr>
            <w:tcW w:type="dxa" w:w="7087"/>
          </w:tcPr>
          <w:p>
            <w:pPr>
              <w:spacing w:line="240" w:lineRule="auto"/>
              <w:jc w:val="left"/>
            </w:pPr>
            <w:r>
              <w:rPr>
                <w:rFonts w:ascii="Times New Roman" w:hAnsi="Times New Roman" w:eastAsia="Times New Roman" w:cs="Times New Roman"/>
                <w:b w:val="0"/>
                <w:i w:val="0"/>
                <w:sz w:val="24"/>
              </w:rPr>
              <w:t>Giá trị sổ sách trên mỗi cổ phiếu (Book Value Per Share)</w:t>
            </w:r>
          </w:p>
        </w:tc>
      </w:tr>
      <w:tr>
        <w:tc>
          <w:tcPr>
            <w:tcW w:type="dxa" w:w="1984"/>
          </w:tcPr>
          <w:p>
            <w:pPr>
              <w:spacing w:line="240" w:lineRule="auto"/>
              <w:jc w:val="left"/>
            </w:pPr>
            <w:r>
              <w:rPr>
                <w:rFonts w:ascii="Times New Roman" w:hAnsi="Times New Roman" w:eastAsia="Times New Roman" w:cs="Times New Roman"/>
                <w:b w:val="0"/>
                <w:i w:val="0"/>
                <w:sz w:val="24"/>
              </w:rPr>
              <w:t>CAPM</w:t>
            </w:r>
          </w:p>
        </w:tc>
        <w:tc>
          <w:tcPr>
            <w:tcW w:type="dxa" w:w="7087"/>
          </w:tcPr>
          <w:p>
            <w:pPr>
              <w:spacing w:line="240" w:lineRule="auto"/>
              <w:jc w:val="left"/>
            </w:pPr>
            <w:r>
              <w:rPr>
                <w:rFonts w:ascii="Times New Roman" w:hAnsi="Times New Roman" w:eastAsia="Times New Roman" w:cs="Times New Roman"/>
                <w:b w:val="0"/>
                <w:i w:val="0"/>
                <w:sz w:val="24"/>
              </w:rPr>
              <w:t>Mô hình định giá tài sản vốn (Capital Asset Pricing Model)</w:t>
            </w:r>
          </w:p>
        </w:tc>
      </w:tr>
      <w:tr>
        <w:tc>
          <w:tcPr>
            <w:tcW w:type="dxa" w:w="1984"/>
          </w:tcPr>
          <w:p>
            <w:pPr>
              <w:spacing w:line="240" w:lineRule="auto"/>
              <w:jc w:val="left"/>
            </w:pPr>
            <w:r>
              <w:rPr>
                <w:rFonts w:ascii="Times New Roman" w:hAnsi="Times New Roman" w:eastAsia="Times New Roman" w:cs="Times New Roman"/>
                <w:b w:val="0"/>
                <w:i w:val="0"/>
                <w:sz w:val="24"/>
              </w:rPr>
              <w:t>CASA</w:t>
            </w:r>
          </w:p>
        </w:tc>
        <w:tc>
          <w:tcPr>
            <w:tcW w:type="dxa" w:w="7087"/>
          </w:tcPr>
          <w:p>
            <w:pPr>
              <w:spacing w:line="240" w:lineRule="auto"/>
              <w:jc w:val="left"/>
            </w:pPr>
            <w:r>
              <w:rPr>
                <w:rFonts w:ascii="Times New Roman" w:hAnsi="Times New Roman" w:eastAsia="Times New Roman" w:cs="Times New Roman"/>
                <w:b w:val="0"/>
                <w:i w:val="0"/>
                <w:sz w:val="24"/>
              </w:rPr>
              <w:t>Tiền gửi không kỳ hạn (Current Account Savings Account)</w:t>
            </w:r>
          </w:p>
        </w:tc>
      </w:tr>
      <w:tr>
        <w:tc>
          <w:tcPr>
            <w:tcW w:type="dxa" w:w="1984"/>
          </w:tcPr>
          <w:p>
            <w:pPr>
              <w:spacing w:line="240" w:lineRule="auto"/>
              <w:jc w:val="left"/>
            </w:pPr>
            <w:r>
              <w:rPr>
                <w:rFonts w:ascii="Times New Roman" w:hAnsi="Times New Roman" w:eastAsia="Times New Roman" w:cs="Times New Roman"/>
                <w:b w:val="0"/>
                <w:i w:val="0"/>
                <w:sz w:val="24"/>
              </w:rPr>
              <w:t>CPI</w:t>
            </w:r>
          </w:p>
        </w:tc>
        <w:tc>
          <w:tcPr>
            <w:tcW w:type="dxa" w:w="7087"/>
          </w:tcPr>
          <w:p>
            <w:pPr>
              <w:spacing w:line="240" w:lineRule="auto"/>
              <w:jc w:val="left"/>
            </w:pPr>
            <w:r>
              <w:rPr>
                <w:rFonts w:ascii="Times New Roman" w:hAnsi="Times New Roman" w:eastAsia="Times New Roman" w:cs="Times New Roman"/>
                <w:b w:val="0"/>
                <w:i w:val="0"/>
                <w:sz w:val="24"/>
              </w:rPr>
              <w:t>Chỉ số giá tiêu dùng (Consumer Price Index)</w:t>
            </w:r>
          </w:p>
        </w:tc>
      </w:tr>
      <w:tr>
        <w:tc>
          <w:tcPr>
            <w:tcW w:type="dxa" w:w="1984"/>
          </w:tcPr>
          <w:p>
            <w:pPr>
              <w:spacing w:line="240" w:lineRule="auto"/>
              <w:jc w:val="left"/>
            </w:pPr>
            <w:r>
              <w:rPr>
                <w:rFonts w:ascii="Times New Roman" w:hAnsi="Times New Roman" w:eastAsia="Times New Roman" w:cs="Times New Roman"/>
                <w:b w:val="0"/>
                <w:i w:val="0"/>
                <w:sz w:val="24"/>
              </w:rPr>
              <w:t>CTCK</w:t>
            </w:r>
          </w:p>
        </w:tc>
        <w:tc>
          <w:tcPr>
            <w:tcW w:type="dxa" w:w="7087"/>
          </w:tcPr>
          <w:p>
            <w:pPr>
              <w:spacing w:line="240" w:lineRule="auto"/>
              <w:jc w:val="left"/>
            </w:pPr>
            <w:r>
              <w:rPr>
                <w:rFonts w:ascii="Times New Roman" w:hAnsi="Times New Roman" w:eastAsia="Times New Roman" w:cs="Times New Roman"/>
                <w:b w:val="0"/>
                <w:i w:val="0"/>
                <w:sz w:val="24"/>
              </w:rPr>
              <w:t>Công ty chứng khoán</w:t>
            </w:r>
          </w:p>
        </w:tc>
      </w:tr>
      <w:tr>
        <w:tc>
          <w:tcPr>
            <w:tcW w:type="dxa" w:w="1984"/>
          </w:tcPr>
          <w:p>
            <w:pPr>
              <w:spacing w:line="240" w:lineRule="auto"/>
              <w:jc w:val="left"/>
            </w:pPr>
            <w:r>
              <w:rPr>
                <w:rFonts w:ascii="Times New Roman" w:hAnsi="Times New Roman" w:eastAsia="Times New Roman" w:cs="Times New Roman"/>
                <w:b w:val="0"/>
                <w:i w:val="0"/>
                <w:sz w:val="24"/>
              </w:rPr>
              <w:t>DDM</w:t>
            </w:r>
          </w:p>
        </w:tc>
        <w:tc>
          <w:tcPr>
            <w:tcW w:type="dxa" w:w="7087"/>
          </w:tcPr>
          <w:p>
            <w:pPr>
              <w:spacing w:line="240" w:lineRule="auto"/>
              <w:jc w:val="left"/>
            </w:pPr>
            <w:r>
              <w:rPr>
                <w:rFonts w:ascii="Times New Roman" w:hAnsi="Times New Roman" w:eastAsia="Times New Roman" w:cs="Times New Roman"/>
                <w:b w:val="0"/>
                <w:i w:val="0"/>
                <w:sz w:val="24"/>
              </w:rPr>
              <w:t>Mô hình chiết khấu cổ tức (Dividend Discount Model)</w:t>
            </w:r>
          </w:p>
        </w:tc>
      </w:tr>
      <w:tr>
        <w:tc>
          <w:tcPr>
            <w:tcW w:type="dxa" w:w="1984"/>
          </w:tcPr>
          <w:p>
            <w:pPr>
              <w:spacing w:line="240" w:lineRule="auto"/>
              <w:jc w:val="left"/>
            </w:pPr>
            <w:r>
              <w:rPr>
                <w:rFonts w:ascii="Times New Roman" w:hAnsi="Times New Roman" w:eastAsia="Times New Roman" w:cs="Times New Roman"/>
                <w:b w:val="0"/>
                <w:i w:val="0"/>
                <w:sz w:val="24"/>
              </w:rPr>
              <w:t>EPS</w:t>
            </w:r>
          </w:p>
        </w:tc>
        <w:tc>
          <w:tcPr>
            <w:tcW w:type="dxa" w:w="7087"/>
          </w:tcPr>
          <w:p>
            <w:pPr>
              <w:spacing w:line="240" w:lineRule="auto"/>
              <w:jc w:val="left"/>
            </w:pPr>
            <w:r>
              <w:rPr>
                <w:rFonts w:ascii="Times New Roman" w:hAnsi="Times New Roman" w:eastAsia="Times New Roman" w:cs="Times New Roman"/>
                <w:b w:val="0"/>
                <w:i w:val="0"/>
                <w:sz w:val="24"/>
              </w:rPr>
              <w:t>Lợi nhuận trên mỗi cổ phiếu (Earnings Per Share)</w:t>
            </w:r>
          </w:p>
        </w:tc>
      </w:tr>
      <w:tr>
        <w:tc>
          <w:tcPr>
            <w:tcW w:type="dxa" w:w="1984"/>
          </w:tcPr>
          <w:p>
            <w:pPr>
              <w:spacing w:line="240" w:lineRule="auto"/>
              <w:jc w:val="left"/>
            </w:pPr>
            <w:r>
              <w:rPr>
                <w:rFonts w:ascii="Times New Roman" w:hAnsi="Times New Roman" w:eastAsia="Times New Roman" w:cs="Times New Roman"/>
                <w:b w:val="0"/>
                <w:i w:val="0"/>
                <w:sz w:val="24"/>
              </w:rPr>
              <w:t>GDP</w:t>
            </w:r>
          </w:p>
        </w:tc>
        <w:tc>
          <w:tcPr>
            <w:tcW w:type="dxa" w:w="7087"/>
          </w:tcPr>
          <w:p>
            <w:pPr>
              <w:spacing w:line="240" w:lineRule="auto"/>
              <w:jc w:val="left"/>
            </w:pPr>
            <w:r>
              <w:rPr>
                <w:rFonts w:ascii="Times New Roman" w:hAnsi="Times New Roman" w:eastAsia="Times New Roman" w:cs="Times New Roman"/>
                <w:b w:val="0"/>
                <w:i w:val="0"/>
                <w:sz w:val="24"/>
              </w:rPr>
              <w:t>Tổng sản phẩm trong nước (Gross Domestic Product)</w:t>
            </w:r>
          </w:p>
        </w:tc>
      </w:tr>
      <w:tr>
        <w:tc>
          <w:tcPr>
            <w:tcW w:type="dxa" w:w="1984"/>
          </w:tcPr>
          <w:p>
            <w:pPr>
              <w:spacing w:line="240" w:lineRule="auto"/>
              <w:jc w:val="left"/>
            </w:pPr>
            <w:r>
              <w:rPr>
                <w:rFonts w:ascii="Times New Roman" w:hAnsi="Times New Roman" w:eastAsia="Times New Roman" w:cs="Times New Roman"/>
                <w:b w:val="0"/>
                <w:i w:val="0"/>
                <w:sz w:val="24"/>
              </w:rPr>
              <w:t>HOSE</w:t>
            </w:r>
          </w:p>
        </w:tc>
        <w:tc>
          <w:tcPr>
            <w:tcW w:type="dxa" w:w="7087"/>
          </w:tcPr>
          <w:p>
            <w:pPr>
              <w:spacing w:line="240" w:lineRule="auto"/>
              <w:jc w:val="left"/>
            </w:pPr>
            <w:r>
              <w:rPr>
                <w:rFonts w:ascii="Times New Roman" w:hAnsi="Times New Roman" w:eastAsia="Times New Roman" w:cs="Times New Roman"/>
                <w:b w:val="0"/>
                <w:i w:val="0"/>
                <w:sz w:val="24"/>
              </w:rPr>
              <w:t>Sở Giao dịch Chứng khoán TP. Hồ Chí Minh</w:t>
            </w:r>
          </w:p>
        </w:tc>
      </w:tr>
      <w:tr>
        <w:tc>
          <w:tcPr>
            <w:tcW w:type="dxa" w:w="1984"/>
          </w:tcPr>
          <w:p>
            <w:pPr>
              <w:spacing w:line="240" w:lineRule="auto"/>
              <w:jc w:val="left"/>
            </w:pPr>
            <w:r>
              <w:rPr>
                <w:rFonts w:ascii="Times New Roman" w:hAnsi="Times New Roman" w:eastAsia="Times New Roman" w:cs="Times New Roman"/>
                <w:b w:val="0"/>
                <w:i w:val="0"/>
                <w:sz w:val="24"/>
              </w:rPr>
              <w:t>LNG / LPG</w:t>
            </w:r>
          </w:p>
        </w:tc>
        <w:tc>
          <w:tcPr>
            <w:tcW w:type="dxa" w:w="7087"/>
          </w:tcPr>
          <w:p>
            <w:pPr>
              <w:spacing w:line="240" w:lineRule="auto"/>
              <w:jc w:val="left"/>
            </w:pPr>
            <w:r>
              <w:rPr>
                <w:rFonts w:ascii="Times New Roman" w:hAnsi="Times New Roman" w:eastAsia="Times New Roman" w:cs="Times New Roman"/>
                <w:b w:val="0"/>
                <w:i w:val="0"/>
                <w:sz w:val="24"/>
              </w:rPr>
              <w:t>Khí thiên nhiên hóa lỏng / Khí dầu mỏ hóa lỏng</w:t>
            </w:r>
          </w:p>
        </w:tc>
      </w:tr>
      <w:tr>
        <w:tc>
          <w:tcPr>
            <w:tcW w:type="dxa" w:w="1984"/>
          </w:tcPr>
          <w:p>
            <w:pPr>
              <w:spacing w:line="240" w:lineRule="auto"/>
              <w:jc w:val="left"/>
            </w:pPr>
            <w:r>
              <w:rPr>
                <w:rFonts w:ascii="Times New Roman" w:hAnsi="Times New Roman" w:eastAsia="Times New Roman" w:cs="Times New Roman"/>
                <w:b w:val="0"/>
                <w:i w:val="0"/>
                <w:sz w:val="24"/>
              </w:rPr>
              <w:t>LNST / LNTT</w:t>
            </w:r>
          </w:p>
        </w:tc>
        <w:tc>
          <w:tcPr>
            <w:tcW w:type="dxa" w:w="7087"/>
          </w:tcPr>
          <w:p>
            <w:pPr>
              <w:spacing w:line="240" w:lineRule="auto"/>
              <w:jc w:val="left"/>
            </w:pPr>
            <w:r>
              <w:rPr>
                <w:rFonts w:ascii="Times New Roman" w:hAnsi="Times New Roman" w:eastAsia="Times New Roman" w:cs="Times New Roman"/>
                <w:b w:val="0"/>
                <w:i w:val="0"/>
                <w:sz w:val="24"/>
              </w:rPr>
              <w:t>Lợi nhuận sau thuế / Lợi nhuận trước thuế</w:t>
            </w:r>
          </w:p>
        </w:tc>
      </w:tr>
      <w:tr>
        <w:tc>
          <w:tcPr>
            <w:tcW w:type="dxa" w:w="1984"/>
          </w:tcPr>
          <w:p>
            <w:pPr>
              <w:spacing w:line="240" w:lineRule="auto"/>
              <w:jc w:val="left"/>
            </w:pPr>
            <w:r>
              <w:rPr>
                <w:rFonts w:ascii="Times New Roman" w:hAnsi="Times New Roman" w:eastAsia="Times New Roman" w:cs="Times New Roman"/>
                <w:b w:val="0"/>
                <w:i w:val="0"/>
                <w:sz w:val="24"/>
              </w:rPr>
              <w:t>NHNN</w:t>
            </w:r>
          </w:p>
        </w:tc>
        <w:tc>
          <w:tcPr>
            <w:tcW w:type="dxa" w:w="7087"/>
          </w:tcPr>
          <w:p>
            <w:pPr>
              <w:spacing w:line="240" w:lineRule="auto"/>
              <w:jc w:val="left"/>
            </w:pPr>
            <w:r>
              <w:rPr>
                <w:rFonts w:ascii="Times New Roman" w:hAnsi="Times New Roman" w:eastAsia="Times New Roman" w:cs="Times New Roman"/>
                <w:b w:val="0"/>
                <w:i w:val="0"/>
                <w:sz w:val="24"/>
              </w:rPr>
              <w:t>Ngân hàng Nhà nước Việt Nam</w:t>
            </w:r>
          </w:p>
        </w:tc>
      </w:tr>
      <w:tr>
        <w:tc>
          <w:tcPr>
            <w:tcW w:type="dxa" w:w="1984"/>
          </w:tcPr>
          <w:p>
            <w:pPr>
              <w:spacing w:line="240" w:lineRule="auto"/>
              <w:jc w:val="left"/>
            </w:pPr>
            <w:r>
              <w:rPr>
                <w:rFonts w:ascii="Times New Roman" w:hAnsi="Times New Roman" w:eastAsia="Times New Roman" w:cs="Times New Roman"/>
                <w:b w:val="0"/>
                <w:i w:val="0"/>
                <w:sz w:val="24"/>
              </w:rPr>
              <w:t>NIM</w:t>
            </w:r>
          </w:p>
        </w:tc>
        <w:tc>
          <w:tcPr>
            <w:tcW w:type="dxa" w:w="7087"/>
          </w:tcPr>
          <w:p>
            <w:pPr>
              <w:spacing w:line="240" w:lineRule="auto"/>
              <w:jc w:val="left"/>
            </w:pPr>
            <w:r>
              <w:rPr>
                <w:rFonts w:ascii="Times New Roman" w:hAnsi="Times New Roman" w:eastAsia="Times New Roman" w:cs="Times New Roman"/>
                <w:b w:val="0"/>
                <w:i w:val="0"/>
                <w:sz w:val="24"/>
              </w:rPr>
              <w:t>Biên lãi ròng (Net Interest Margin)</w:t>
            </w:r>
          </w:p>
        </w:tc>
      </w:tr>
      <w:tr>
        <w:tc>
          <w:tcPr>
            <w:tcW w:type="dxa" w:w="1984"/>
          </w:tcPr>
          <w:p>
            <w:pPr>
              <w:spacing w:line="240" w:lineRule="auto"/>
              <w:jc w:val="left"/>
            </w:pPr>
            <w:r>
              <w:rPr>
                <w:rFonts w:ascii="Times New Roman" w:hAnsi="Times New Roman" w:eastAsia="Times New Roman" w:cs="Times New Roman"/>
                <w:b w:val="0"/>
                <w:i w:val="0"/>
                <w:sz w:val="24"/>
              </w:rPr>
              <w:t>P/B, P/E</w:t>
            </w:r>
          </w:p>
        </w:tc>
        <w:tc>
          <w:tcPr>
            <w:tcW w:type="dxa" w:w="7087"/>
          </w:tcPr>
          <w:p>
            <w:pPr>
              <w:spacing w:line="240" w:lineRule="auto"/>
              <w:jc w:val="left"/>
            </w:pPr>
            <w:r>
              <w:rPr>
                <w:rFonts w:ascii="Times New Roman" w:hAnsi="Times New Roman" w:eastAsia="Times New Roman" w:cs="Times New Roman"/>
                <w:b w:val="0"/>
                <w:i w:val="0"/>
                <w:sz w:val="24"/>
              </w:rPr>
              <w:t>Hệ số giá trên giá trị sổ sách, hệ số giá trên lợi nhuận</w:t>
            </w:r>
          </w:p>
        </w:tc>
      </w:tr>
      <w:tr>
        <w:tc>
          <w:tcPr>
            <w:tcW w:type="dxa" w:w="1984"/>
          </w:tcPr>
          <w:p>
            <w:pPr>
              <w:spacing w:line="240" w:lineRule="auto"/>
              <w:jc w:val="left"/>
            </w:pPr>
            <w:r>
              <w:rPr>
                <w:rFonts w:ascii="Times New Roman" w:hAnsi="Times New Roman" w:eastAsia="Times New Roman" w:cs="Times New Roman"/>
                <w:b w:val="0"/>
                <w:i w:val="0"/>
                <w:sz w:val="24"/>
              </w:rPr>
              <w:t>ROE</w:t>
            </w:r>
          </w:p>
        </w:tc>
        <w:tc>
          <w:tcPr>
            <w:tcW w:type="dxa" w:w="7087"/>
          </w:tcPr>
          <w:p>
            <w:pPr>
              <w:spacing w:line="240" w:lineRule="auto"/>
              <w:jc w:val="left"/>
            </w:pPr>
            <w:r>
              <w:rPr>
                <w:rFonts w:ascii="Times New Roman" w:hAnsi="Times New Roman" w:eastAsia="Times New Roman" w:cs="Times New Roman"/>
                <w:b w:val="0"/>
                <w:i w:val="0"/>
                <w:sz w:val="24"/>
              </w:rPr>
              <w:t>Tỷ suất lợi nhuận trên vốn chủ sở hữu (Return On Equity)</w:t>
            </w:r>
          </w:p>
        </w:tc>
      </w:tr>
      <w:tr>
        <w:tc>
          <w:tcPr>
            <w:tcW w:type="dxa" w:w="1984"/>
          </w:tcPr>
          <w:p>
            <w:pPr>
              <w:spacing w:line="240" w:lineRule="auto"/>
              <w:jc w:val="left"/>
            </w:pPr>
            <w:r>
              <w:rPr>
                <w:rFonts w:ascii="Times New Roman" w:hAnsi="Times New Roman" w:eastAsia="Times New Roman" w:cs="Times New Roman"/>
                <w:b w:val="0"/>
                <w:i w:val="0"/>
                <w:sz w:val="24"/>
              </w:rPr>
              <w:t>Rf, E(RM)</w:t>
            </w:r>
          </w:p>
        </w:tc>
        <w:tc>
          <w:tcPr>
            <w:tcW w:type="dxa" w:w="7087"/>
          </w:tcPr>
          <w:p>
            <w:pPr>
              <w:spacing w:line="240" w:lineRule="auto"/>
              <w:jc w:val="left"/>
            </w:pPr>
            <w:r>
              <w:rPr>
                <w:rFonts w:ascii="Times New Roman" w:hAnsi="Times New Roman" w:eastAsia="Times New Roman" w:cs="Times New Roman"/>
                <w:b w:val="0"/>
                <w:i w:val="0"/>
                <w:sz w:val="24"/>
              </w:rPr>
              <w:t>Lãi suất phi rủi ro, tỷ suất lợi tức kỳ vọng của thị trường</w:t>
            </w:r>
          </w:p>
        </w:tc>
      </w:tr>
    </w:tbl>
    <w:p>
      <w:pPr>
        <w:sectPr>
          <w:footerReference w:type="default" r:id="rId9"/>
          <w:pgSz w:w="11906" w:h="16838"/>
          <w:pgMar w:top="1134" w:right="1134" w:bottom="1134" w:left="1701" w:header="720" w:footer="720" w:gutter="0"/>
          <w:cols w:space="720"/>
          <w:docGrid w:linePitch="360"/>
          <w:pgNumType w:fmt="lowerRoman" w:start="1"/>
        </w:sectPr>
      </w:pPr>
    </w:p>
    <w:p>
      <w:pPr>
        <w:pStyle w:val="Heading1"/>
        <w:keepNext/>
        <w:spacing w:line="312" w:lineRule="auto" w:after="240" w:before="0"/>
        <w:jc w:val="center"/>
      </w:pPr>
      <w:r>
        <w:rPr>
          <w:rFonts w:ascii="Times New Roman" w:hAnsi="Times New Roman" w:eastAsia="Times New Roman" w:cs="Times New Roman"/>
          <w:b/>
          <w:i w:val="0"/>
          <w:sz w:val="28"/>
        </w:rPr>
        <w:t>PHẦN 1. PHÂN TÍCH BỐI CẢNH ĐẦU TƯ</w:t>
      </w:r>
    </w:p>
    <w:p>
      <w:pPr>
        <w:spacing w:line="312" w:lineRule="auto" w:after="120" w:before="0"/>
        <w:ind w:firstLine="720"/>
        <w:jc w:val="both"/>
      </w:pPr>
      <w:r>
        <w:rPr>
          <w:rFonts w:ascii="Times New Roman" w:hAnsi="Times New Roman" w:eastAsia="Times New Roman" w:cs="Times New Roman"/>
          <w:b w:val="0"/>
          <w:i w:val="0"/>
          <w:sz w:val="26"/>
        </w:rPr>
        <w:t xml:space="preserve">Nhóm 7 đóng vai trò công ty quản lý quỹ với vốn đầu tư giả định </w:t>
      </w:r>
      <w:r>
        <w:rPr>
          <w:rFonts w:ascii="Times New Roman" w:hAnsi="Times New Roman" w:eastAsia="Times New Roman" w:cs="Times New Roman"/>
          <w:b/>
          <w:i w:val="0"/>
          <w:sz w:val="26"/>
        </w:rPr>
        <w:t>10 tỷ đồng</w:t>
      </w:r>
      <w:r>
        <w:rPr>
          <w:rFonts w:ascii="Times New Roman" w:hAnsi="Times New Roman" w:eastAsia="Times New Roman" w:cs="Times New Roman"/>
          <w:b w:val="0"/>
          <w:i w:val="0"/>
          <w:sz w:val="26"/>
        </w:rPr>
        <w:t xml:space="preserve">, thời gian đầu tư </w:t>
      </w:r>
      <w:r>
        <w:rPr>
          <w:rFonts w:ascii="Times New Roman" w:hAnsi="Times New Roman" w:eastAsia="Times New Roman" w:cs="Times New Roman"/>
          <w:b/>
          <w:i w:val="0"/>
          <w:sz w:val="26"/>
        </w:rPr>
        <w:t>1 tháng</w:t>
      </w:r>
      <w:r>
        <w:rPr>
          <w:rFonts w:ascii="Times New Roman" w:hAnsi="Times New Roman" w:eastAsia="Times New Roman" w:cs="Times New Roman"/>
          <w:b w:val="0"/>
          <w:i w:val="0"/>
          <w:sz w:val="26"/>
        </w:rPr>
        <w:t xml:space="preserve"> (26/10 – 25/11/2026). Số liệu trong báo cáo cập nhật đến 23/10/2026. Nhóm áp dụng phương pháp </w:t>
      </w:r>
      <w:r>
        <w:rPr>
          <w:rFonts w:ascii="Times New Roman" w:hAnsi="Times New Roman" w:eastAsia="Times New Roman" w:cs="Times New Roman"/>
          <w:b/>
          <w:i w:val="0"/>
          <w:sz w:val="26"/>
        </w:rPr>
        <w:t>top-down</w:t>
      </w:r>
      <w:r>
        <w:rPr>
          <w:rFonts w:ascii="Times New Roman" w:hAnsi="Times New Roman" w:eastAsia="Times New Roman" w:cs="Times New Roman"/>
          <w:b w:val="0"/>
          <w:i w:val="0"/>
          <w:sz w:val="26"/>
        </w:rPr>
        <w:t xml:space="preserve"> (Chương 4): phân tích vĩ mô để xác định ngành tăng trưởng, sau đó chọn doanh nghiệp tốt và đang được định giá hợp lý trong ngành đó.</w:t>
      </w:r>
    </w:p>
    <w:p>
      <w:pPr>
        <w:pStyle w:val="Heading2"/>
        <w:keepNext/>
        <w:spacing w:line="312" w:lineRule="auto" w:after="120" w:before="120"/>
        <w:jc w:val="left"/>
      </w:pPr>
      <w:r>
        <w:rPr>
          <w:rFonts w:ascii="Times New Roman" w:hAnsi="Times New Roman" w:eastAsia="Times New Roman" w:cs="Times New Roman"/>
          <w:b/>
          <w:i w:val="0"/>
          <w:sz w:val="26"/>
        </w:rPr>
        <w:t>1.1. Đánh giá các yếu tố kinh tế vĩ mô</w:t>
      </w:r>
    </w:p>
    <w:p>
      <w:pPr>
        <w:pStyle w:val="Heading3"/>
        <w:keepNext/>
        <w:spacing w:line="312" w:lineRule="auto" w:after="120" w:before="120"/>
        <w:jc w:val="left"/>
      </w:pPr>
      <w:r>
        <w:rPr>
          <w:rFonts w:ascii="Times New Roman" w:hAnsi="Times New Roman" w:eastAsia="Times New Roman" w:cs="Times New Roman"/>
          <w:b/>
          <w:i/>
          <w:sz w:val="26"/>
        </w:rPr>
        <w:t>1.1.1. Tăng trưởng kinh tế</w:t>
      </w:r>
    </w:p>
    <w:p>
      <w:pPr>
        <w:spacing w:line="312" w:lineRule="auto" w:after="120" w:before="0"/>
        <w:ind w:firstLine="720"/>
        <w:jc w:val="both"/>
      </w:pPr>
      <w:r>
        <w:rPr>
          <w:rFonts w:ascii="Times New Roman" w:hAnsi="Times New Roman" w:eastAsia="Times New Roman" w:cs="Times New Roman"/>
          <w:b w:val="0"/>
          <w:i w:val="0"/>
          <w:sz w:val="26"/>
        </w:rPr>
        <w:t xml:space="preserve">GDP quý III/2026 tăng </w:t>
      </w:r>
      <w:r>
        <w:rPr>
          <w:rFonts w:ascii="Times New Roman" w:hAnsi="Times New Roman" w:eastAsia="Times New Roman" w:cs="Times New Roman"/>
          <w:b/>
          <w:i w:val="0"/>
          <w:sz w:val="26"/>
        </w:rPr>
        <w:t>9,95%</w:t>
      </w:r>
      <w:r>
        <w:rPr>
          <w:rFonts w:ascii="Times New Roman" w:hAnsi="Times New Roman" w:eastAsia="Times New Roman" w:cs="Times New Roman"/>
          <w:b w:val="0"/>
          <w:i w:val="0"/>
          <w:sz w:val="26"/>
        </w:rPr>
        <w:t xml:space="preserve">, mức cao nhất kể từ năm 2022; 9 tháng tăng 9,01%. Khu vực công nghiệp – xây dựng tăng 12,5%, dịch vụ tăng 9,5% [1], [2]. Tổng mức bán lẻ hàng hóa và dịch vụ 9 tháng tăng 13,4% (loại trừ yếu tố giá tăng 7,8%) [40]. Tăng trưởng mạnh giúp doanh thu và lợi nhuận doanh nghiệp tăng, nhu cầu vay vốn tăng. Đây là yếu tố </w:t>
      </w:r>
      <w:r>
        <w:rPr>
          <w:rFonts w:ascii="Times New Roman" w:hAnsi="Times New Roman" w:eastAsia="Times New Roman" w:cs="Times New Roman"/>
          <w:b/>
          <w:i w:val="0"/>
          <w:sz w:val="26"/>
        </w:rPr>
        <w:t>tích cực</w:t>
      </w:r>
      <w:r>
        <w:rPr>
          <w:rFonts w:ascii="Times New Roman" w:hAnsi="Times New Roman" w:eastAsia="Times New Roman" w:cs="Times New Roman"/>
          <w:b w:val="0"/>
          <w:i w:val="0"/>
          <w:sz w:val="26"/>
        </w:rPr>
        <w:t xml:space="preserve"> cho thị trường, đặc biệt với ngân hàng và bán lẻ.</w:t>
      </w:r>
    </w:p>
    <w:p>
      <w:pPr>
        <w:pStyle w:val="Heading3"/>
        <w:keepNext/>
        <w:spacing w:line="312" w:lineRule="auto" w:after="120" w:before="120"/>
        <w:jc w:val="left"/>
      </w:pPr>
      <w:r>
        <w:rPr>
          <w:rFonts w:ascii="Times New Roman" w:hAnsi="Times New Roman" w:eastAsia="Times New Roman" w:cs="Times New Roman"/>
          <w:b/>
          <w:i/>
          <w:sz w:val="26"/>
        </w:rPr>
        <w:t>1.1.2. Lạm phát</w:t>
      </w:r>
    </w:p>
    <w:p>
      <w:pPr>
        <w:spacing w:line="312" w:lineRule="auto" w:after="120" w:before="0"/>
        <w:ind w:firstLine="720"/>
        <w:jc w:val="both"/>
      </w:pPr>
      <w:r>
        <w:rPr>
          <w:rFonts w:ascii="Times New Roman" w:hAnsi="Times New Roman" w:eastAsia="Times New Roman" w:cs="Times New Roman"/>
          <w:b w:val="0"/>
          <w:i w:val="0"/>
          <w:sz w:val="26"/>
        </w:rPr>
        <w:t xml:space="preserve">CPI tháng 9/2026 tăng </w:t>
      </w:r>
      <w:r>
        <w:rPr>
          <w:rFonts w:ascii="Times New Roman" w:hAnsi="Times New Roman" w:eastAsia="Times New Roman" w:cs="Times New Roman"/>
          <w:b/>
          <w:i w:val="0"/>
          <w:sz w:val="26"/>
        </w:rPr>
        <w:t>5,08%</w:t>
      </w:r>
      <w:r>
        <w:rPr>
          <w:rFonts w:ascii="Times New Roman" w:hAnsi="Times New Roman" w:eastAsia="Times New Roman" w:cs="Times New Roman"/>
          <w:b w:val="0"/>
          <w:i w:val="0"/>
          <w:sz w:val="26"/>
        </w:rPr>
        <w:t xml:space="preserve"> so với cùng kỳ, bình quân 9 tháng 4,52%, lạm phát cơ bản 4,26%. Mức này </w:t>
      </w:r>
      <w:r>
        <w:rPr>
          <w:rFonts w:ascii="Times New Roman" w:hAnsi="Times New Roman" w:eastAsia="Times New Roman" w:cs="Times New Roman"/>
          <w:b/>
          <w:i w:val="0"/>
          <w:sz w:val="26"/>
        </w:rPr>
        <w:t>vượt mục tiêu 4,5%</w:t>
      </w:r>
      <w:r>
        <w:rPr>
          <w:rFonts w:ascii="Times New Roman" w:hAnsi="Times New Roman" w:eastAsia="Times New Roman" w:cs="Times New Roman"/>
          <w:b w:val="0"/>
          <w:i w:val="0"/>
          <w:sz w:val="26"/>
        </w:rPr>
        <w:t xml:space="preserve"> của Chính phủ [1], [3]. Nguyên nhân chính là giá dầu: Brent bình quân tháng 9 lên 114 USD/thùng do xung đột ở Trung Đông. EIA dự báo giá dầu bình quân quý IV/2026 khoảng 105 USD/thùng, năm 2027 giảm về 84 USD/thùng [10]. Lạm phát cao làm giảm sức mua và hạn chế khả năng nới lỏng tiền tệ, là yếu tố </w:t>
      </w:r>
      <w:r>
        <w:rPr>
          <w:rFonts w:ascii="Times New Roman" w:hAnsi="Times New Roman" w:eastAsia="Times New Roman" w:cs="Times New Roman"/>
          <w:b/>
          <w:i w:val="0"/>
          <w:sz w:val="26"/>
        </w:rPr>
        <w:t>tiêu cực</w:t>
      </w:r>
      <w:r>
        <w:rPr>
          <w:rFonts w:ascii="Times New Roman" w:hAnsi="Times New Roman" w:eastAsia="Times New Roman" w:cs="Times New Roman"/>
          <w:b w:val="0"/>
          <w:i w:val="0"/>
          <w:sz w:val="26"/>
        </w:rPr>
        <w:t>.</w:t>
      </w:r>
    </w:p>
    <w:p>
      <w:pPr>
        <w:pStyle w:val="Heading3"/>
        <w:keepNext/>
        <w:spacing w:line="312" w:lineRule="auto" w:after="120" w:before="120"/>
        <w:jc w:val="left"/>
      </w:pPr>
      <w:r>
        <w:rPr>
          <w:rFonts w:ascii="Times New Roman" w:hAnsi="Times New Roman" w:eastAsia="Times New Roman" w:cs="Times New Roman"/>
          <w:b/>
          <w:i/>
          <w:sz w:val="26"/>
        </w:rPr>
        <w:t>1.1.3. Lãi suất và chính sách tiền tệ</w:t>
      </w:r>
    </w:p>
    <w:p>
      <w:pPr>
        <w:spacing w:line="312" w:lineRule="auto" w:after="120" w:before="0"/>
        <w:ind w:firstLine="720"/>
        <w:jc w:val="both"/>
      </w:pPr>
      <w:r>
        <w:rPr>
          <w:rFonts w:ascii="Times New Roman" w:hAnsi="Times New Roman" w:eastAsia="Times New Roman" w:cs="Times New Roman"/>
          <w:b w:val="0"/>
          <w:i w:val="0"/>
          <w:sz w:val="26"/>
        </w:rPr>
        <w:t xml:space="preserve">NHNN giữ lãi suất tái cấp vốn ở 4,5% [4]. Do tín dụng tăng nhanh hơn huy động, lãi suất huy động kỳ hạn 6–12 tháng đã tăng khoảng 1,2 điểm % đến tháng 3/2026 và lãi suất liên ngân hàng qua đêm từng lên 16,39% (tháng 2/2026) [9], [41]. Gần đây áp lực đã giảm: khoảng 20 ngân hàng giảm lãi suất huy động khoảng 0,5 điểm %, 14 ngân hàng giảm lãi suất cho vay [8]. NHNN định hướng tín dụng cả năm khoảng 15%, VCBS dự báo 16–18% [6]. Theo mô hình chiết khấu cổ tức V₀ = D₁/(k − g), lãi suất cao làm tăng tỷ suất lợi tức yêu cầu k và làm giảm giá trị cổ phiếu. Chính sách tiền tệ vì vậy ở trạng thái </w:t>
      </w:r>
      <w:r>
        <w:rPr>
          <w:rFonts w:ascii="Times New Roman" w:hAnsi="Times New Roman" w:eastAsia="Times New Roman" w:cs="Times New Roman"/>
          <w:b/>
          <w:i w:val="0"/>
          <w:sz w:val="26"/>
        </w:rPr>
        <w:t>trung tính, khó nới lỏng thêm</w:t>
      </w:r>
      <w:r>
        <w:rPr>
          <w:rFonts w:ascii="Times New Roman" w:hAnsi="Times New Roman" w:eastAsia="Times New Roman" w:cs="Times New Roman"/>
          <w:b w:val="0"/>
          <w:i w:val="0"/>
          <w:sz w:val="26"/>
        </w:rPr>
        <w:t>.</w:t>
      </w:r>
    </w:p>
    <w:p>
      <w:pPr>
        <w:pStyle w:val="Heading3"/>
        <w:keepNext/>
        <w:spacing w:line="312" w:lineRule="auto" w:after="120" w:before="120"/>
        <w:jc w:val="left"/>
      </w:pPr>
      <w:r>
        <w:rPr>
          <w:rFonts w:ascii="Times New Roman" w:hAnsi="Times New Roman" w:eastAsia="Times New Roman" w:cs="Times New Roman"/>
          <w:b/>
          <w:i/>
          <w:sz w:val="26"/>
        </w:rPr>
        <w:t>1.1.4. Tỷ giá</w:t>
      </w:r>
    </w:p>
    <w:p>
      <w:pPr>
        <w:spacing w:line="312" w:lineRule="auto" w:after="120" w:before="0"/>
        <w:ind w:firstLine="720"/>
        <w:jc w:val="both"/>
      </w:pPr>
      <w:r>
        <w:rPr>
          <w:rFonts w:ascii="Times New Roman" w:hAnsi="Times New Roman" w:eastAsia="Times New Roman" w:cs="Times New Roman"/>
          <w:b w:val="0"/>
          <w:i w:val="0"/>
          <w:sz w:val="26"/>
        </w:rPr>
        <w:t xml:space="preserve">Tỷ giá trung tâm USD/VND ngày 23/10/2026 là </w:t>
      </w:r>
      <w:r>
        <w:rPr>
          <w:rFonts w:ascii="Times New Roman" w:hAnsi="Times New Roman" w:eastAsia="Times New Roman" w:cs="Times New Roman"/>
          <w:b/>
          <w:i w:val="0"/>
          <w:sz w:val="26"/>
        </w:rPr>
        <w:t>25.627</w:t>
      </w:r>
      <w:r>
        <w:rPr>
          <w:rFonts w:ascii="Times New Roman" w:hAnsi="Times New Roman" w:eastAsia="Times New Roman" w:cs="Times New Roman"/>
          <w:b w:val="0"/>
          <w:i w:val="0"/>
          <w:sz w:val="26"/>
        </w:rPr>
        <w:t xml:space="preserve">, giảm nhẹ trong tháng 10, biên độ ±5% [7]. Tỷ giá ổn định giúp nhà đầu tư nước ngoài bớt lo rủi ro mất giá tiền đồng. Đây là yếu tố </w:t>
      </w:r>
      <w:r>
        <w:rPr>
          <w:rFonts w:ascii="Times New Roman" w:hAnsi="Times New Roman" w:eastAsia="Times New Roman" w:cs="Times New Roman"/>
          <w:b/>
          <w:i w:val="0"/>
          <w:sz w:val="26"/>
        </w:rPr>
        <w:t>hỗ trợ</w:t>
      </w:r>
      <w:r>
        <w:rPr>
          <w:rFonts w:ascii="Times New Roman" w:hAnsi="Times New Roman" w:eastAsia="Times New Roman" w:cs="Times New Roman"/>
          <w:b w:val="0"/>
          <w:i w:val="0"/>
          <w:sz w:val="26"/>
        </w:rPr>
        <w:t xml:space="preserve"> dòng vốn ngoại.</w:t>
      </w:r>
    </w:p>
    <w:p>
      <w:pPr>
        <w:pStyle w:val="Heading3"/>
        <w:keepNext/>
        <w:spacing w:line="312" w:lineRule="auto" w:after="120" w:before="120"/>
        <w:jc w:val="left"/>
      </w:pPr>
      <w:r>
        <w:rPr>
          <w:rFonts w:ascii="Times New Roman" w:hAnsi="Times New Roman" w:eastAsia="Times New Roman" w:cs="Times New Roman"/>
          <w:b/>
          <w:i/>
          <w:sz w:val="26"/>
        </w:rPr>
        <w:t>1.1.5. Diễn biến thị trường chứng khoán</w:t>
      </w:r>
    </w:p>
    <w:p>
      <w:pPr>
        <w:spacing w:line="312" w:lineRule="auto" w:after="120" w:before="0"/>
        <w:ind w:firstLine="720"/>
        <w:jc w:val="both"/>
      </w:pPr>
      <w:r>
        <w:rPr>
          <w:rFonts w:ascii="Times New Roman" w:hAnsi="Times New Roman" w:eastAsia="Times New Roman" w:cs="Times New Roman"/>
          <w:b w:val="0"/>
          <w:i w:val="0"/>
          <w:sz w:val="26"/>
        </w:rPr>
        <w:t xml:space="preserve">VN-Index lập đỉnh 1.902,93 điểm ngày 13/1/2026, về gần 1.600 điểm trong tháng 3 rồi dao động 1.680–1.780 điểm; ngày 22/10 đóng cửa </w:t>
      </w:r>
      <w:r>
        <w:rPr>
          <w:rFonts w:ascii="Times New Roman" w:hAnsi="Times New Roman" w:eastAsia="Times New Roman" w:cs="Times New Roman"/>
          <w:b/>
          <w:i w:val="0"/>
          <w:sz w:val="26"/>
        </w:rPr>
        <w:t>1.760,63 điểm</w:t>
      </w:r>
      <w:r>
        <w:rPr>
          <w:rFonts w:ascii="Times New Roman" w:hAnsi="Times New Roman" w:eastAsia="Times New Roman" w:cs="Times New Roman"/>
          <w:b w:val="0"/>
          <w:i w:val="0"/>
          <w:sz w:val="26"/>
        </w:rPr>
        <w:t xml:space="preserve"> [11], [13]. P/E thị trường khoảng 13,1 lần, thấp hơn bình quân 5 năm 14,4 lần [14]. FTSE Russell chính thức nâng hạng Việt Nam lên thị trường mới nổi từ 21/9/2026, giải ngân theo 4 đợt đến 9/2027, dòng vốn dự kiến 3–10 tỷ USD [15], [16]. Tuy vậy, thanh khoản từ tháng 6 giảm khoảng 41% so với quý I và khối ngoại vẫn bán ròng giữa tháng 10 [12], [13].</w:t>
      </w:r>
    </w:p>
    <w:p>
      <w:pPr>
        <w:spacing w:line="312" w:lineRule="auto" w:after="120" w:before="0"/>
        <w:ind w:firstLine="720"/>
        <w:jc w:val="both"/>
      </w:pPr>
      <w:r>
        <w:rPr>
          <w:rFonts w:ascii="Times New Roman" w:hAnsi="Times New Roman" w:eastAsia="Times New Roman" w:cs="Times New Roman"/>
          <w:b/>
          <w:i w:val="0"/>
          <w:sz w:val="26"/>
        </w:rPr>
        <w:t>Nhận xét chung.</w:t>
      </w:r>
      <w:r>
        <w:rPr>
          <w:rFonts w:ascii="Times New Roman" w:hAnsi="Times New Roman" w:eastAsia="Times New Roman" w:cs="Times New Roman"/>
          <w:b w:val="0"/>
          <w:i w:val="0"/>
          <w:sz w:val="26"/>
        </w:rPr>
        <w:t xml:space="preserve"> Vĩ mô có </w:t>
      </w:r>
      <w:r>
        <w:rPr>
          <w:rFonts w:ascii="Times New Roman" w:hAnsi="Times New Roman" w:eastAsia="Times New Roman" w:cs="Times New Roman"/>
          <w:b/>
          <w:i w:val="0"/>
          <w:sz w:val="26"/>
        </w:rPr>
        <w:t>hai mặt đối lập</w:t>
      </w:r>
      <w:r>
        <w:rPr>
          <w:rFonts w:ascii="Times New Roman" w:hAnsi="Times New Roman" w:eastAsia="Times New Roman" w:cs="Times New Roman"/>
          <w:b w:val="0"/>
          <w:i w:val="0"/>
          <w:sz w:val="26"/>
        </w:rPr>
        <w:t xml:space="preserve">: tăng trưởng thực rất mạnh nhưng lạm phát giữ lãi suất ở mức cao. Trong công thức V₀ = D₁/(k − g), g đang tăng còn k khó giảm. Do đó, cổ phiếu có lợi thế là cổ phiếu </w:t>
      </w:r>
      <w:r>
        <w:rPr>
          <w:rFonts w:ascii="Times New Roman" w:hAnsi="Times New Roman" w:eastAsia="Times New Roman" w:cs="Times New Roman"/>
          <w:b/>
          <w:i w:val="0"/>
          <w:sz w:val="26"/>
        </w:rPr>
        <w:t>có lợi nhuận tăng trưởng thật và định giá còn thấp</w:t>
      </w:r>
      <w:r>
        <w:rPr>
          <w:rFonts w:ascii="Times New Roman" w:hAnsi="Times New Roman" w:eastAsia="Times New Roman" w:cs="Times New Roman"/>
          <w:b w:val="0"/>
          <w:i w:val="0"/>
          <w:sz w:val="26"/>
        </w:rPr>
        <w:t>, không phải cổ phiếu chỉ tăng nhờ kỳ vọng lãi suất giảm.</w:t>
      </w:r>
    </w:p>
    <w:p>
      <w:pPr>
        <w:pStyle w:val="Heading2"/>
        <w:keepNext/>
        <w:spacing w:line="312" w:lineRule="auto" w:after="120" w:before="120"/>
        <w:jc w:val="left"/>
      </w:pPr>
      <w:r>
        <w:rPr>
          <w:rFonts w:ascii="Times New Roman" w:hAnsi="Times New Roman" w:eastAsia="Times New Roman" w:cs="Times New Roman"/>
          <w:b/>
          <w:i w:val="0"/>
          <w:sz w:val="26"/>
        </w:rPr>
        <w:t>1.2. Nhận định triển vọng thị trường và triển vọng ngành</w:t>
      </w:r>
    </w:p>
    <w:p>
      <w:pPr>
        <w:pStyle w:val="Heading3"/>
        <w:keepNext/>
        <w:spacing w:line="312" w:lineRule="auto" w:after="120" w:before="120"/>
        <w:jc w:val="left"/>
      </w:pPr>
      <w:r>
        <w:rPr>
          <w:rFonts w:ascii="Times New Roman" w:hAnsi="Times New Roman" w:eastAsia="Times New Roman" w:cs="Times New Roman"/>
          <w:b/>
          <w:i/>
          <w:sz w:val="26"/>
        </w:rPr>
        <w:t>1.2.1. Triển vọng thị trường trong thời gian đầu tư</w:t>
      </w:r>
    </w:p>
    <w:p>
      <w:pPr>
        <w:spacing w:line="312" w:lineRule="auto" w:after="120" w:before="0"/>
        <w:ind w:firstLine="720"/>
        <w:jc w:val="both"/>
      </w:pPr>
      <w:r>
        <w:rPr>
          <w:rFonts w:ascii="Times New Roman" w:hAnsi="Times New Roman" w:eastAsia="Times New Roman" w:cs="Times New Roman"/>
          <w:b w:val="0"/>
          <w:i w:val="0"/>
          <w:sz w:val="26"/>
        </w:rPr>
        <w:t>Trong tháng đầu tư có ba chất xúc tác chính: (1) mùa công bố báo cáo tài chính quý III (cuối tháng 10); (2) giải ngân của các quỹ theo chỉ số FTSE; (3) số liệu CPI tháng 10 (đầu tháng 11). Nhóm xây dựng ba kịch bản như Bảng 1-1.</w:t>
      </w:r>
    </w:p>
    <w:p>
      <w:pPr>
        <w:keepNext/>
        <w:spacing w:line="312" w:lineRule="auto" w:after="60" w:before="120"/>
        <w:jc w:val="left"/>
      </w:pPr>
      <w:r>
        <w:rPr>
          <w:rFonts w:ascii="Times New Roman" w:hAnsi="Times New Roman" w:eastAsia="Times New Roman" w:cs="Times New Roman"/>
          <w:b/>
          <w:i w:val="0"/>
          <w:sz w:val="26"/>
        </w:rPr>
        <w:t>Bảng 1-1. Kịch bản VN-Index đến ngày 25/11/2026</w:t>
      </w:r>
    </w:p>
    <w:tbl>
      <w:tblPr>
        <w:jc w:val="center"/>
        <w:tblLook w:firstColumn="1" w:firstRow="1" w:lastColumn="0" w:lastRow="0" w:noHBand="0" w:noVBand="1" w:val="04A0"/>
        <w:tblBorders>
          <w:top w:val="single" w:sz="8" w:color="000000"/>
          <w:bottom w:val="single" w:sz="8" w:color="000000"/>
          <w:insideH w:val="single" w:sz="2" w:color="BFBFBF"/>
        </w:tblBorders>
        <w:tblW w:w="9071" w:type="dxa"/>
        <w:tblLayout w:type="fixed"/>
      </w:tblPr>
      <w:tblGrid>
        <w:gridCol w:w="1361"/>
        <w:gridCol w:w="1814"/>
        <w:gridCol w:w="4762"/>
        <w:gridCol w:w="1134"/>
      </w:tblGrid>
      <w:tr>
        <w:trPr>
          <w:tblHeader w:val="true"/>
        </w:trPr>
        <w:tc>
          <w:tcPr>
            <w:tcW w:type="dxa" w:w="136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Kịch bản</w:t>
            </w:r>
          </w:p>
        </w:tc>
        <w:tc>
          <w:tcPr>
            <w:tcW w:type="dxa" w:w="1814"/>
            <w:tcBorders>
              <w:bottom w:val="single" w:sz="6" w:color="000000"/>
            </w:tcBorders>
          </w:tcPr>
          <w:p>
            <w:pPr>
              <w:spacing w:line="240" w:lineRule="auto" w:after="20" w:before="20"/>
              <w:jc w:val="center"/>
            </w:pPr>
            <w:r>
              <w:rPr>
                <w:rFonts w:ascii="Times New Roman" w:hAnsi="Times New Roman" w:eastAsia="Times New Roman" w:cs="Times New Roman"/>
                <w:b/>
                <w:i w:val="0"/>
                <w:sz w:val="22"/>
              </w:rPr>
              <w:t>VN-Index (điểm)</w:t>
            </w:r>
          </w:p>
        </w:tc>
        <w:tc>
          <w:tcPr>
            <w:tcW w:type="dxa" w:w="4762"/>
            <w:tcBorders>
              <w:bottom w:val="single" w:sz="6" w:color="000000"/>
            </w:tcBorders>
          </w:tcPr>
          <w:p>
            <w:pPr>
              <w:spacing w:line="240" w:lineRule="auto" w:after="20" w:before="20"/>
              <w:jc w:val="center"/>
            </w:pPr>
            <w:r>
              <w:rPr>
                <w:rFonts w:ascii="Times New Roman" w:hAnsi="Times New Roman" w:eastAsia="Times New Roman" w:cs="Times New Roman"/>
                <w:b/>
                <w:i w:val="0"/>
                <w:sz w:val="22"/>
              </w:rPr>
              <w:t>Điều kiện xảy ra</w:t>
            </w:r>
          </w:p>
        </w:tc>
        <w:tc>
          <w:tcPr>
            <w:tcW w:type="dxa" w:w="1134"/>
            <w:tcBorders>
              <w:bottom w:val="single" w:sz="6" w:color="000000"/>
            </w:tcBorders>
          </w:tcPr>
          <w:p>
            <w:pPr>
              <w:spacing w:line="240" w:lineRule="auto" w:after="20" w:before="20"/>
              <w:jc w:val="center"/>
            </w:pPr>
            <w:r>
              <w:rPr>
                <w:rFonts w:ascii="Times New Roman" w:hAnsi="Times New Roman" w:eastAsia="Times New Roman" w:cs="Times New Roman"/>
                <w:b/>
                <w:i w:val="0"/>
                <w:sz w:val="22"/>
              </w:rPr>
              <w:t>Xác suất</w:t>
            </w:r>
          </w:p>
        </w:tc>
      </w:tr>
      <w:tr>
        <w:tc>
          <w:tcPr>
            <w:tcW w:type="dxa" w:w="1361"/>
          </w:tcPr>
          <w:p>
            <w:pPr>
              <w:spacing w:line="240" w:lineRule="auto" w:after="20" w:before="20"/>
              <w:jc w:val="left"/>
            </w:pPr>
            <w:r>
              <w:rPr>
                <w:rFonts w:ascii="Times New Roman" w:hAnsi="Times New Roman" w:eastAsia="Times New Roman" w:cs="Times New Roman"/>
                <w:b w:val="0"/>
                <w:i w:val="0"/>
                <w:sz w:val="22"/>
              </w:rPr>
              <w:t>Tích cực</w:t>
            </w:r>
          </w:p>
        </w:tc>
        <w:tc>
          <w:tcPr>
            <w:tcW w:type="dxa" w:w="1814"/>
          </w:tcPr>
          <w:p>
            <w:pPr>
              <w:spacing w:line="240" w:lineRule="auto" w:after="20" w:before="20"/>
              <w:jc w:val="left"/>
            </w:pPr>
            <w:r>
              <w:rPr>
                <w:rFonts w:ascii="Times New Roman" w:hAnsi="Times New Roman" w:eastAsia="Times New Roman" w:cs="Times New Roman"/>
                <w:b w:val="0"/>
                <w:i w:val="0"/>
                <w:sz w:val="22"/>
              </w:rPr>
              <w:t>1.850 – 1.900</w:t>
            </w:r>
          </w:p>
        </w:tc>
        <w:tc>
          <w:tcPr>
            <w:tcW w:type="dxa" w:w="4762"/>
          </w:tcPr>
          <w:p>
            <w:pPr>
              <w:spacing w:line="240" w:lineRule="auto" w:after="20" w:before="20"/>
              <w:jc w:val="left"/>
            </w:pPr>
            <w:r>
              <w:rPr>
                <w:rFonts w:ascii="Times New Roman" w:hAnsi="Times New Roman" w:eastAsia="Times New Roman" w:cs="Times New Roman"/>
                <w:b w:val="0"/>
                <w:i w:val="0"/>
                <w:sz w:val="22"/>
              </w:rPr>
              <w:t>Kết quả quý III tốt, dòng vốn FTSE giải ngân, giá dầu hạ</w:t>
            </w:r>
          </w:p>
        </w:tc>
        <w:tc>
          <w:tcPr>
            <w:tcW w:type="dxa" w:w="1134"/>
          </w:tcPr>
          <w:p>
            <w:pPr>
              <w:spacing w:line="240" w:lineRule="auto" w:after="20" w:before="20"/>
              <w:jc w:val="right"/>
            </w:pPr>
            <w:r>
              <w:rPr>
                <w:rFonts w:ascii="Times New Roman" w:hAnsi="Times New Roman" w:eastAsia="Times New Roman" w:cs="Times New Roman"/>
                <w:b w:val="0"/>
                <w:i w:val="0"/>
                <w:sz w:val="22"/>
              </w:rPr>
              <w:t>30%</w:t>
            </w:r>
          </w:p>
        </w:tc>
      </w:tr>
      <w:tr>
        <w:tc>
          <w:tcPr>
            <w:tcW w:type="dxa" w:w="1361"/>
          </w:tcPr>
          <w:p>
            <w:pPr>
              <w:spacing w:line="240" w:lineRule="auto" w:after="20" w:before="20"/>
              <w:jc w:val="left"/>
            </w:pPr>
            <w:r>
              <w:rPr>
                <w:rFonts w:ascii="Times New Roman" w:hAnsi="Times New Roman" w:eastAsia="Times New Roman" w:cs="Times New Roman"/>
                <w:b w:val="0"/>
                <w:i w:val="0"/>
                <w:sz w:val="22"/>
              </w:rPr>
              <w:t>Cơ sở</w:t>
            </w:r>
          </w:p>
        </w:tc>
        <w:tc>
          <w:tcPr>
            <w:tcW w:type="dxa" w:w="1814"/>
          </w:tcPr>
          <w:p>
            <w:pPr>
              <w:spacing w:line="240" w:lineRule="auto" w:after="20" w:before="20"/>
              <w:jc w:val="left"/>
            </w:pPr>
            <w:r>
              <w:rPr>
                <w:rFonts w:ascii="Times New Roman" w:hAnsi="Times New Roman" w:eastAsia="Times New Roman" w:cs="Times New Roman"/>
                <w:b w:val="0"/>
                <w:i w:val="0"/>
                <w:sz w:val="22"/>
              </w:rPr>
              <w:t>1.720 – 1.820</w:t>
            </w:r>
          </w:p>
        </w:tc>
        <w:tc>
          <w:tcPr>
            <w:tcW w:type="dxa" w:w="4762"/>
          </w:tcPr>
          <w:p>
            <w:pPr>
              <w:spacing w:line="240" w:lineRule="auto" w:after="20" w:before="20"/>
              <w:jc w:val="left"/>
            </w:pPr>
            <w:r>
              <w:rPr>
                <w:rFonts w:ascii="Times New Roman" w:hAnsi="Times New Roman" w:eastAsia="Times New Roman" w:cs="Times New Roman"/>
                <w:b w:val="0"/>
                <w:i w:val="0"/>
                <w:sz w:val="22"/>
              </w:rPr>
              <w:t>Kết quả quý III đúng kỳ vọng, lãi suất đi ngang</w:t>
            </w:r>
          </w:p>
        </w:tc>
        <w:tc>
          <w:tcPr>
            <w:tcW w:type="dxa" w:w="1134"/>
          </w:tcPr>
          <w:p>
            <w:pPr>
              <w:spacing w:line="240" w:lineRule="auto" w:after="20" w:before="20"/>
              <w:jc w:val="right"/>
            </w:pPr>
            <w:r>
              <w:rPr>
                <w:rFonts w:ascii="Times New Roman" w:hAnsi="Times New Roman" w:eastAsia="Times New Roman" w:cs="Times New Roman"/>
                <w:b w:val="0"/>
                <w:i w:val="0"/>
                <w:sz w:val="22"/>
              </w:rPr>
              <w:t>50%</w:t>
            </w:r>
          </w:p>
        </w:tc>
      </w:tr>
      <w:tr>
        <w:tc>
          <w:tcPr>
            <w:tcW w:type="dxa" w:w="1361"/>
          </w:tcPr>
          <w:p>
            <w:pPr>
              <w:spacing w:line="240" w:lineRule="auto" w:after="20" w:before="20"/>
              <w:jc w:val="left"/>
            </w:pPr>
            <w:r>
              <w:rPr>
                <w:rFonts w:ascii="Times New Roman" w:hAnsi="Times New Roman" w:eastAsia="Times New Roman" w:cs="Times New Roman"/>
                <w:b w:val="0"/>
                <w:i w:val="0"/>
                <w:sz w:val="22"/>
              </w:rPr>
              <w:t>Tiêu cực</w:t>
            </w:r>
          </w:p>
        </w:tc>
        <w:tc>
          <w:tcPr>
            <w:tcW w:type="dxa" w:w="1814"/>
          </w:tcPr>
          <w:p>
            <w:pPr>
              <w:spacing w:line="240" w:lineRule="auto" w:after="20" w:before="20"/>
              <w:jc w:val="left"/>
            </w:pPr>
            <w:r>
              <w:rPr>
                <w:rFonts w:ascii="Times New Roman" w:hAnsi="Times New Roman" w:eastAsia="Times New Roman" w:cs="Times New Roman"/>
                <w:b w:val="0"/>
                <w:i w:val="0"/>
                <w:sz w:val="22"/>
              </w:rPr>
              <w:t>1.620 – 1.680</w:t>
            </w:r>
          </w:p>
        </w:tc>
        <w:tc>
          <w:tcPr>
            <w:tcW w:type="dxa" w:w="4762"/>
          </w:tcPr>
          <w:p>
            <w:pPr>
              <w:spacing w:line="240" w:lineRule="auto" w:after="20" w:before="20"/>
              <w:jc w:val="left"/>
            </w:pPr>
            <w:r>
              <w:rPr>
                <w:rFonts w:ascii="Times New Roman" w:hAnsi="Times New Roman" w:eastAsia="Times New Roman" w:cs="Times New Roman"/>
                <w:b w:val="0"/>
                <w:i w:val="0"/>
                <w:sz w:val="22"/>
              </w:rPr>
              <w:t>CPI vượt 5,5%, NHNN thắt chặt, xung đột Trung Đông leo thang</w:t>
            </w:r>
          </w:p>
        </w:tc>
        <w:tc>
          <w:tcPr>
            <w:tcW w:type="dxa" w:w="1134"/>
          </w:tcPr>
          <w:p>
            <w:pPr>
              <w:spacing w:line="240" w:lineRule="auto" w:after="20" w:before="20"/>
              <w:jc w:val="right"/>
            </w:pPr>
            <w:r>
              <w:rPr>
                <w:rFonts w:ascii="Times New Roman" w:hAnsi="Times New Roman" w:eastAsia="Times New Roman" w:cs="Times New Roman"/>
                <w:b w:val="0"/>
                <w:i w:val="0"/>
                <w:sz w:val="22"/>
              </w:rPr>
              <w:t>20%</w:t>
            </w:r>
          </w:p>
        </w:tc>
      </w:tr>
    </w:tbl>
    <w:p>
      <w:pPr>
        <w:spacing w:line="276" w:lineRule="auto" w:after="0" w:before="0"/>
        <w:jc w:val="both"/>
      </w:pPr>
      <w:r>
        <w:rPr>
          <w:rFonts w:ascii="Times New Roman" w:hAnsi="Times New Roman" w:eastAsia="Times New Roman" w:cs="Times New Roman"/>
          <w:b w:val="0"/>
          <w:i w:val="0"/>
          <w:sz w:val="22"/>
        </w:rPr>
        <w:t>Ghi chú: Xác suất là nhận định chủ quan của nhóm, không phải kết quả của mô hình.</w:t>
      </w:r>
    </w:p>
    <w:p>
      <w:pPr>
        <w:spacing w:line="276" w:lineRule="auto" w:after="160" w:before="0"/>
        <w:jc w:val="left"/>
      </w:pPr>
      <w:r>
        <w:rPr>
          <w:rFonts w:ascii="Times New Roman" w:hAnsi="Times New Roman" w:eastAsia="Times New Roman" w:cs="Times New Roman"/>
          <w:b w:val="0"/>
          <w:i/>
          <w:sz w:val="22"/>
        </w:rPr>
        <w:t>Nguồn:</w:t>
      </w:r>
      <w:r>
        <w:rPr>
          <w:rFonts w:ascii="Times New Roman" w:hAnsi="Times New Roman" w:eastAsia="Times New Roman" w:cs="Times New Roman"/>
          <w:b w:val="0"/>
          <w:i w:val="0"/>
          <w:sz w:val="22"/>
        </w:rPr>
        <w:t xml:space="preserve"> Nhóm 7 nhận định dựa trên [1], [10], [13], [15].</w:t>
      </w:r>
    </w:p>
    <w:p>
      <w:pPr>
        <w:spacing w:line="312" w:lineRule="auto" w:after="120" w:before="0"/>
        <w:ind w:firstLine="720"/>
        <w:jc w:val="both"/>
      </w:pPr>
      <w:r>
        <w:rPr>
          <w:rFonts w:ascii="Times New Roman" w:hAnsi="Times New Roman" w:eastAsia="Times New Roman" w:cs="Times New Roman"/>
          <w:b w:val="0"/>
          <w:i w:val="0"/>
          <w:sz w:val="26"/>
        </w:rPr>
        <w:t>Kịch bản cơ sở là thị trường đi ngang và phân hóa mạnh, nên nhóm ưu tiên cổ phiếu vốn hóa lớn, thanh khoản cao, có kết quả quý III tốt.</w:t>
      </w:r>
    </w:p>
    <w:p>
      <w:pPr>
        <w:pStyle w:val="Heading3"/>
        <w:keepNext/>
        <w:spacing w:line="312" w:lineRule="auto" w:after="120" w:before="120"/>
        <w:jc w:val="left"/>
      </w:pPr>
      <w:r>
        <w:rPr>
          <w:rFonts w:ascii="Times New Roman" w:hAnsi="Times New Roman" w:eastAsia="Times New Roman" w:cs="Times New Roman"/>
          <w:b/>
          <w:i/>
          <w:sz w:val="26"/>
        </w:rPr>
        <w:t>1.2.2. Triển vọng ngành</w:t>
      </w:r>
    </w:p>
    <w:p>
      <w:pPr>
        <w:keepNext/>
        <w:spacing w:line="312" w:lineRule="auto" w:after="60" w:before="120"/>
        <w:jc w:val="left"/>
      </w:pPr>
      <w:r>
        <w:rPr>
          <w:rFonts w:ascii="Times New Roman" w:hAnsi="Times New Roman" w:eastAsia="Times New Roman" w:cs="Times New Roman"/>
          <w:b/>
          <w:i w:val="0"/>
          <w:sz w:val="26"/>
        </w:rPr>
        <w:t>Bảng 1-2. Đánh giá triển vọng các ngành ứng viên</w:t>
      </w:r>
    </w:p>
    <w:tbl>
      <w:tblPr>
        <w:jc w:val="center"/>
        <w:tblLook w:firstColumn="1" w:firstRow="1" w:lastColumn="0" w:lastRow="0" w:noHBand="0" w:noVBand="1" w:val="04A0"/>
        <w:tblBorders>
          <w:top w:val="single" w:sz="8" w:color="000000"/>
          <w:bottom w:val="single" w:sz="8" w:color="000000"/>
          <w:insideH w:val="single" w:sz="2" w:color="BFBFBF"/>
        </w:tblBorders>
        <w:tblW w:w="9071" w:type="dxa"/>
        <w:tblLayout w:type="fixed"/>
      </w:tblPr>
      <w:tblGrid>
        <w:gridCol w:w="1474"/>
        <w:gridCol w:w="4082"/>
        <w:gridCol w:w="2381"/>
        <w:gridCol w:w="1134"/>
      </w:tblGrid>
      <w:tr>
        <w:trPr>
          <w:tblHeader w:val="true"/>
        </w:trPr>
        <w:tc>
          <w:tcPr>
            <w:tcW w:type="dxa" w:w="1474"/>
            <w:tcBorders>
              <w:bottom w:val="single" w:sz="6" w:color="000000"/>
            </w:tcBorders>
          </w:tcPr>
          <w:p>
            <w:pPr>
              <w:spacing w:line="240" w:lineRule="auto" w:after="20" w:before="20"/>
              <w:jc w:val="center"/>
            </w:pPr>
            <w:r>
              <w:rPr>
                <w:rFonts w:ascii="Times New Roman" w:hAnsi="Times New Roman" w:eastAsia="Times New Roman" w:cs="Times New Roman"/>
                <w:b/>
                <w:i w:val="0"/>
                <w:sz w:val="22"/>
              </w:rPr>
              <w:t>Ngành</w:t>
            </w:r>
          </w:p>
        </w:tc>
        <w:tc>
          <w:tcPr>
            <w:tcW w:type="dxa" w:w="4082"/>
            <w:tcBorders>
              <w:bottom w:val="single" w:sz="6" w:color="000000"/>
            </w:tcBorders>
          </w:tcPr>
          <w:p>
            <w:pPr>
              <w:spacing w:line="240" w:lineRule="auto" w:after="20" w:before="20"/>
              <w:jc w:val="center"/>
            </w:pPr>
            <w:r>
              <w:rPr>
                <w:rFonts w:ascii="Times New Roman" w:hAnsi="Times New Roman" w:eastAsia="Times New Roman" w:cs="Times New Roman"/>
                <w:b/>
                <w:i w:val="0"/>
                <w:sz w:val="22"/>
              </w:rPr>
              <w:t>Động lực tăng trưởng trong tương lai</w:t>
            </w:r>
          </w:p>
        </w:tc>
        <w:tc>
          <w:tcPr>
            <w:tcW w:type="dxa" w:w="238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Rủi ro chính</w:t>
            </w:r>
          </w:p>
        </w:tc>
        <w:tc>
          <w:tcPr>
            <w:tcW w:type="dxa" w:w="1134"/>
            <w:tcBorders>
              <w:bottom w:val="single" w:sz="6" w:color="000000"/>
            </w:tcBorders>
          </w:tcPr>
          <w:p>
            <w:pPr>
              <w:spacing w:line="240" w:lineRule="auto" w:after="20" w:before="20"/>
              <w:jc w:val="center"/>
            </w:pPr>
            <w:r>
              <w:rPr>
                <w:rFonts w:ascii="Times New Roman" w:hAnsi="Times New Roman" w:eastAsia="Times New Roman" w:cs="Times New Roman"/>
                <w:b/>
                <w:i w:val="0"/>
                <w:sz w:val="22"/>
              </w:rPr>
              <w:t>Kết luận</w:t>
            </w:r>
          </w:p>
        </w:tc>
      </w:tr>
      <w:tr>
        <w:tc>
          <w:tcPr>
            <w:tcW w:type="dxa" w:w="1474"/>
          </w:tcPr>
          <w:p>
            <w:pPr>
              <w:spacing w:line="240" w:lineRule="auto" w:after="20" w:before="20"/>
              <w:jc w:val="left"/>
            </w:pPr>
            <w:r>
              <w:rPr>
                <w:rFonts w:ascii="Times New Roman" w:hAnsi="Times New Roman" w:eastAsia="Times New Roman" w:cs="Times New Roman"/>
                <w:b w:val="0"/>
                <w:i w:val="0"/>
                <w:sz w:val="22"/>
              </w:rPr>
              <w:t>Ngân hàng</w:t>
            </w:r>
          </w:p>
        </w:tc>
        <w:tc>
          <w:tcPr>
            <w:tcW w:type="dxa" w:w="4082"/>
          </w:tcPr>
          <w:p>
            <w:pPr>
              <w:spacing w:line="240" w:lineRule="auto" w:after="20" w:before="20"/>
              <w:jc w:val="left"/>
            </w:pPr>
            <w:r>
              <w:rPr>
                <w:rFonts w:ascii="Times New Roman" w:hAnsi="Times New Roman" w:eastAsia="Times New Roman" w:cs="Times New Roman"/>
                <w:b w:val="0"/>
                <w:i w:val="0"/>
                <w:sz w:val="22"/>
              </w:rPr>
              <w:t>GDP tăng gần 10% kéo theo nhu cầu vốn; tín dụng cả năm dự kiến 15–18%; nợ xấu giảm nhờ Nghị quyết 42 được luật hóa; tỷ trọng lớn nhất trong chỉ số nên hưởng lợi đầu tiên từ dòng vốn FTSE</w:t>
            </w:r>
          </w:p>
        </w:tc>
        <w:tc>
          <w:tcPr>
            <w:tcW w:type="dxa" w:w="2381"/>
          </w:tcPr>
          <w:p>
            <w:pPr>
              <w:spacing w:line="240" w:lineRule="auto" w:after="20" w:before="20"/>
              <w:jc w:val="left"/>
            </w:pPr>
            <w:r>
              <w:rPr>
                <w:rFonts w:ascii="Times New Roman" w:hAnsi="Times New Roman" w:eastAsia="Times New Roman" w:cs="Times New Roman"/>
                <w:b w:val="0"/>
                <w:i w:val="0"/>
                <w:sz w:val="22"/>
              </w:rPr>
              <w:t>Chi phí vốn tăng làm NIM giảm</w:t>
            </w:r>
          </w:p>
        </w:tc>
        <w:tc>
          <w:tcPr>
            <w:tcW w:type="dxa" w:w="1134"/>
          </w:tcPr>
          <w:p>
            <w:pPr>
              <w:spacing w:line="240" w:lineRule="auto" w:after="20" w:before="20"/>
              <w:jc w:val="left"/>
            </w:pPr>
            <w:r>
              <w:rPr>
                <w:rFonts w:ascii="Times New Roman" w:hAnsi="Times New Roman" w:eastAsia="Times New Roman" w:cs="Times New Roman"/>
                <w:b w:val="0"/>
                <w:i w:val="0"/>
                <w:sz w:val="22"/>
              </w:rPr>
              <w:t>Chọn</w:t>
            </w:r>
          </w:p>
        </w:tc>
      </w:tr>
      <w:tr>
        <w:tc>
          <w:tcPr>
            <w:tcW w:type="dxa" w:w="1474"/>
          </w:tcPr>
          <w:p>
            <w:pPr>
              <w:spacing w:line="240" w:lineRule="auto" w:after="20" w:before="20"/>
              <w:jc w:val="left"/>
            </w:pPr>
            <w:r>
              <w:rPr>
                <w:rFonts w:ascii="Times New Roman" w:hAnsi="Times New Roman" w:eastAsia="Times New Roman" w:cs="Times New Roman"/>
                <w:b w:val="0"/>
                <w:i w:val="0"/>
                <w:sz w:val="22"/>
              </w:rPr>
              <w:t>Bán lẻ tiêu dùng</w:t>
            </w:r>
          </w:p>
        </w:tc>
        <w:tc>
          <w:tcPr>
            <w:tcW w:type="dxa" w:w="4082"/>
          </w:tcPr>
          <w:p>
            <w:pPr>
              <w:spacing w:line="240" w:lineRule="auto" w:after="20" w:before="20"/>
              <w:jc w:val="left"/>
            </w:pPr>
            <w:r>
              <w:rPr>
                <w:rFonts w:ascii="Times New Roman" w:hAnsi="Times New Roman" w:eastAsia="Times New Roman" w:cs="Times New Roman"/>
                <w:b w:val="0"/>
                <w:i w:val="0"/>
                <w:sz w:val="22"/>
              </w:rPr>
              <w:t>Dân số trẻ, thu nhập tăng; bán lẻ 9 tháng +13,4%; chuỗi bán lẻ hiện đại còn chiếm thị phần nhỏ so với chợ truyền thống</w:t>
            </w:r>
          </w:p>
        </w:tc>
        <w:tc>
          <w:tcPr>
            <w:tcW w:type="dxa" w:w="2381"/>
          </w:tcPr>
          <w:p>
            <w:pPr>
              <w:spacing w:line="240" w:lineRule="auto" w:after="20" w:before="20"/>
              <w:jc w:val="left"/>
            </w:pPr>
            <w:r>
              <w:rPr>
                <w:rFonts w:ascii="Times New Roman" w:hAnsi="Times New Roman" w:eastAsia="Times New Roman" w:cs="Times New Roman"/>
                <w:b w:val="0"/>
                <w:i w:val="0"/>
                <w:sz w:val="22"/>
              </w:rPr>
              <w:t>Lạm phát làm giảm sức mua</w:t>
            </w:r>
          </w:p>
        </w:tc>
        <w:tc>
          <w:tcPr>
            <w:tcW w:type="dxa" w:w="1134"/>
          </w:tcPr>
          <w:p>
            <w:pPr>
              <w:spacing w:line="240" w:lineRule="auto" w:after="20" w:before="20"/>
              <w:jc w:val="left"/>
            </w:pPr>
            <w:r>
              <w:rPr>
                <w:rFonts w:ascii="Times New Roman" w:hAnsi="Times New Roman" w:eastAsia="Times New Roman" w:cs="Times New Roman"/>
                <w:b w:val="0"/>
                <w:i w:val="0"/>
                <w:sz w:val="22"/>
              </w:rPr>
              <w:t>Chọn</w:t>
            </w:r>
          </w:p>
        </w:tc>
      </w:tr>
      <w:tr>
        <w:tc>
          <w:tcPr>
            <w:tcW w:type="dxa" w:w="1474"/>
          </w:tcPr>
          <w:p>
            <w:pPr>
              <w:spacing w:line="240" w:lineRule="auto" w:after="20" w:before="20"/>
              <w:jc w:val="left"/>
            </w:pPr>
            <w:r>
              <w:rPr>
                <w:rFonts w:ascii="Times New Roman" w:hAnsi="Times New Roman" w:eastAsia="Times New Roman" w:cs="Times New Roman"/>
                <w:b w:val="0"/>
                <w:i w:val="0"/>
                <w:sz w:val="22"/>
              </w:rPr>
              <w:t>Khí đốt, năng lượng</w:t>
            </w:r>
          </w:p>
        </w:tc>
        <w:tc>
          <w:tcPr>
            <w:tcW w:type="dxa" w:w="4082"/>
          </w:tcPr>
          <w:p>
            <w:pPr>
              <w:spacing w:line="240" w:lineRule="auto" w:after="20" w:before="20"/>
              <w:jc w:val="left"/>
            </w:pPr>
            <w:r>
              <w:rPr>
                <w:rFonts w:ascii="Times New Roman" w:hAnsi="Times New Roman" w:eastAsia="Times New Roman" w:cs="Times New Roman"/>
                <w:b w:val="0"/>
                <w:i w:val="0"/>
                <w:sz w:val="22"/>
              </w:rPr>
              <w:t>Cầu điện tăng theo kinh tế; điện khí LNG là trụ cột của Quy hoạch điện VIII đến 2030; giá dầu cao làm tăng giá bán khí</w:t>
            </w:r>
          </w:p>
        </w:tc>
        <w:tc>
          <w:tcPr>
            <w:tcW w:type="dxa" w:w="2381"/>
          </w:tcPr>
          <w:p>
            <w:pPr>
              <w:spacing w:line="240" w:lineRule="auto" w:after="20" w:before="20"/>
              <w:jc w:val="left"/>
            </w:pPr>
            <w:r>
              <w:rPr>
                <w:rFonts w:ascii="Times New Roman" w:hAnsi="Times New Roman" w:eastAsia="Times New Roman" w:cs="Times New Roman"/>
                <w:b w:val="0"/>
                <w:i w:val="0"/>
                <w:sz w:val="22"/>
              </w:rPr>
              <w:t>Giá dầu đảo chiều; giá bán bị điều tiết</w:t>
            </w:r>
          </w:p>
        </w:tc>
        <w:tc>
          <w:tcPr>
            <w:tcW w:type="dxa" w:w="1134"/>
          </w:tcPr>
          <w:p>
            <w:pPr>
              <w:spacing w:line="240" w:lineRule="auto" w:after="20" w:before="20"/>
              <w:jc w:val="left"/>
            </w:pPr>
            <w:r>
              <w:rPr>
                <w:rFonts w:ascii="Times New Roman" w:hAnsi="Times New Roman" w:eastAsia="Times New Roman" w:cs="Times New Roman"/>
                <w:b w:val="0"/>
                <w:i w:val="0"/>
                <w:sz w:val="22"/>
              </w:rPr>
              <w:t>Chọn</w:t>
            </w:r>
          </w:p>
        </w:tc>
      </w:tr>
      <w:tr>
        <w:tc>
          <w:tcPr>
            <w:tcW w:type="dxa" w:w="1474"/>
          </w:tcPr>
          <w:p>
            <w:pPr>
              <w:spacing w:line="240" w:lineRule="auto" w:after="20" w:before="20"/>
              <w:jc w:val="left"/>
            </w:pPr>
            <w:r>
              <w:rPr>
                <w:rFonts w:ascii="Times New Roman" w:hAnsi="Times New Roman" w:eastAsia="Times New Roman" w:cs="Times New Roman"/>
                <w:b w:val="0"/>
                <w:i w:val="0"/>
                <w:sz w:val="22"/>
              </w:rPr>
              <w:t>Thép</w:t>
            </w:r>
          </w:p>
        </w:tc>
        <w:tc>
          <w:tcPr>
            <w:tcW w:type="dxa" w:w="4082"/>
          </w:tcPr>
          <w:p>
            <w:pPr>
              <w:spacing w:line="240" w:lineRule="auto" w:after="20" w:before="20"/>
              <w:jc w:val="left"/>
            </w:pPr>
            <w:r>
              <w:rPr>
                <w:rFonts w:ascii="Times New Roman" w:hAnsi="Times New Roman" w:eastAsia="Times New Roman" w:cs="Times New Roman"/>
                <w:b w:val="0"/>
                <w:i w:val="0"/>
                <w:sz w:val="22"/>
              </w:rPr>
              <w:t>Hưởng lợi đầu tư công, xây dựng +12,5%</w:t>
            </w:r>
          </w:p>
        </w:tc>
        <w:tc>
          <w:tcPr>
            <w:tcW w:type="dxa" w:w="2381"/>
          </w:tcPr>
          <w:p>
            <w:pPr>
              <w:spacing w:line="240" w:lineRule="auto" w:after="20" w:before="20"/>
              <w:jc w:val="left"/>
            </w:pPr>
            <w:r>
              <w:rPr>
                <w:rFonts w:ascii="Times New Roman" w:hAnsi="Times New Roman" w:eastAsia="Times New Roman" w:cs="Times New Roman"/>
                <w:b w:val="0"/>
                <w:i w:val="0"/>
                <w:sz w:val="22"/>
              </w:rPr>
              <w:t>Dư cung: VinMetal có thể thêm 4,2 triệu tấn thép xây dựng và 4 triệu tấn thép cuộn cán nóng đến 2029</w:t>
            </w:r>
          </w:p>
        </w:tc>
        <w:tc>
          <w:tcPr>
            <w:tcW w:type="dxa" w:w="1134"/>
          </w:tcPr>
          <w:p>
            <w:pPr>
              <w:spacing w:line="240" w:lineRule="auto" w:after="20" w:before="20"/>
              <w:jc w:val="left"/>
            </w:pPr>
            <w:r>
              <w:rPr>
                <w:rFonts w:ascii="Times New Roman" w:hAnsi="Times New Roman" w:eastAsia="Times New Roman" w:cs="Times New Roman"/>
                <w:b w:val="0"/>
                <w:i w:val="0"/>
                <w:sz w:val="22"/>
              </w:rPr>
              <w:t>Không chọn</w:t>
            </w:r>
          </w:p>
        </w:tc>
      </w:tr>
      <w:tr>
        <w:tc>
          <w:tcPr>
            <w:tcW w:type="dxa" w:w="1474"/>
          </w:tcPr>
          <w:p>
            <w:pPr>
              <w:spacing w:line="240" w:lineRule="auto" w:after="20" w:before="20"/>
              <w:jc w:val="left"/>
            </w:pPr>
            <w:r>
              <w:rPr>
                <w:rFonts w:ascii="Times New Roman" w:hAnsi="Times New Roman" w:eastAsia="Times New Roman" w:cs="Times New Roman"/>
                <w:b w:val="0"/>
                <w:i w:val="0"/>
                <w:sz w:val="22"/>
              </w:rPr>
              <w:t>Công nghệ</w:t>
            </w:r>
          </w:p>
        </w:tc>
        <w:tc>
          <w:tcPr>
            <w:tcW w:type="dxa" w:w="4082"/>
          </w:tcPr>
          <w:p>
            <w:pPr>
              <w:spacing w:line="240" w:lineRule="auto" w:after="20" w:before="20"/>
              <w:jc w:val="left"/>
            </w:pPr>
            <w:r>
              <w:rPr>
                <w:rFonts w:ascii="Times New Roman" w:hAnsi="Times New Roman" w:eastAsia="Times New Roman" w:cs="Times New Roman"/>
                <w:b w:val="0"/>
                <w:i w:val="0"/>
                <w:sz w:val="22"/>
              </w:rPr>
              <w:t>Chuyển đổi số, AI (doanh thu AI của FPT +55%)</w:t>
            </w:r>
          </w:p>
        </w:tc>
        <w:tc>
          <w:tcPr>
            <w:tcW w:type="dxa" w:w="2381"/>
          </w:tcPr>
          <w:p>
            <w:pPr>
              <w:spacing w:line="240" w:lineRule="auto" w:after="20" w:before="20"/>
              <w:jc w:val="left"/>
            </w:pPr>
            <w:r>
              <w:rPr>
                <w:rFonts w:ascii="Times New Roman" w:hAnsi="Times New Roman" w:eastAsia="Times New Roman" w:cs="Times New Roman"/>
                <w:b w:val="0"/>
                <w:i w:val="0"/>
                <w:sz w:val="22"/>
              </w:rPr>
              <w:t>Lo ngại AI làm giảm nhu cầu gia công phần mềm; giá cổ phiếu giảm mạnh</w:t>
            </w:r>
          </w:p>
        </w:tc>
        <w:tc>
          <w:tcPr>
            <w:tcW w:type="dxa" w:w="1134"/>
          </w:tcPr>
          <w:p>
            <w:pPr>
              <w:spacing w:line="240" w:lineRule="auto" w:after="20" w:before="20"/>
              <w:jc w:val="left"/>
            </w:pPr>
            <w:r>
              <w:rPr>
                <w:rFonts w:ascii="Times New Roman" w:hAnsi="Times New Roman" w:eastAsia="Times New Roman" w:cs="Times New Roman"/>
                <w:b w:val="0"/>
                <w:i w:val="0"/>
                <w:sz w:val="22"/>
              </w:rPr>
              <w:t>Theo dõi</w:t>
            </w:r>
          </w:p>
        </w:tc>
      </w:tr>
    </w:tbl>
    <w:p>
      <w:pPr>
        <w:spacing w:line="276" w:lineRule="auto" w:after="160" w:before="0"/>
        <w:jc w:val="left"/>
      </w:pPr>
      <w:r>
        <w:rPr>
          <w:rFonts w:ascii="Times New Roman" w:hAnsi="Times New Roman" w:eastAsia="Times New Roman" w:cs="Times New Roman"/>
          <w:b w:val="0"/>
          <w:i/>
          <w:sz w:val="22"/>
        </w:rPr>
        <w:t>Nguồn:</w:t>
      </w:r>
      <w:r>
        <w:rPr>
          <w:rFonts w:ascii="Times New Roman" w:hAnsi="Times New Roman" w:eastAsia="Times New Roman" w:cs="Times New Roman"/>
          <w:b w:val="0"/>
          <w:i w:val="0"/>
          <w:sz w:val="22"/>
        </w:rPr>
        <w:t xml:space="preserve"> Nhóm 7 tổng hợp từ [1], [6], [10], [35], [37], [40].</w:t>
      </w:r>
    </w:p>
    <w:p>
      <w:pPr>
        <w:spacing w:line="312" w:lineRule="auto" w:after="120" w:before="0"/>
        <w:ind w:firstLine="720"/>
        <w:jc w:val="both"/>
      </w:pPr>
      <w:r>
        <w:rPr>
          <w:rFonts w:ascii="Times New Roman" w:hAnsi="Times New Roman" w:eastAsia="Times New Roman" w:cs="Times New Roman"/>
          <w:b w:val="0"/>
          <w:i w:val="0"/>
          <w:sz w:val="26"/>
        </w:rPr>
        <w:t xml:space="preserve">Ba ngành được chọn đều có </w:t>
      </w:r>
      <w:r>
        <w:rPr>
          <w:rFonts w:ascii="Times New Roman" w:hAnsi="Times New Roman" w:eastAsia="Times New Roman" w:cs="Times New Roman"/>
          <w:b/>
          <w:i w:val="0"/>
          <w:sz w:val="26"/>
        </w:rPr>
        <w:t>động lực tăng trưởng dài hạn</w:t>
      </w:r>
      <w:r>
        <w:rPr>
          <w:rFonts w:ascii="Times New Roman" w:hAnsi="Times New Roman" w:eastAsia="Times New Roman" w:cs="Times New Roman"/>
          <w:b w:val="0"/>
          <w:i w:val="0"/>
          <w:sz w:val="26"/>
        </w:rPr>
        <w:t xml:space="preserve"> gắn với số liệu vĩ mô ở mục 1.1, và phản ứng </w:t>
      </w:r>
      <w:r>
        <w:rPr>
          <w:rFonts w:ascii="Times New Roman" w:hAnsi="Times New Roman" w:eastAsia="Times New Roman" w:cs="Times New Roman"/>
          <w:b/>
          <w:i w:val="0"/>
          <w:sz w:val="26"/>
        </w:rPr>
        <w:t>khác nhau</w:t>
      </w:r>
      <w:r>
        <w:rPr>
          <w:rFonts w:ascii="Times New Roman" w:hAnsi="Times New Roman" w:eastAsia="Times New Roman" w:cs="Times New Roman"/>
          <w:b w:val="0"/>
          <w:i w:val="0"/>
          <w:sz w:val="26"/>
        </w:rPr>
        <w:t xml:space="preserve"> trước cùng một cú sốc: giá dầu tăng gây bất lợi cho bán lẻ (qua lạm phát) nhưng có lợi cho khí đốt.</w:t>
      </w:r>
    </w:p>
    <w:p>
      <w:pPr>
        <w:pStyle w:val="Heading2"/>
        <w:keepNext/>
        <w:spacing w:line="312" w:lineRule="auto" w:after="120" w:before="120"/>
        <w:jc w:val="left"/>
      </w:pPr>
      <w:r>
        <w:rPr>
          <w:rFonts w:ascii="Times New Roman" w:hAnsi="Times New Roman" w:eastAsia="Times New Roman" w:cs="Times New Roman"/>
          <w:b/>
          <w:i w:val="0"/>
          <w:sz w:val="26"/>
        </w:rPr>
        <w:t>1.3. Chiến lược đầu tư của nhóm</w:t>
      </w:r>
    </w:p>
    <w:p>
      <w:pPr>
        <w:spacing w:line="312" w:lineRule="auto" w:after="120" w:before="0"/>
        <w:ind w:firstLine="720"/>
        <w:jc w:val="both"/>
      </w:pPr>
      <w:r>
        <w:rPr>
          <w:rFonts w:ascii="Times New Roman" w:hAnsi="Times New Roman" w:eastAsia="Times New Roman" w:cs="Times New Roman"/>
          <w:b w:val="0"/>
          <w:i w:val="0"/>
          <w:sz w:val="26"/>
        </w:rPr>
        <w:t xml:space="preserve">Nhóm chọn </w:t>
      </w:r>
      <w:r>
        <w:rPr>
          <w:rFonts w:ascii="Times New Roman" w:hAnsi="Times New Roman" w:eastAsia="Times New Roman" w:cs="Times New Roman"/>
          <w:b/>
          <w:i w:val="0"/>
          <w:sz w:val="26"/>
        </w:rPr>
        <w:t>chiến lược cân bằng</w:t>
      </w:r>
      <w:r>
        <w:rPr>
          <w:rFonts w:ascii="Times New Roman" w:hAnsi="Times New Roman" w:eastAsia="Times New Roman" w:cs="Times New Roman"/>
          <w:b w:val="0"/>
          <w:i w:val="0"/>
          <w:sz w:val="26"/>
        </w:rPr>
        <w:t>, kết hợp ba vai trò giá trị, tăng trưởng và phòng thủ – thu nhập cổ tức, thay vì dồn vốn vào một phong cách. Có hai lý do:</w:t>
      </w:r>
    </w:p>
    <w:p>
      <w:pPr>
        <w:tabs>
          <w:tab w:pos="1077" w:val="left"/>
        </w:tabs>
        <w:spacing w:line="312" w:lineRule="auto" w:after="60" w:before="0"/>
        <w:ind w:hanging="357" w:left="1077"/>
        <w:jc w:val="both"/>
      </w:pPr>
      <w:r>
        <w:rPr>
          <w:rFonts w:ascii="Times New Roman" w:hAnsi="Times New Roman" w:eastAsia="Times New Roman" w:cs="Times New Roman"/>
          <w:b w:val="0"/>
          <w:i w:val="0"/>
          <w:sz w:val="26"/>
        </w:rPr>
        <w:t>a)</w:t>
        <w:tab/>
        <w:t>Vĩ mô có rủi ro hai chiều (tăng trưởng mạnh nhưng lạm phát cao), nên danh mục cần thành phần chịu được kịch bản tiêu cực ở Bảng 1-1.</w:t>
      </w:r>
    </w:p>
    <w:p>
      <w:pPr>
        <w:tabs>
          <w:tab w:pos="1077" w:val="left"/>
        </w:tabs>
        <w:spacing w:line="312" w:lineRule="auto" w:after="60" w:before="0"/>
        <w:ind w:hanging="357" w:left="1077"/>
        <w:jc w:val="both"/>
      </w:pPr>
      <w:r>
        <w:rPr>
          <w:rFonts w:ascii="Times New Roman" w:hAnsi="Times New Roman" w:eastAsia="Times New Roman" w:cs="Times New Roman"/>
          <w:b w:val="0"/>
          <w:i w:val="0"/>
          <w:sz w:val="26"/>
        </w:rPr>
        <w:t>b)</w:t>
        <w:tab/>
        <w:t>Theo lý thuyết Markowitz (Chương 2), kết hợp các tài sản có tương quan thấp giúp giảm rủi ro danh mục mà không phải hy sinh nhiều lợi tức kỳ vọng.</w:t>
      </w:r>
    </w:p>
    <w:p>
      <w:pPr>
        <w:keepNext/>
        <w:spacing w:line="312" w:lineRule="auto" w:after="60" w:before="120"/>
        <w:jc w:val="left"/>
      </w:pPr>
      <w:r>
        <w:rPr>
          <w:rFonts w:ascii="Times New Roman" w:hAnsi="Times New Roman" w:eastAsia="Times New Roman" w:cs="Times New Roman"/>
          <w:b/>
          <w:i w:val="0"/>
          <w:sz w:val="26"/>
        </w:rPr>
        <w:t>Bảng 1-3. Vai trò của từng cổ phiếu trong chiến lược cân bằng</w:t>
      </w:r>
    </w:p>
    <w:tbl>
      <w:tblPr>
        <w:jc w:val="center"/>
        <w:tblLook w:firstColumn="1" w:firstRow="1" w:lastColumn="0" w:lastRow="0" w:noHBand="0" w:noVBand="1" w:val="04A0"/>
        <w:tblBorders>
          <w:top w:val="single" w:sz="8" w:color="000000"/>
          <w:bottom w:val="single" w:sz="8" w:color="000000"/>
          <w:insideH w:val="single" w:sz="2" w:color="BFBFBF"/>
        </w:tblBorders>
        <w:tblW w:w="9071" w:type="dxa"/>
        <w:tblLayout w:type="fixed"/>
      </w:tblPr>
      <w:tblGrid>
        <w:gridCol w:w="907"/>
        <w:gridCol w:w="1701"/>
        <w:gridCol w:w="4535"/>
        <w:gridCol w:w="1928"/>
      </w:tblGrid>
      <w:tr>
        <w:trPr>
          <w:tblHeader w:val="true"/>
        </w:trPr>
        <w:tc>
          <w:tcPr>
            <w:tcW w:type="dxa" w:w="907"/>
            <w:tcBorders>
              <w:bottom w:val="single" w:sz="6" w:color="000000"/>
            </w:tcBorders>
          </w:tcPr>
          <w:p>
            <w:pPr>
              <w:spacing w:line="240" w:lineRule="auto" w:after="20" w:before="20"/>
              <w:jc w:val="center"/>
            </w:pPr>
            <w:r>
              <w:rPr>
                <w:rFonts w:ascii="Times New Roman" w:hAnsi="Times New Roman" w:eastAsia="Times New Roman" w:cs="Times New Roman"/>
                <w:b/>
                <w:i w:val="0"/>
                <w:sz w:val="22"/>
              </w:rPr>
              <w:t>Mã</w:t>
            </w:r>
          </w:p>
        </w:tc>
        <w:tc>
          <w:tcPr>
            <w:tcW w:type="dxa" w:w="170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Vai trò</w:t>
            </w:r>
          </w:p>
        </w:tc>
        <w:tc>
          <w:tcPr>
            <w:tcW w:type="dxa" w:w="4535"/>
            <w:tcBorders>
              <w:bottom w:val="single" w:sz="6" w:color="000000"/>
            </w:tcBorders>
          </w:tcPr>
          <w:p>
            <w:pPr>
              <w:spacing w:line="240" w:lineRule="auto" w:after="20" w:before="20"/>
              <w:jc w:val="center"/>
            </w:pPr>
            <w:r>
              <w:rPr>
                <w:rFonts w:ascii="Times New Roman" w:hAnsi="Times New Roman" w:eastAsia="Times New Roman" w:cs="Times New Roman"/>
                <w:b/>
                <w:i w:val="0"/>
                <w:sz w:val="22"/>
              </w:rPr>
              <w:t>Lý do phù hợp với bối cảnh</w:t>
            </w:r>
          </w:p>
        </w:tc>
        <w:tc>
          <w:tcPr>
            <w:tcW w:type="dxa" w:w="1928"/>
            <w:tcBorders>
              <w:bottom w:val="single" w:sz="6" w:color="000000"/>
            </w:tcBorders>
          </w:tcPr>
          <w:p>
            <w:pPr>
              <w:spacing w:line="240" w:lineRule="auto" w:after="20" w:before="20"/>
              <w:jc w:val="center"/>
            </w:pPr>
            <w:r>
              <w:rPr>
                <w:rFonts w:ascii="Times New Roman" w:hAnsi="Times New Roman" w:eastAsia="Times New Roman" w:cs="Times New Roman"/>
                <w:b/>
                <w:i w:val="0"/>
                <w:sz w:val="22"/>
              </w:rPr>
              <w:t>Tỷ trọng sơ bộ</w:t>
            </w:r>
          </w:p>
        </w:tc>
      </w:tr>
      <w:tr>
        <w:tc>
          <w:tcPr>
            <w:tcW w:type="dxa" w:w="907"/>
          </w:tcPr>
          <w:p>
            <w:pPr>
              <w:spacing w:line="240" w:lineRule="auto" w:after="20" w:before="20"/>
              <w:jc w:val="left"/>
            </w:pPr>
            <w:r>
              <w:rPr>
                <w:rFonts w:ascii="Times New Roman" w:hAnsi="Times New Roman" w:eastAsia="Times New Roman" w:cs="Times New Roman"/>
                <w:b w:val="0"/>
                <w:i w:val="0"/>
                <w:sz w:val="22"/>
              </w:rPr>
              <w:t>MBB</w:t>
            </w:r>
          </w:p>
        </w:tc>
        <w:tc>
          <w:tcPr>
            <w:tcW w:type="dxa" w:w="1701"/>
          </w:tcPr>
          <w:p>
            <w:pPr>
              <w:spacing w:line="240" w:lineRule="auto" w:after="20" w:before="20"/>
              <w:jc w:val="left"/>
            </w:pPr>
            <w:r>
              <w:rPr>
                <w:rFonts w:ascii="Times New Roman" w:hAnsi="Times New Roman" w:eastAsia="Times New Roman" w:cs="Times New Roman"/>
                <w:b w:val="0"/>
                <w:i w:val="0"/>
                <w:sz w:val="22"/>
              </w:rPr>
              <w:t>Giá trị</w:t>
            </w:r>
          </w:p>
        </w:tc>
        <w:tc>
          <w:tcPr>
            <w:tcW w:type="dxa" w:w="4535"/>
          </w:tcPr>
          <w:p>
            <w:pPr>
              <w:spacing w:line="240" w:lineRule="auto" w:after="20" w:before="20"/>
              <w:jc w:val="left"/>
            </w:pPr>
            <w:r>
              <w:rPr>
                <w:rFonts w:ascii="Times New Roman" w:hAnsi="Times New Roman" w:eastAsia="Times New Roman" w:cs="Times New Roman"/>
                <w:b w:val="0"/>
                <w:i w:val="0"/>
                <w:sz w:val="22"/>
              </w:rPr>
              <w:t>P/B khoảng 1,0 lần trong khi ROE khoảng 20%</w:t>
            </w:r>
          </w:p>
        </w:tc>
        <w:tc>
          <w:tcPr>
            <w:tcW w:type="dxa" w:w="1928"/>
          </w:tcPr>
          <w:p>
            <w:pPr>
              <w:spacing w:line="240" w:lineRule="auto" w:after="20" w:before="20"/>
              <w:jc w:val="left"/>
            </w:pPr>
            <w:r>
              <w:rPr>
                <w:rFonts w:ascii="Times New Roman" w:hAnsi="Times New Roman" w:eastAsia="Times New Roman" w:cs="Times New Roman"/>
                <w:b w:val="0"/>
                <w:i w:val="0"/>
                <w:sz w:val="22"/>
              </w:rPr>
              <w:t>40% (4 tỷ đồng)</w:t>
            </w:r>
          </w:p>
        </w:tc>
      </w:tr>
      <w:tr>
        <w:tc>
          <w:tcPr>
            <w:tcW w:type="dxa" w:w="907"/>
          </w:tcPr>
          <w:p>
            <w:pPr>
              <w:spacing w:line="240" w:lineRule="auto" w:after="20" w:before="20"/>
              <w:jc w:val="left"/>
            </w:pPr>
            <w:r>
              <w:rPr>
                <w:rFonts w:ascii="Times New Roman" w:hAnsi="Times New Roman" w:eastAsia="Times New Roman" w:cs="Times New Roman"/>
                <w:b w:val="0"/>
                <w:i w:val="0"/>
                <w:sz w:val="22"/>
              </w:rPr>
              <w:t>MWG</w:t>
            </w:r>
          </w:p>
        </w:tc>
        <w:tc>
          <w:tcPr>
            <w:tcW w:type="dxa" w:w="1701"/>
          </w:tcPr>
          <w:p>
            <w:pPr>
              <w:spacing w:line="240" w:lineRule="auto" w:after="20" w:before="20"/>
              <w:jc w:val="left"/>
            </w:pPr>
            <w:r>
              <w:rPr>
                <w:rFonts w:ascii="Times New Roman" w:hAnsi="Times New Roman" w:eastAsia="Times New Roman" w:cs="Times New Roman"/>
                <w:b w:val="0"/>
                <w:i w:val="0"/>
                <w:sz w:val="22"/>
              </w:rPr>
              <w:t>Tăng trưởng</w:t>
            </w:r>
          </w:p>
        </w:tc>
        <w:tc>
          <w:tcPr>
            <w:tcW w:type="dxa" w:w="4535"/>
          </w:tcPr>
          <w:p>
            <w:pPr>
              <w:spacing w:line="240" w:lineRule="auto" w:after="20" w:before="20"/>
              <w:jc w:val="left"/>
            </w:pPr>
            <w:r>
              <w:rPr>
                <w:rFonts w:ascii="Times New Roman" w:hAnsi="Times New Roman" w:eastAsia="Times New Roman" w:cs="Times New Roman"/>
                <w:b w:val="0"/>
                <w:i w:val="0"/>
                <w:sz w:val="22"/>
              </w:rPr>
              <w:t>LNST 6 tháng +88%, doanh thu 9 tháng +30%</w:t>
            </w:r>
          </w:p>
        </w:tc>
        <w:tc>
          <w:tcPr>
            <w:tcW w:type="dxa" w:w="1928"/>
          </w:tcPr>
          <w:p>
            <w:pPr>
              <w:spacing w:line="240" w:lineRule="auto" w:after="20" w:before="20"/>
              <w:jc w:val="left"/>
            </w:pPr>
            <w:r>
              <w:rPr>
                <w:rFonts w:ascii="Times New Roman" w:hAnsi="Times New Roman" w:eastAsia="Times New Roman" w:cs="Times New Roman"/>
                <w:b w:val="0"/>
                <w:i w:val="0"/>
                <w:sz w:val="22"/>
              </w:rPr>
              <w:t>35% (3,5 tỷ đồng)</w:t>
            </w:r>
          </w:p>
        </w:tc>
      </w:tr>
      <w:tr>
        <w:tc>
          <w:tcPr>
            <w:tcW w:type="dxa" w:w="907"/>
          </w:tcPr>
          <w:p>
            <w:pPr>
              <w:spacing w:line="240" w:lineRule="auto" w:after="20" w:before="20"/>
              <w:jc w:val="left"/>
            </w:pPr>
            <w:r>
              <w:rPr>
                <w:rFonts w:ascii="Times New Roman" w:hAnsi="Times New Roman" w:eastAsia="Times New Roman" w:cs="Times New Roman"/>
                <w:b w:val="0"/>
                <w:i w:val="0"/>
                <w:sz w:val="22"/>
              </w:rPr>
              <w:t>GAS</w:t>
            </w:r>
          </w:p>
        </w:tc>
        <w:tc>
          <w:tcPr>
            <w:tcW w:type="dxa" w:w="1701"/>
          </w:tcPr>
          <w:p>
            <w:pPr>
              <w:spacing w:line="240" w:lineRule="auto" w:after="20" w:before="20"/>
              <w:jc w:val="left"/>
            </w:pPr>
            <w:r>
              <w:rPr>
                <w:rFonts w:ascii="Times New Roman" w:hAnsi="Times New Roman" w:eastAsia="Times New Roman" w:cs="Times New Roman"/>
                <w:b w:val="0"/>
                <w:i w:val="0"/>
                <w:sz w:val="22"/>
              </w:rPr>
              <w:t>Phòng thủ, cổ tức</w:t>
            </w:r>
          </w:p>
        </w:tc>
        <w:tc>
          <w:tcPr>
            <w:tcW w:type="dxa" w:w="4535"/>
          </w:tcPr>
          <w:p>
            <w:pPr>
              <w:spacing w:line="240" w:lineRule="auto" w:after="20" w:before="20"/>
              <w:jc w:val="left"/>
            </w:pPr>
            <w:r>
              <w:rPr>
                <w:rFonts w:ascii="Times New Roman" w:hAnsi="Times New Roman" w:eastAsia="Times New Roman" w:cs="Times New Roman"/>
                <w:b w:val="0"/>
                <w:i w:val="0"/>
                <w:sz w:val="22"/>
              </w:rPr>
              <w:t>Lợi nhuận tăng theo giá dầu, nhiều tiền mặt, cổ tức tiền mặt đều</w:t>
            </w:r>
          </w:p>
        </w:tc>
        <w:tc>
          <w:tcPr>
            <w:tcW w:type="dxa" w:w="1928"/>
          </w:tcPr>
          <w:p>
            <w:pPr>
              <w:spacing w:line="240" w:lineRule="auto" w:after="20" w:before="20"/>
              <w:jc w:val="left"/>
            </w:pPr>
            <w:r>
              <w:rPr>
                <w:rFonts w:ascii="Times New Roman" w:hAnsi="Times New Roman" w:eastAsia="Times New Roman" w:cs="Times New Roman"/>
                <w:b w:val="0"/>
                <w:i w:val="0"/>
                <w:sz w:val="22"/>
              </w:rPr>
              <w:t>25% (2,5 tỷ đồng)</w:t>
            </w:r>
          </w:p>
        </w:tc>
      </w:tr>
    </w:tbl>
    <w:p>
      <w:pPr>
        <w:spacing w:line="276" w:lineRule="auto" w:after="0" w:before="0"/>
        <w:jc w:val="both"/>
      </w:pPr>
      <w:r>
        <w:rPr>
          <w:rFonts w:ascii="Times New Roman" w:hAnsi="Times New Roman" w:eastAsia="Times New Roman" w:cs="Times New Roman"/>
          <w:b w:val="0"/>
          <w:i w:val="0"/>
          <w:sz w:val="22"/>
        </w:rPr>
        <w:t>Ghi chú: Tỷ trọng cuối cùng sẽ được xác định bằng đường biên hiệu quả và danh mục tối ưu ở Bài tập tình huống 2.</w:t>
      </w:r>
    </w:p>
    <w:p>
      <w:pPr>
        <w:spacing w:line="276" w:lineRule="auto" w:after="160" w:before="0"/>
        <w:jc w:val="left"/>
      </w:pPr>
      <w:r>
        <w:rPr>
          <w:rFonts w:ascii="Times New Roman" w:hAnsi="Times New Roman" w:eastAsia="Times New Roman" w:cs="Times New Roman"/>
          <w:b w:val="0"/>
          <w:i/>
          <w:sz w:val="22"/>
        </w:rPr>
        <w:t>Nguồn:</w:t>
      </w:r>
      <w:r>
        <w:rPr>
          <w:rFonts w:ascii="Times New Roman" w:hAnsi="Times New Roman" w:eastAsia="Times New Roman" w:cs="Times New Roman"/>
          <w:b w:val="0"/>
          <w:i w:val="0"/>
          <w:sz w:val="22"/>
        </w:rPr>
        <w:t xml:space="preserve"> Nhóm 7 đề xuất.</w:t>
      </w:r>
    </w:p>
    <w:p>
      <w:pPr>
        <w:pStyle w:val="Heading1"/>
        <w:keepNext/>
        <w:spacing w:line="312" w:lineRule="auto" w:after="240" w:before="0"/>
        <w:jc w:val="center"/>
      </w:pPr>
      <w:r>
        <w:rPr>
          <w:rFonts w:ascii="Times New Roman" w:hAnsi="Times New Roman" w:eastAsia="Times New Roman" w:cs="Times New Roman"/>
          <w:b/>
          <w:i w:val="0"/>
          <w:sz w:val="28"/>
        </w:rPr>
        <w:t>PHẦN 2. PHÂN TÍCH CỔ PHIẾU</w:t>
      </w:r>
    </w:p>
    <w:p>
      <w:pPr>
        <w:pStyle w:val="Heading2"/>
        <w:keepNext/>
        <w:spacing w:line="312" w:lineRule="auto" w:after="120" w:before="120"/>
        <w:jc w:val="left"/>
      </w:pPr>
      <w:r>
        <w:rPr>
          <w:rFonts w:ascii="Times New Roman" w:hAnsi="Times New Roman" w:eastAsia="Times New Roman" w:cs="Times New Roman"/>
          <w:b/>
          <w:i w:val="0"/>
          <w:sz w:val="26"/>
        </w:rPr>
        <w:t>2.1. Tiêu chí lựa chọn cổ phiếu</w:t>
      </w:r>
    </w:p>
    <w:p>
      <w:pPr>
        <w:spacing w:line="312" w:lineRule="auto" w:after="120" w:before="0"/>
        <w:ind w:firstLine="720"/>
        <w:jc w:val="both"/>
      </w:pPr>
      <w:r>
        <w:rPr>
          <w:rFonts w:ascii="Times New Roman" w:hAnsi="Times New Roman" w:eastAsia="Times New Roman" w:cs="Times New Roman"/>
          <w:b w:val="0"/>
          <w:i w:val="0"/>
          <w:sz w:val="26"/>
        </w:rPr>
        <w:t xml:space="preserve">Từ ba ngành được chọn, nhóm lọc cổ phiếu theo năm tiêu chí: (1) niêm yết trên HOSE, vốn hóa lớn, thanh khoản cao; (2) lợi nhuận 2026 tăng trưởng hai chữ số; (3) giá </w:t>
      </w:r>
      <w:r>
        <w:rPr>
          <w:rFonts w:ascii="Times New Roman" w:hAnsi="Times New Roman" w:eastAsia="Times New Roman" w:cs="Times New Roman"/>
          <w:b/>
          <w:i w:val="0"/>
          <w:sz w:val="26"/>
        </w:rPr>
        <w:t>ổn định</w:t>
      </w:r>
      <w:r>
        <w:rPr>
          <w:rFonts w:ascii="Times New Roman" w:hAnsi="Times New Roman" w:eastAsia="Times New Roman" w:cs="Times New Roman"/>
          <w:b w:val="0"/>
          <w:i w:val="0"/>
          <w:sz w:val="26"/>
        </w:rPr>
        <w:t>, không trong xu hướng giảm kéo dài; (4) định giá không cao hơn mức trung bình lịch sử; (5) có lịch sử giá dài để ước lượng lợi tức và phương sai ở Bài tập tình huống 2.</w:t>
      </w:r>
    </w:p>
    <w:p>
      <w:pPr>
        <w:keepNext/>
        <w:spacing w:line="312" w:lineRule="auto" w:after="60" w:before="120"/>
        <w:jc w:val="left"/>
      </w:pPr>
      <w:r>
        <w:rPr>
          <w:rFonts w:ascii="Times New Roman" w:hAnsi="Times New Roman" w:eastAsia="Times New Roman" w:cs="Times New Roman"/>
          <w:b/>
          <w:i w:val="0"/>
          <w:sz w:val="26"/>
        </w:rPr>
        <w:t>Bảng 2-1. Kết quả sàng lọc các cổ phiếu ứng viên</w:t>
      </w:r>
    </w:p>
    <w:tbl>
      <w:tblPr>
        <w:jc w:val="center"/>
        <w:tblLook w:firstColumn="1" w:firstRow="1" w:lastColumn="0" w:lastRow="0" w:noHBand="0" w:noVBand="1" w:val="04A0"/>
        <w:tblBorders>
          <w:top w:val="single" w:sz="8" w:color="000000"/>
          <w:bottom w:val="single" w:sz="8" w:color="000000"/>
          <w:insideH w:val="single" w:sz="2" w:color="BFBFBF"/>
        </w:tblBorders>
        <w:tblW w:w="9071" w:type="dxa"/>
        <w:tblLayout w:type="fixed"/>
      </w:tblPr>
      <w:tblGrid>
        <w:gridCol w:w="907"/>
        <w:gridCol w:w="2041"/>
        <w:gridCol w:w="4876"/>
        <w:gridCol w:w="1247"/>
      </w:tblGrid>
      <w:tr>
        <w:trPr>
          <w:tblHeader w:val="true"/>
        </w:trPr>
        <w:tc>
          <w:tcPr>
            <w:tcW w:type="dxa" w:w="907"/>
            <w:tcBorders>
              <w:bottom w:val="single" w:sz="6" w:color="000000"/>
            </w:tcBorders>
          </w:tcPr>
          <w:p>
            <w:pPr>
              <w:spacing w:line="240" w:lineRule="auto" w:after="20" w:before="20"/>
              <w:jc w:val="center"/>
            </w:pPr>
            <w:r>
              <w:rPr>
                <w:rFonts w:ascii="Times New Roman" w:hAnsi="Times New Roman" w:eastAsia="Times New Roman" w:cs="Times New Roman"/>
                <w:b/>
                <w:i w:val="0"/>
                <w:sz w:val="22"/>
              </w:rPr>
              <w:t>Mã</w:t>
            </w:r>
          </w:p>
        </w:tc>
        <w:tc>
          <w:tcPr>
            <w:tcW w:type="dxa" w:w="204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Lợi nhuận gần nhất</w:t>
            </w:r>
          </w:p>
        </w:tc>
        <w:tc>
          <w:tcPr>
            <w:tcW w:type="dxa" w:w="4876"/>
            <w:tcBorders>
              <w:bottom w:val="single" w:sz="6" w:color="000000"/>
            </w:tcBorders>
          </w:tcPr>
          <w:p>
            <w:pPr>
              <w:spacing w:line="240" w:lineRule="auto" w:after="20" w:before="20"/>
              <w:jc w:val="center"/>
            </w:pPr>
            <w:r>
              <w:rPr>
                <w:rFonts w:ascii="Times New Roman" w:hAnsi="Times New Roman" w:eastAsia="Times New Roman" w:cs="Times New Roman"/>
                <w:b/>
                <w:i w:val="0"/>
                <w:sz w:val="22"/>
              </w:rPr>
              <w:t>Diễn biến giá</w:t>
            </w:r>
          </w:p>
        </w:tc>
        <w:tc>
          <w:tcPr>
            <w:tcW w:type="dxa" w:w="1247"/>
            <w:tcBorders>
              <w:bottom w:val="single" w:sz="6" w:color="000000"/>
            </w:tcBorders>
          </w:tcPr>
          <w:p>
            <w:pPr>
              <w:spacing w:line="240" w:lineRule="auto" w:after="20" w:before="20"/>
              <w:jc w:val="center"/>
            </w:pPr>
            <w:r>
              <w:rPr>
                <w:rFonts w:ascii="Times New Roman" w:hAnsi="Times New Roman" w:eastAsia="Times New Roman" w:cs="Times New Roman"/>
                <w:b/>
                <w:i w:val="0"/>
                <w:sz w:val="22"/>
              </w:rPr>
              <w:t>Kết quả</w:t>
            </w:r>
          </w:p>
        </w:tc>
      </w:tr>
      <w:tr>
        <w:tc>
          <w:tcPr>
            <w:tcW w:type="dxa" w:w="907"/>
          </w:tcPr>
          <w:p>
            <w:pPr>
              <w:spacing w:line="240" w:lineRule="auto" w:after="20" w:before="20"/>
              <w:jc w:val="left"/>
            </w:pPr>
            <w:r>
              <w:rPr>
                <w:rFonts w:ascii="Times New Roman" w:hAnsi="Times New Roman" w:eastAsia="Times New Roman" w:cs="Times New Roman"/>
                <w:b w:val="0"/>
                <w:i w:val="0"/>
                <w:sz w:val="22"/>
              </w:rPr>
              <w:t>MBB</w:t>
            </w:r>
          </w:p>
        </w:tc>
        <w:tc>
          <w:tcPr>
            <w:tcW w:type="dxa" w:w="2041"/>
          </w:tcPr>
          <w:p>
            <w:pPr>
              <w:spacing w:line="240" w:lineRule="auto" w:after="20" w:before="20"/>
              <w:jc w:val="left"/>
            </w:pPr>
            <w:r>
              <w:rPr>
                <w:rFonts w:ascii="Times New Roman" w:hAnsi="Times New Roman" w:eastAsia="Times New Roman" w:cs="Times New Roman"/>
                <w:b w:val="0"/>
                <w:i w:val="0"/>
                <w:sz w:val="22"/>
              </w:rPr>
              <w:t>LNTT 6 tháng +27,1%</w:t>
            </w:r>
          </w:p>
        </w:tc>
        <w:tc>
          <w:tcPr>
            <w:tcW w:type="dxa" w:w="4876"/>
          </w:tcPr>
          <w:p>
            <w:pPr>
              <w:spacing w:line="240" w:lineRule="auto" w:after="20" w:before="20"/>
              <w:jc w:val="left"/>
            </w:pPr>
            <w:r>
              <w:rPr>
                <w:rFonts w:ascii="Times New Roman" w:hAnsi="Times New Roman" w:eastAsia="Times New Roman" w:cs="Times New Roman"/>
                <w:b w:val="0"/>
                <w:i w:val="0"/>
                <w:sz w:val="22"/>
              </w:rPr>
              <w:t>Đi ngang so với đầu năm đến phiên 4/8 (+0,09%); giảm sau đó chủ yếu do điều chỉnh kỹ thuật khi chia cổ tức 15% bằng cổ phiếu</w:t>
            </w:r>
          </w:p>
        </w:tc>
        <w:tc>
          <w:tcPr>
            <w:tcW w:type="dxa" w:w="1247"/>
          </w:tcPr>
          <w:p>
            <w:pPr>
              <w:spacing w:line="240" w:lineRule="auto" w:after="20" w:before="20"/>
              <w:jc w:val="left"/>
            </w:pPr>
            <w:r>
              <w:rPr>
                <w:rFonts w:ascii="Times New Roman" w:hAnsi="Times New Roman" w:eastAsia="Times New Roman" w:cs="Times New Roman"/>
                <w:b w:val="0"/>
                <w:i w:val="0"/>
                <w:sz w:val="22"/>
              </w:rPr>
              <w:t>Đạt</w:t>
            </w:r>
          </w:p>
        </w:tc>
      </w:tr>
      <w:tr>
        <w:tc>
          <w:tcPr>
            <w:tcW w:type="dxa" w:w="907"/>
          </w:tcPr>
          <w:p>
            <w:pPr>
              <w:spacing w:line="240" w:lineRule="auto" w:after="20" w:before="20"/>
              <w:jc w:val="left"/>
            </w:pPr>
            <w:r>
              <w:rPr>
                <w:rFonts w:ascii="Times New Roman" w:hAnsi="Times New Roman" w:eastAsia="Times New Roman" w:cs="Times New Roman"/>
                <w:b w:val="0"/>
                <w:i w:val="0"/>
                <w:sz w:val="22"/>
              </w:rPr>
              <w:t>MWG</w:t>
            </w:r>
          </w:p>
        </w:tc>
        <w:tc>
          <w:tcPr>
            <w:tcW w:type="dxa" w:w="2041"/>
          </w:tcPr>
          <w:p>
            <w:pPr>
              <w:spacing w:line="240" w:lineRule="auto" w:after="20" w:before="20"/>
              <w:jc w:val="left"/>
            </w:pPr>
            <w:r>
              <w:rPr>
                <w:rFonts w:ascii="Times New Roman" w:hAnsi="Times New Roman" w:eastAsia="Times New Roman" w:cs="Times New Roman"/>
                <w:b w:val="0"/>
                <w:i w:val="0"/>
                <w:sz w:val="22"/>
              </w:rPr>
              <w:t>LNST 6 tháng +88%</w:t>
            </w:r>
          </w:p>
        </w:tc>
        <w:tc>
          <w:tcPr>
            <w:tcW w:type="dxa" w:w="4876"/>
          </w:tcPr>
          <w:p>
            <w:pPr>
              <w:spacing w:line="240" w:lineRule="auto" w:after="20" w:before="20"/>
              <w:jc w:val="left"/>
            </w:pPr>
            <w:r>
              <w:rPr>
                <w:rFonts w:ascii="Times New Roman" w:hAnsi="Times New Roman" w:eastAsia="Times New Roman" w:cs="Times New Roman"/>
                <w:b w:val="0"/>
                <w:i w:val="0"/>
                <w:sz w:val="22"/>
              </w:rPr>
              <w:t>Thấp hơn đỉnh 52 tuần khoảng 21%; đang hồi lại (73.900 đ ngày 16/10 lên 75.200 đ ngày 22/10)</w:t>
            </w:r>
          </w:p>
        </w:tc>
        <w:tc>
          <w:tcPr>
            <w:tcW w:type="dxa" w:w="1247"/>
          </w:tcPr>
          <w:p>
            <w:pPr>
              <w:spacing w:line="240" w:lineRule="auto" w:after="20" w:before="20"/>
              <w:jc w:val="left"/>
            </w:pPr>
            <w:r>
              <w:rPr>
                <w:rFonts w:ascii="Times New Roman" w:hAnsi="Times New Roman" w:eastAsia="Times New Roman" w:cs="Times New Roman"/>
                <w:b w:val="0"/>
                <w:i w:val="0"/>
                <w:sz w:val="22"/>
              </w:rPr>
              <w:t>Đạt</w:t>
            </w:r>
          </w:p>
        </w:tc>
      </w:tr>
      <w:tr>
        <w:tc>
          <w:tcPr>
            <w:tcW w:type="dxa" w:w="907"/>
          </w:tcPr>
          <w:p>
            <w:pPr>
              <w:spacing w:line="240" w:lineRule="auto" w:after="20" w:before="20"/>
              <w:jc w:val="left"/>
            </w:pPr>
            <w:r>
              <w:rPr>
                <w:rFonts w:ascii="Times New Roman" w:hAnsi="Times New Roman" w:eastAsia="Times New Roman" w:cs="Times New Roman"/>
                <w:b w:val="0"/>
                <w:i w:val="0"/>
                <w:sz w:val="22"/>
              </w:rPr>
              <w:t>GAS</w:t>
            </w:r>
          </w:p>
        </w:tc>
        <w:tc>
          <w:tcPr>
            <w:tcW w:type="dxa" w:w="2041"/>
          </w:tcPr>
          <w:p>
            <w:pPr>
              <w:spacing w:line="240" w:lineRule="auto" w:after="20" w:before="20"/>
              <w:jc w:val="left"/>
            </w:pPr>
            <w:r>
              <w:rPr>
                <w:rFonts w:ascii="Times New Roman" w:hAnsi="Times New Roman" w:eastAsia="Times New Roman" w:cs="Times New Roman"/>
                <w:b w:val="0"/>
                <w:i w:val="0"/>
                <w:sz w:val="22"/>
              </w:rPr>
              <w:t>LNTT 9 tháng +31%</w:t>
            </w:r>
          </w:p>
        </w:tc>
        <w:tc>
          <w:tcPr>
            <w:tcW w:type="dxa" w:w="4876"/>
          </w:tcPr>
          <w:p>
            <w:pPr>
              <w:spacing w:line="240" w:lineRule="auto" w:after="20" w:before="20"/>
              <w:jc w:val="left"/>
            </w:pPr>
            <w:r>
              <w:rPr>
                <w:rFonts w:ascii="Times New Roman" w:hAnsi="Times New Roman" w:eastAsia="Times New Roman" w:cs="Times New Roman"/>
                <w:b w:val="0"/>
                <w:i w:val="0"/>
                <w:sz w:val="22"/>
              </w:rPr>
              <w:t>Dao động 76.000–82.000 đ trong tháng 10</w:t>
            </w:r>
          </w:p>
        </w:tc>
        <w:tc>
          <w:tcPr>
            <w:tcW w:type="dxa" w:w="1247"/>
          </w:tcPr>
          <w:p>
            <w:pPr>
              <w:spacing w:line="240" w:lineRule="auto" w:after="20" w:before="20"/>
              <w:jc w:val="left"/>
            </w:pPr>
            <w:r>
              <w:rPr>
                <w:rFonts w:ascii="Times New Roman" w:hAnsi="Times New Roman" w:eastAsia="Times New Roman" w:cs="Times New Roman"/>
                <w:b w:val="0"/>
                <w:i w:val="0"/>
                <w:sz w:val="22"/>
              </w:rPr>
              <w:t>Đạt</w:t>
            </w:r>
          </w:p>
        </w:tc>
      </w:tr>
      <w:tr>
        <w:tc>
          <w:tcPr>
            <w:tcW w:type="dxa" w:w="907"/>
          </w:tcPr>
          <w:p>
            <w:pPr>
              <w:spacing w:line="240" w:lineRule="auto" w:after="20" w:before="20"/>
              <w:jc w:val="left"/>
            </w:pPr>
            <w:r>
              <w:rPr>
                <w:rFonts w:ascii="Times New Roman" w:hAnsi="Times New Roman" w:eastAsia="Times New Roman" w:cs="Times New Roman"/>
                <w:b w:val="0"/>
                <w:i w:val="0"/>
                <w:sz w:val="22"/>
              </w:rPr>
              <w:t>HPG</w:t>
            </w:r>
          </w:p>
        </w:tc>
        <w:tc>
          <w:tcPr>
            <w:tcW w:type="dxa" w:w="2041"/>
          </w:tcPr>
          <w:p>
            <w:pPr>
              <w:spacing w:line="240" w:lineRule="auto" w:after="20" w:before="20"/>
              <w:jc w:val="left"/>
            </w:pPr>
            <w:r>
              <w:rPr>
                <w:rFonts w:ascii="Times New Roman" w:hAnsi="Times New Roman" w:eastAsia="Times New Roman" w:cs="Times New Roman"/>
                <w:b w:val="0"/>
                <w:i w:val="0"/>
                <w:sz w:val="22"/>
              </w:rPr>
              <w:t>LNST quý II +51%</w:t>
            </w:r>
          </w:p>
        </w:tc>
        <w:tc>
          <w:tcPr>
            <w:tcW w:type="dxa" w:w="4876"/>
          </w:tcPr>
          <w:p>
            <w:pPr>
              <w:spacing w:line="240" w:lineRule="auto" w:after="20" w:before="20"/>
              <w:jc w:val="left"/>
            </w:pPr>
            <w:r>
              <w:rPr>
                <w:rFonts w:ascii="Times New Roman" w:hAnsi="Times New Roman" w:eastAsia="Times New Roman" w:cs="Times New Roman"/>
                <w:b w:val="0"/>
                <w:i w:val="0"/>
                <w:sz w:val="22"/>
              </w:rPr>
              <w:t>−12,2% từ đầu năm; dưới đường MA200 gần 5 tháng; 16 quỹ bán ròng 4 tháng liên tiếp</w:t>
            </w:r>
          </w:p>
        </w:tc>
        <w:tc>
          <w:tcPr>
            <w:tcW w:type="dxa" w:w="1247"/>
          </w:tcPr>
          <w:p>
            <w:pPr>
              <w:spacing w:line="240" w:lineRule="auto" w:after="20" w:before="20"/>
              <w:jc w:val="left"/>
            </w:pPr>
            <w:r>
              <w:rPr>
                <w:rFonts w:ascii="Times New Roman" w:hAnsi="Times New Roman" w:eastAsia="Times New Roman" w:cs="Times New Roman"/>
                <w:b w:val="0"/>
                <w:i w:val="0"/>
                <w:sz w:val="22"/>
              </w:rPr>
              <w:t>Loại</w:t>
            </w:r>
          </w:p>
        </w:tc>
      </w:tr>
      <w:tr>
        <w:tc>
          <w:tcPr>
            <w:tcW w:type="dxa" w:w="907"/>
          </w:tcPr>
          <w:p>
            <w:pPr>
              <w:spacing w:line="240" w:lineRule="auto" w:after="20" w:before="20"/>
              <w:jc w:val="left"/>
            </w:pPr>
            <w:r>
              <w:rPr>
                <w:rFonts w:ascii="Times New Roman" w:hAnsi="Times New Roman" w:eastAsia="Times New Roman" w:cs="Times New Roman"/>
                <w:b w:val="0"/>
                <w:i w:val="0"/>
                <w:sz w:val="22"/>
              </w:rPr>
              <w:t>FPT</w:t>
            </w:r>
          </w:p>
        </w:tc>
        <w:tc>
          <w:tcPr>
            <w:tcW w:type="dxa" w:w="2041"/>
          </w:tcPr>
          <w:p>
            <w:pPr>
              <w:spacing w:line="240" w:lineRule="auto" w:after="20" w:before="20"/>
              <w:jc w:val="left"/>
            </w:pPr>
            <w:r>
              <w:rPr>
                <w:rFonts w:ascii="Times New Roman" w:hAnsi="Times New Roman" w:eastAsia="Times New Roman" w:cs="Times New Roman"/>
                <w:b w:val="0"/>
                <w:i w:val="0"/>
                <w:sz w:val="22"/>
              </w:rPr>
              <w:t>LNST 9 tháng +13,3%</w:t>
            </w:r>
          </w:p>
        </w:tc>
        <w:tc>
          <w:tcPr>
            <w:tcW w:type="dxa" w:w="4876"/>
          </w:tcPr>
          <w:p>
            <w:pPr>
              <w:spacing w:line="240" w:lineRule="auto" w:after="20" w:before="20"/>
              <w:jc w:val="left"/>
            </w:pPr>
            <w:r>
              <w:rPr>
                <w:rFonts w:ascii="Times New Roman" w:hAnsi="Times New Roman" w:eastAsia="Times New Roman" w:cs="Times New Roman"/>
                <w:b w:val="0"/>
                <w:i w:val="0"/>
                <w:sz w:val="22"/>
              </w:rPr>
              <w:t>Từ khoảng 98.000 đ đầu năm còn 57.400 đ (22/10)</w:t>
            </w:r>
          </w:p>
        </w:tc>
        <w:tc>
          <w:tcPr>
            <w:tcW w:type="dxa" w:w="1247"/>
          </w:tcPr>
          <w:p>
            <w:pPr>
              <w:spacing w:line="240" w:lineRule="auto" w:after="20" w:before="20"/>
              <w:jc w:val="left"/>
            </w:pPr>
            <w:r>
              <w:rPr>
                <w:rFonts w:ascii="Times New Roman" w:hAnsi="Times New Roman" w:eastAsia="Times New Roman" w:cs="Times New Roman"/>
                <w:b w:val="0"/>
                <w:i w:val="0"/>
                <w:sz w:val="22"/>
              </w:rPr>
              <w:t>Loại</w:t>
            </w:r>
          </w:p>
        </w:tc>
      </w:tr>
    </w:tbl>
    <w:p>
      <w:pPr>
        <w:spacing w:line="276" w:lineRule="auto" w:after="160" w:before="0"/>
        <w:jc w:val="left"/>
      </w:pPr>
      <w:r>
        <w:rPr>
          <w:rFonts w:ascii="Times New Roman" w:hAnsi="Times New Roman" w:eastAsia="Times New Roman" w:cs="Times New Roman"/>
          <w:b w:val="0"/>
          <w:i/>
          <w:sz w:val="22"/>
        </w:rPr>
        <w:t>Nguồn:</w:t>
      </w:r>
      <w:r>
        <w:rPr>
          <w:rFonts w:ascii="Times New Roman" w:hAnsi="Times New Roman" w:eastAsia="Times New Roman" w:cs="Times New Roman"/>
          <w:b w:val="0"/>
          <w:i w:val="0"/>
          <w:sz w:val="22"/>
        </w:rPr>
        <w:t xml:space="preserve"> Nhóm 7 tổng hợp từ [17], [24], [28], [35], [36], [37].</w:t>
      </w:r>
    </w:p>
    <w:p>
      <w:pPr>
        <w:spacing w:line="312" w:lineRule="auto" w:after="120" w:before="0"/>
        <w:ind w:firstLine="720"/>
        <w:jc w:val="both"/>
      </w:pPr>
      <w:r>
        <w:rPr>
          <w:rFonts w:ascii="Times New Roman" w:hAnsi="Times New Roman" w:eastAsia="Times New Roman" w:cs="Times New Roman"/>
          <w:b w:val="0"/>
          <w:i w:val="0"/>
          <w:sz w:val="26"/>
        </w:rPr>
        <w:t xml:space="preserve">HPG và FPT có </w:t>
      </w:r>
      <w:r>
        <w:rPr>
          <w:rFonts w:ascii="Times New Roman" w:hAnsi="Times New Roman" w:eastAsia="Times New Roman" w:cs="Times New Roman"/>
          <w:b/>
          <w:i w:val="0"/>
          <w:sz w:val="26"/>
        </w:rPr>
        <w:t>lợi nhuận tăng nhưng giá giảm kéo dài</w:t>
      </w:r>
      <w:r>
        <w:rPr>
          <w:rFonts w:ascii="Times New Roman" w:hAnsi="Times New Roman" w:eastAsia="Times New Roman" w:cs="Times New Roman"/>
          <w:b w:val="0"/>
          <w:i w:val="0"/>
          <w:sz w:val="26"/>
        </w:rPr>
        <w:t xml:space="preserve">; với kỳ hạn 1 tháng, nhóm không có lý do để tin xu hướng sẽ đảo chiều. Hai mã này nhiều khả năng có lợi tức kỳ vọng thấp nhưng độ lệch chuẩn cao, tức là </w:t>
      </w:r>
      <w:r>
        <w:rPr>
          <w:rFonts w:ascii="Times New Roman" w:hAnsi="Times New Roman" w:eastAsia="Times New Roman" w:cs="Times New Roman"/>
          <w:b/>
          <w:i w:val="0"/>
          <w:sz w:val="26"/>
        </w:rPr>
        <w:t>tài sản bị thống trị</w:t>
      </w:r>
      <w:r>
        <w:rPr>
          <w:rFonts w:ascii="Times New Roman" w:hAnsi="Times New Roman" w:eastAsia="Times New Roman" w:cs="Times New Roman"/>
          <w:b w:val="0"/>
          <w:i w:val="0"/>
          <w:sz w:val="26"/>
        </w:rPr>
        <w:t xml:space="preserve"> trên đồ thị lợi tức – rủi ro.</w:t>
      </w:r>
    </w:p>
    <w:p>
      <w:pPr>
        <w:spacing w:line="312" w:lineRule="auto" w:after="120" w:before="0"/>
        <w:ind w:firstLine="720"/>
        <w:jc w:val="both"/>
      </w:pPr>
      <w:r>
        <w:rPr>
          <w:rFonts w:ascii="Times New Roman" w:hAnsi="Times New Roman" w:eastAsia="Times New Roman" w:cs="Times New Roman"/>
          <w:b/>
          <w:i w:val="0"/>
          <w:sz w:val="26"/>
        </w:rPr>
        <w:t>Giả định chung khi định giá.</w:t>
      </w:r>
      <w:r>
        <w:rPr>
          <w:rFonts w:ascii="Times New Roman" w:hAnsi="Times New Roman" w:eastAsia="Times New Roman" w:cs="Times New Roman"/>
          <w:b w:val="0"/>
          <w:i w:val="0"/>
          <w:sz w:val="26"/>
        </w:rPr>
        <w:t xml:space="preserve"> Tỷ suất lợi tức yêu cầu k được tính bằng CAPM (Chương 3): k = Rf + β × [E(RM) − Rf], với Rf = 4,36% (lợi suất trái phiếu Chính phủ kỳ hạn 10 năm, phiên đấu thầu cuối tháng 7/2026 [5]) và phần bù rủi ro thị trường giả định 8%. Hệ số β tạm giả định theo đặc điểm ngành (MBB 1,1; MWG 1,2; GAS 0,8). Ở Bài tập tình huống 2, β sẽ được ước lượng từ dữ liệu giá ngày theo công thức β = Cov(Ri, RM)/σ²M.</w:t>
      </w:r>
    </w:p>
    <w:p>
      <w:pPr>
        <w:pStyle w:val="Heading2"/>
        <w:keepNext/>
        <w:spacing w:line="312" w:lineRule="auto" w:after="120" w:before="120"/>
        <w:jc w:val="left"/>
      </w:pPr>
      <w:r>
        <w:rPr>
          <w:rFonts w:ascii="Times New Roman" w:hAnsi="Times New Roman" w:eastAsia="Times New Roman" w:cs="Times New Roman"/>
          <w:b/>
          <w:i w:val="0"/>
          <w:sz w:val="26"/>
        </w:rPr>
        <w:t>2.2. Ngân hàng TMCP Quân đội (MBB – HOSE)</w:t>
      </w:r>
    </w:p>
    <w:p>
      <w:pPr>
        <w:pStyle w:val="Heading3"/>
        <w:keepNext/>
        <w:spacing w:line="312" w:lineRule="auto" w:after="120" w:before="120"/>
        <w:jc w:val="left"/>
      </w:pPr>
      <w:r>
        <w:rPr>
          <w:rFonts w:ascii="Times New Roman" w:hAnsi="Times New Roman" w:eastAsia="Times New Roman" w:cs="Times New Roman"/>
          <w:b/>
          <w:i/>
          <w:sz w:val="26"/>
        </w:rPr>
        <w:t>2.2.1. Mô hình kinh doanh</w:t>
      </w:r>
    </w:p>
    <w:p>
      <w:pPr>
        <w:spacing w:line="312" w:lineRule="auto" w:after="120" w:before="0"/>
        <w:ind w:firstLine="720"/>
        <w:jc w:val="both"/>
      </w:pPr>
      <w:r>
        <w:rPr>
          <w:rFonts w:ascii="Times New Roman" w:hAnsi="Times New Roman" w:eastAsia="Times New Roman" w:cs="Times New Roman"/>
          <w:b w:val="0"/>
          <w:i w:val="0"/>
          <w:sz w:val="26"/>
        </w:rPr>
        <w:t xml:space="preserve">MB là ngân hàng thương mại cổ phần có cổ đông lớn là các doanh nghiệp thuộc Bộ Quốc phòng. Nguồn thu chính là </w:t>
      </w:r>
      <w:r>
        <w:rPr>
          <w:rFonts w:ascii="Times New Roman" w:hAnsi="Times New Roman" w:eastAsia="Times New Roman" w:cs="Times New Roman"/>
          <w:b/>
          <w:i w:val="0"/>
          <w:sz w:val="26"/>
        </w:rPr>
        <w:t>chênh lệch lãi suất</w:t>
      </w:r>
      <w:r>
        <w:rPr>
          <w:rFonts w:ascii="Times New Roman" w:hAnsi="Times New Roman" w:eastAsia="Times New Roman" w:cs="Times New Roman"/>
          <w:b w:val="0"/>
          <w:i w:val="0"/>
          <w:sz w:val="26"/>
        </w:rPr>
        <w:t>: huy động tiền gửi, đặc biệt tiền gửi không kỳ hạn (CASA) nhờ ứng dụng ngân hàng số với gần 40 triệu khách hàng, rồi cho vay với lãi suất cao hơn. MB xây dựng hệ sinh thái tài chính gồm Chứng khoán MBS (sở hữu 76,35%), tài chính tiêu dùng MCredit (50%), bảo hiểm và ngân hàng MBV (100%, nhận chuyển giao bắt buộc) [20].</w:t>
      </w:r>
    </w:p>
    <w:p>
      <w:pPr>
        <w:pStyle w:val="Heading3"/>
        <w:keepNext/>
        <w:spacing w:line="312" w:lineRule="auto" w:after="120" w:before="120"/>
        <w:jc w:val="left"/>
      </w:pPr>
      <w:r>
        <w:rPr>
          <w:rFonts w:ascii="Times New Roman" w:hAnsi="Times New Roman" w:eastAsia="Times New Roman" w:cs="Times New Roman"/>
          <w:b/>
          <w:i/>
          <w:sz w:val="26"/>
        </w:rPr>
        <w:t>2.2.2. Kết quả kinh doanh và tình hình tài chính</w:t>
      </w:r>
    </w:p>
    <w:p>
      <w:pPr>
        <w:keepNext/>
        <w:spacing w:line="312" w:lineRule="auto" w:after="60" w:before="120"/>
        <w:jc w:val="left"/>
      </w:pPr>
      <w:r>
        <w:rPr>
          <w:rFonts w:ascii="Times New Roman" w:hAnsi="Times New Roman" w:eastAsia="Times New Roman" w:cs="Times New Roman"/>
          <w:b/>
          <w:i w:val="0"/>
          <w:sz w:val="26"/>
        </w:rPr>
        <w:t>Bảng 2-2. Kết quả kinh doanh chính của MBB</w:t>
      </w:r>
    </w:p>
    <w:tbl>
      <w:tblPr>
        <w:jc w:val="center"/>
        <w:tblLook w:firstColumn="1" w:firstRow="1" w:lastColumn="0" w:lastRow="0" w:noHBand="0" w:noVBand="1" w:val="04A0"/>
        <w:tblBorders>
          <w:top w:val="single" w:sz="8" w:color="000000"/>
          <w:bottom w:val="single" w:sz="8" w:color="000000"/>
          <w:insideH w:val="single" w:sz="2" w:color="BFBFBF"/>
        </w:tblBorders>
        <w:tblW w:w="9071" w:type="dxa"/>
        <w:tblLayout w:type="fixed"/>
      </w:tblPr>
      <w:tblGrid>
        <w:gridCol w:w="3061"/>
        <w:gridCol w:w="1474"/>
        <w:gridCol w:w="1587"/>
        <w:gridCol w:w="2948"/>
      </w:tblGrid>
      <w:tr>
        <w:trPr>
          <w:tblHeader w:val="true"/>
        </w:trPr>
        <w:tc>
          <w:tcPr>
            <w:tcW w:type="dxa" w:w="306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Chỉ tiêu</w:t>
            </w:r>
          </w:p>
        </w:tc>
        <w:tc>
          <w:tcPr>
            <w:tcW w:type="dxa" w:w="1474"/>
            <w:tcBorders>
              <w:bottom w:val="single" w:sz="6" w:color="000000"/>
            </w:tcBorders>
          </w:tcPr>
          <w:p>
            <w:pPr>
              <w:spacing w:line="240" w:lineRule="auto" w:after="20" w:before="20"/>
              <w:jc w:val="center"/>
            </w:pPr>
            <w:r>
              <w:rPr>
                <w:rFonts w:ascii="Times New Roman" w:hAnsi="Times New Roman" w:eastAsia="Times New Roman" w:cs="Times New Roman"/>
                <w:b/>
                <w:i w:val="0"/>
                <w:sz w:val="22"/>
              </w:rPr>
              <w:t>Năm 2025</w:t>
            </w:r>
          </w:p>
        </w:tc>
        <w:tc>
          <w:tcPr>
            <w:tcW w:type="dxa" w:w="1587"/>
            <w:tcBorders>
              <w:bottom w:val="single" w:sz="6" w:color="000000"/>
            </w:tcBorders>
          </w:tcPr>
          <w:p>
            <w:pPr>
              <w:spacing w:line="240" w:lineRule="auto" w:after="20" w:before="20"/>
              <w:jc w:val="center"/>
            </w:pPr>
            <w:r>
              <w:rPr>
                <w:rFonts w:ascii="Times New Roman" w:hAnsi="Times New Roman" w:eastAsia="Times New Roman" w:cs="Times New Roman"/>
                <w:b/>
                <w:i w:val="0"/>
                <w:sz w:val="22"/>
              </w:rPr>
              <w:t>6 tháng 2026</w:t>
            </w:r>
          </w:p>
        </w:tc>
        <w:tc>
          <w:tcPr>
            <w:tcW w:type="dxa" w:w="2948"/>
            <w:tcBorders>
              <w:bottom w:val="single" w:sz="6" w:color="000000"/>
            </w:tcBorders>
          </w:tcPr>
          <w:p>
            <w:pPr>
              <w:spacing w:line="240" w:lineRule="auto" w:after="20" w:before="20"/>
              <w:jc w:val="center"/>
            </w:pPr>
            <w:r>
              <w:rPr>
                <w:rFonts w:ascii="Times New Roman" w:hAnsi="Times New Roman" w:eastAsia="Times New Roman" w:cs="Times New Roman"/>
                <w:b/>
                <w:i w:val="0"/>
                <w:sz w:val="22"/>
              </w:rPr>
              <w:t>Tăng trưởng</w:t>
            </w:r>
          </w:p>
        </w:tc>
      </w:tr>
      <w:tr>
        <w:tc>
          <w:tcPr>
            <w:tcW w:type="dxa" w:w="3061"/>
          </w:tcPr>
          <w:p>
            <w:pPr>
              <w:spacing w:line="240" w:lineRule="auto" w:after="20" w:before="20"/>
              <w:jc w:val="left"/>
            </w:pPr>
            <w:r>
              <w:rPr>
                <w:rFonts w:ascii="Times New Roman" w:hAnsi="Times New Roman" w:eastAsia="Times New Roman" w:cs="Times New Roman"/>
                <w:b w:val="0"/>
                <w:i w:val="0"/>
                <w:sz w:val="22"/>
              </w:rPr>
              <w:t>LNTT hợp nhất (tỷ đồng)</w:t>
            </w:r>
          </w:p>
        </w:tc>
        <w:tc>
          <w:tcPr>
            <w:tcW w:type="dxa" w:w="1474"/>
          </w:tcPr>
          <w:p>
            <w:pPr>
              <w:spacing w:line="240" w:lineRule="auto" w:after="20" w:before="20"/>
              <w:jc w:val="right"/>
            </w:pPr>
            <w:r>
              <w:rPr>
                <w:rFonts w:ascii="Times New Roman" w:hAnsi="Times New Roman" w:eastAsia="Times New Roman" w:cs="Times New Roman"/>
                <w:b w:val="0"/>
                <w:i w:val="0"/>
                <w:sz w:val="22"/>
              </w:rPr>
              <w:t>34.268</w:t>
            </w:r>
          </w:p>
        </w:tc>
        <w:tc>
          <w:tcPr>
            <w:tcW w:type="dxa" w:w="1587"/>
          </w:tcPr>
          <w:p>
            <w:pPr>
              <w:spacing w:line="240" w:lineRule="auto" w:after="20" w:before="20"/>
              <w:jc w:val="right"/>
            </w:pPr>
            <w:r>
              <w:rPr>
                <w:rFonts w:ascii="Times New Roman" w:hAnsi="Times New Roman" w:eastAsia="Times New Roman" w:cs="Times New Roman"/>
                <w:b w:val="0"/>
                <w:i w:val="0"/>
                <w:sz w:val="22"/>
              </w:rPr>
              <w:t>20.188</w:t>
            </w:r>
          </w:p>
        </w:tc>
        <w:tc>
          <w:tcPr>
            <w:tcW w:type="dxa" w:w="2948"/>
          </w:tcPr>
          <w:p>
            <w:pPr>
              <w:spacing w:line="240" w:lineRule="auto" w:after="20" w:before="20"/>
              <w:jc w:val="left"/>
            </w:pPr>
            <w:r>
              <w:rPr>
                <w:rFonts w:ascii="Times New Roman" w:hAnsi="Times New Roman" w:eastAsia="Times New Roman" w:cs="Times New Roman"/>
                <w:b w:val="0"/>
                <w:i w:val="0"/>
                <w:sz w:val="22"/>
              </w:rPr>
              <w:t>+18,9% / +27,1%</w:t>
            </w:r>
          </w:p>
        </w:tc>
      </w:tr>
      <w:tr>
        <w:tc>
          <w:tcPr>
            <w:tcW w:type="dxa" w:w="3061"/>
          </w:tcPr>
          <w:p>
            <w:pPr>
              <w:spacing w:line="240" w:lineRule="auto" w:after="20" w:before="20"/>
              <w:jc w:val="left"/>
            </w:pPr>
            <w:r>
              <w:rPr>
                <w:rFonts w:ascii="Times New Roman" w:hAnsi="Times New Roman" w:eastAsia="Times New Roman" w:cs="Times New Roman"/>
                <w:b w:val="0"/>
                <w:i w:val="0"/>
                <w:sz w:val="22"/>
              </w:rPr>
              <w:t>Thu nhập lãi thuần (tỷ đồng)</w:t>
            </w:r>
          </w:p>
        </w:tc>
        <w:tc>
          <w:tcPr>
            <w:tcW w:type="dxa" w:w="1474"/>
          </w:tcPr>
          <w:p>
            <w:pPr>
              <w:spacing w:line="240" w:lineRule="auto" w:after="20" w:before="20"/>
              <w:jc w:val="right"/>
            </w:pPr>
            <w:r>
              <w:rPr>
                <w:rFonts w:ascii="Times New Roman" w:hAnsi="Times New Roman" w:eastAsia="Times New Roman" w:cs="Times New Roman"/>
                <w:b w:val="0"/>
                <w:i w:val="0"/>
                <w:sz w:val="22"/>
              </w:rPr>
              <w:t>–</w:t>
            </w:r>
          </w:p>
        </w:tc>
        <w:tc>
          <w:tcPr>
            <w:tcW w:type="dxa" w:w="1587"/>
          </w:tcPr>
          <w:p>
            <w:pPr>
              <w:spacing w:line="240" w:lineRule="auto" w:after="20" w:before="20"/>
              <w:jc w:val="right"/>
            </w:pPr>
            <w:r>
              <w:rPr>
                <w:rFonts w:ascii="Times New Roman" w:hAnsi="Times New Roman" w:eastAsia="Times New Roman" w:cs="Times New Roman"/>
                <w:b w:val="0"/>
                <w:i w:val="0"/>
                <w:sz w:val="22"/>
              </w:rPr>
              <w:t>31.807</w:t>
            </w:r>
          </w:p>
        </w:tc>
        <w:tc>
          <w:tcPr>
            <w:tcW w:type="dxa" w:w="2948"/>
          </w:tcPr>
          <w:p>
            <w:pPr>
              <w:spacing w:line="240" w:lineRule="auto" w:after="20" w:before="20"/>
              <w:jc w:val="left"/>
            </w:pPr>
            <w:r>
              <w:rPr>
                <w:rFonts w:ascii="Times New Roman" w:hAnsi="Times New Roman" w:eastAsia="Times New Roman" w:cs="Times New Roman"/>
                <w:b w:val="0"/>
                <w:i w:val="0"/>
                <w:sz w:val="22"/>
              </w:rPr>
              <w:t>+32,2%</w:t>
            </w:r>
          </w:p>
        </w:tc>
      </w:tr>
      <w:tr>
        <w:tc>
          <w:tcPr>
            <w:tcW w:type="dxa" w:w="3061"/>
          </w:tcPr>
          <w:p>
            <w:pPr>
              <w:spacing w:line="240" w:lineRule="auto" w:after="20" w:before="20"/>
              <w:jc w:val="left"/>
            </w:pPr>
            <w:r>
              <w:rPr>
                <w:rFonts w:ascii="Times New Roman" w:hAnsi="Times New Roman" w:eastAsia="Times New Roman" w:cs="Times New Roman"/>
                <w:b w:val="0"/>
                <w:i w:val="0"/>
                <w:sz w:val="22"/>
              </w:rPr>
              <w:t>Dư nợ tín dụng (nghìn tỷ đồng)</w:t>
            </w:r>
          </w:p>
        </w:tc>
        <w:tc>
          <w:tcPr>
            <w:tcW w:type="dxa" w:w="1474"/>
          </w:tcPr>
          <w:p>
            <w:pPr>
              <w:spacing w:line="240" w:lineRule="auto" w:after="20" w:before="20"/>
              <w:jc w:val="right"/>
            </w:pPr>
            <w:r>
              <w:rPr>
                <w:rFonts w:ascii="Times New Roman" w:hAnsi="Times New Roman" w:eastAsia="Times New Roman" w:cs="Times New Roman"/>
                <w:b w:val="0"/>
                <w:i w:val="0"/>
                <w:sz w:val="22"/>
              </w:rPr>
              <w:t>–</w:t>
            </w:r>
          </w:p>
        </w:tc>
        <w:tc>
          <w:tcPr>
            <w:tcW w:type="dxa" w:w="1587"/>
          </w:tcPr>
          <w:p>
            <w:pPr>
              <w:spacing w:line="240" w:lineRule="auto" w:after="20" w:before="20"/>
              <w:jc w:val="right"/>
            </w:pPr>
            <w:r>
              <w:rPr>
                <w:rFonts w:ascii="Times New Roman" w:hAnsi="Times New Roman" w:eastAsia="Times New Roman" w:cs="Times New Roman"/>
                <w:b w:val="0"/>
                <w:i w:val="0"/>
                <w:sz w:val="22"/>
              </w:rPr>
              <w:t>1.256</w:t>
            </w:r>
          </w:p>
        </w:tc>
        <w:tc>
          <w:tcPr>
            <w:tcW w:type="dxa" w:w="2948"/>
          </w:tcPr>
          <w:p>
            <w:pPr>
              <w:spacing w:line="240" w:lineRule="auto" w:after="20" w:before="20"/>
              <w:jc w:val="left"/>
            </w:pPr>
            <w:r>
              <w:rPr>
                <w:rFonts w:ascii="Times New Roman" w:hAnsi="Times New Roman" w:eastAsia="Times New Roman" w:cs="Times New Roman"/>
                <w:b w:val="0"/>
                <w:i w:val="0"/>
                <w:sz w:val="22"/>
              </w:rPr>
              <w:t>+13% so với đầu năm</w:t>
            </w:r>
          </w:p>
        </w:tc>
      </w:tr>
      <w:tr>
        <w:tc>
          <w:tcPr>
            <w:tcW w:type="dxa" w:w="3061"/>
          </w:tcPr>
          <w:p>
            <w:pPr>
              <w:spacing w:line="240" w:lineRule="auto" w:after="20" w:before="20"/>
              <w:jc w:val="left"/>
            </w:pPr>
            <w:r>
              <w:rPr>
                <w:rFonts w:ascii="Times New Roman" w:hAnsi="Times New Roman" w:eastAsia="Times New Roman" w:cs="Times New Roman"/>
                <w:b w:val="0"/>
                <w:i w:val="0"/>
                <w:sz w:val="22"/>
              </w:rPr>
              <w:t>Tỷ lệ nợ xấu</w:t>
            </w:r>
          </w:p>
        </w:tc>
        <w:tc>
          <w:tcPr>
            <w:tcW w:type="dxa" w:w="1474"/>
          </w:tcPr>
          <w:p>
            <w:pPr>
              <w:spacing w:line="240" w:lineRule="auto" w:after="20" w:before="20"/>
              <w:jc w:val="right"/>
            </w:pPr>
            <w:r>
              <w:rPr>
                <w:rFonts w:ascii="Times New Roman" w:hAnsi="Times New Roman" w:eastAsia="Times New Roman" w:cs="Times New Roman"/>
                <w:b w:val="0"/>
                <w:i w:val="0"/>
                <w:sz w:val="22"/>
              </w:rPr>
              <w:t>1,29%</w:t>
            </w:r>
          </w:p>
        </w:tc>
        <w:tc>
          <w:tcPr>
            <w:tcW w:type="dxa" w:w="1587"/>
          </w:tcPr>
          <w:p>
            <w:pPr>
              <w:spacing w:line="240" w:lineRule="auto" w:after="20" w:before="20"/>
              <w:jc w:val="right"/>
            </w:pPr>
            <w:r>
              <w:rPr>
                <w:rFonts w:ascii="Times New Roman" w:hAnsi="Times New Roman" w:eastAsia="Times New Roman" w:cs="Times New Roman"/>
                <w:b w:val="0"/>
                <w:i w:val="0"/>
                <w:sz w:val="22"/>
              </w:rPr>
              <w:t>1,4%</w:t>
            </w:r>
          </w:p>
        </w:tc>
        <w:tc>
          <w:tcPr>
            <w:tcW w:type="dxa" w:w="2948"/>
          </w:tcPr>
          <w:p>
            <w:pPr>
              <w:spacing w:line="240" w:lineRule="auto" w:after="20" w:before="20"/>
              <w:jc w:val="left"/>
            </w:pPr>
            <w:r>
              <w:rPr>
                <w:rFonts w:ascii="Times New Roman" w:hAnsi="Times New Roman" w:eastAsia="Times New Roman" w:cs="Times New Roman"/>
                <w:b w:val="0"/>
                <w:i w:val="0"/>
                <w:sz w:val="22"/>
              </w:rPr>
              <w:t>Bao phủ nợ xấu 93,6%</w:t>
            </w:r>
          </w:p>
        </w:tc>
      </w:tr>
      <w:tr>
        <w:tc>
          <w:tcPr>
            <w:tcW w:type="dxa" w:w="3061"/>
          </w:tcPr>
          <w:p>
            <w:pPr>
              <w:spacing w:line="240" w:lineRule="auto" w:after="20" w:before="20"/>
              <w:jc w:val="left"/>
            </w:pPr>
            <w:r>
              <w:rPr>
                <w:rFonts w:ascii="Times New Roman" w:hAnsi="Times New Roman" w:eastAsia="Times New Roman" w:cs="Times New Roman"/>
                <w:b w:val="0"/>
                <w:i w:val="0"/>
                <w:sz w:val="22"/>
              </w:rPr>
              <w:t>Kế hoạch LNTT 2026 (tỷ đồng)</w:t>
            </w:r>
          </w:p>
        </w:tc>
        <w:tc>
          <w:tcPr>
            <w:tcW w:type="dxa" w:w="1474"/>
          </w:tcPr>
          <w:p>
            <w:pPr>
              <w:spacing w:line="240" w:lineRule="auto" w:after="20" w:before="20"/>
              <w:jc w:val="right"/>
            </w:pPr>
          </w:p>
        </w:tc>
        <w:tc>
          <w:tcPr>
            <w:tcW w:type="dxa" w:w="1587"/>
          </w:tcPr>
          <w:p>
            <w:pPr>
              <w:spacing w:line="240" w:lineRule="auto" w:after="20" w:before="20"/>
              <w:jc w:val="right"/>
            </w:pPr>
            <w:r>
              <w:rPr>
                <w:rFonts w:ascii="Times New Roman" w:hAnsi="Times New Roman" w:eastAsia="Times New Roman" w:cs="Times New Roman"/>
                <w:b w:val="0"/>
                <w:i w:val="0"/>
                <w:sz w:val="22"/>
              </w:rPr>
              <w:t>39.500</w:t>
            </w:r>
          </w:p>
        </w:tc>
        <w:tc>
          <w:tcPr>
            <w:tcW w:type="dxa" w:w="2948"/>
          </w:tcPr>
          <w:p>
            <w:pPr>
              <w:spacing w:line="240" w:lineRule="auto" w:after="20" w:before="20"/>
              <w:jc w:val="left"/>
            </w:pPr>
            <w:r>
              <w:rPr>
                <w:rFonts w:ascii="Times New Roman" w:hAnsi="Times New Roman" w:eastAsia="Times New Roman" w:cs="Times New Roman"/>
                <w:b w:val="0"/>
                <w:i w:val="0"/>
                <w:sz w:val="22"/>
              </w:rPr>
              <w:t>+15%; đạt 51,1% sau 6 tháng</w:t>
            </w:r>
          </w:p>
        </w:tc>
      </w:tr>
    </w:tbl>
    <w:p>
      <w:pPr>
        <w:spacing w:line="276" w:lineRule="auto" w:after="160" w:before="0"/>
        <w:jc w:val="left"/>
      </w:pPr>
      <w:r>
        <w:rPr>
          <w:rFonts w:ascii="Times New Roman" w:hAnsi="Times New Roman" w:eastAsia="Times New Roman" w:cs="Times New Roman"/>
          <w:b w:val="0"/>
          <w:i/>
          <w:sz w:val="22"/>
        </w:rPr>
        <w:t>Nguồn:</w:t>
      </w:r>
      <w:r>
        <w:rPr>
          <w:rFonts w:ascii="Times New Roman" w:hAnsi="Times New Roman" w:eastAsia="Times New Roman" w:cs="Times New Roman"/>
          <w:b w:val="0"/>
          <w:i w:val="0"/>
          <w:sz w:val="22"/>
        </w:rPr>
        <w:t xml:space="preserve"> Nhóm 7 tổng hợp từ [17], [18].</w:t>
      </w:r>
    </w:p>
    <w:p>
      <w:pPr>
        <w:spacing w:line="312" w:lineRule="auto" w:after="120" w:before="0"/>
        <w:ind w:firstLine="720"/>
        <w:jc w:val="both"/>
      </w:pPr>
      <w:r>
        <w:rPr>
          <w:rFonts w:ascii="Times New Roman" w:hAnsi="Times New Roman" w:eastAsia="Times New Roman" w:cs="Times New Roman"/>
          <w:b w:val="0"/>
          <w:i w:val="0"/>
          <w:sz w:val="26"/>
        </w:rPr>
        <w:t>Lợi nhuận tăng nhanh hơn kế hoạch nhờ thu nhập lãi thuần tăng 32,2% và chi phí dự phòng giảm. ROE duy trì khoảng 20–21%, thuộc nhóm cao nhất ngành [18], [21].</w:t>
      </w:r>
    </w:p>
    <w:p>
      <w:pPr>
        <w:pStyle w:val="Heading3"/>
        <w:keepNext/>
        <w:spacing w:line="312" w:lineRule="auto" w:after="120" w:before="120"/>
        <w:jc w:val="left"/>
      </w:pPr>
      <w:r>
        <w:rPr>
          <w:rFonts w:ascii="Times New Roman" w:hAnsi="Times New Roman" w:eastAsia="Times New Roman" w:cs="Times New Roman"/>
          <w:b/>
          <w:i/>
          <w:sz w:val="26"/>
        </w:rPr>
        <w:t>2.2.3. Chính sách cổ tức, rủi ro và triển vọng tăng trưởng</w:t>
      </w:r>
    </w:p>
    <w:p>
      <w:pPr>
        <w:spacing w:line="312" w:lineRule="auto" w:after="120" w:before="0"/>
        <w:ind w:firstLine="720"/>
        <w:jc w:val="both"/>
      </w:pPr>
      <w:r>
        <w:rPr>
          <w:rFonts w:ascii="Times New Roman" w:hAnsi="Times New Roman" w:eastAsia="Times New Roman" w:cs="Times New Roman"/>
          <w:b/>
          <w:i w:val="0"/>
          <w:sz w:val="26"/>
        </w:rPr>
        <w:t>Cổ tức:</w:t>
      </w:r>
      <w:r>
        <w:rPr>
          <w:rFonts w:ascii="Times New Roman" w:hAnsi="Times New Roman" w:eastAsia="Times New Roman" w:cs="Times New Roman"/>
          <w:b w:val="0"/>
          <w:i w:val="0"/>
          <w:sz w:val="26"/>
        </w:rPr>
        <w:t xml:space="preserve"> kế hoạch 2026 chia 25%, gồm 10% tiền mặt (1.000 đ/cp) và 15% cổ phiếu [21]. Tại giá 19.850 đ, </w:t>
      </w:r>
      <w:r>
        <w:rPr>
          <w:rFonts w:ascii="Times New Roman" w:hAnsi="Times New Roman" w:eastAsia="Times New Roman" w:cs="Times New Roman"/>
          <w:b/>
          <w:i w:val="0"/>
          <w:sz w:val="26"/>
        </w:rPr>
        <w:t>tỷ suất cổ tức tiền mặt khoảng 5%</w:t>
      </w:r>
      <w:r>
        <w:rPr>
          <w:rFonts w:ascii="Times New Roman" w:hAnsi="Times New Roman" w:eastAsia="Times New Roman" w:cs="Times New Roman"/>
          <w:b w:val="0"/>
          <w:i w:val="0"/>
          <w:sz w:val="26"/>
        </w:rPr>
        <w:t>.</w:t>
      </w:r>
    </w:p>
    <w:p>
      <w:pPr>
        <w:spacing w:line="312" w:lineRule="auto" w:after="120" w:before="0"/>
        <w:ind w:firstLine="720"/>
        <w:jc w:val="both"/>
      </w:pPr>
      <w:r>
        <w:rPr>
          <w:rFonts w:ascii="Times New Roman" w:hAnsi="Times New Roman" w:eastAsia="Times New Roman" w:cs="Times New Roman"/>
          <w:b/>
          <w:i w:val="0"/>
          <w:sz w:val="26"/>
        </w:rPr>
        <w:t>Rủi ro:</w:t>
      </w:r>
      <w:r>
        <w:rPr>
          <w:rFonts w:ascii="Times New Roman" w:hAnsi="Times New Roman" w:eastAsia="Times New Roman" w:cs="Times New Roman"/>
          <w:b w:val="0"/>
          <w:i w:val="0"/>
          <w:sz w:val="26"/>
        </w:rPr>
        <w:t xml:space="preserve"> (1) NIM bị thu hẹp, dự phóng 3,95% năm 2026, giảm 0,1 điểm %, vì cho vay tăng nhanh hơn huy động và tỷ lệ CASA giảm [20]; (2) Kiểm toán Nhà nước ghi nhận nợ nhóm 5 (có khả năng mất vốn) năm 2025 tăng 39,4%, lên 6.421 tỷ đồng [19]; (3) pha loãng do chia cổ tức bằng cổ phiếu.</w:t>
      </w:r>
    </w:p>
    <w:p>
      <w:pPr>
        <w:spacing w:line="312" w:lineRule="auto" w:after="120" w:before="0"/>
        <w:ind w:firstLine="720"/>
        <w:jc w:val="both"/>
      </w:pPr>
      <w:r>
        <w:rPr>
          <w:rFonts w:ascii="Times New Roman" w:hAnsi="Times New Roman" w:eastAsia="Times New Roman" w:cs="Times New Roman"/>
          <w:b/>
          <w:i w:val="0"/>
          <w:sz w:val="26"/>
        </w:rPr>
        <w:t>Triển vọng:</w:t>
      </w:r>
      <w:r>
        <w:rPr>
          <w:rFonts w:ascii="Times New Roman" w:hAnsi="Times New Roman" w:eastAsia="Times New Roman" w:cs="Times New Roman"/>
          <w:b w:val="0"/>
          <w:i w:val="0"/>
          <w:sz w:val="26"/>
        </w:rPr>
        <w:t xml:space="preserve"> hưởng lợi trực tiếp từ tín dụng tăng 15–18% và dòng vốn FTSE vào nhóm ngân hàng vốn hóa lớn; MCredit đang được tái cấu trúc để hướng tới IPO [20].</w:t>
      </w:r>
    </w:p>
    <w:p>
      <w:pPr>
        <w:pStyle w:val="Heading3"/>
        <w:keepNext/>
        <w:spacing w:line="312" w:lineRule="auto" w:after="120" w:before="120"/>
        <w:jc w:val="left"/>
      </w:pPr>
      <w:r>
        <w:rPr>
          <w:rFonts w:ascii="Times New Roman" w:hAnsi="Times New Roman" w:eastAsia="Times New Roman" w:cs="Times New Roman"/>
          <w:b/>
          <w:i/>
          <w:sz w:val="26"/>
        </w:rPr>
        <w:t>2.2.4. Nhận định về mức giá hợp lý</w:t>
      </w:r>
    </w:p>
    <w:p>
      <w:pPr>
        <w:spacing w:line="312" w:lineRule="auto" w:after="120" w:before="0"/>
        <w:ind w:firstLine="720"/>
        <w:jc w:val="both"/>
      </w:pPr>
      <w:r>
        <w:rPr>
          <w:rFonts w:ascii="Times New Roman" w:hAnsi="Times New Roman" w:eastAsia="Times New Roman" w:cs="Times New Roman"/>
          <w:b w:val="0"/>
          <w:i w:val="0"/>
          <w:sz w:val="26"/>
        </w:rPr>
        <w:t xml:space="preserve">Nhóm dùng </w:t>
      </w:r>
      <w:r>
        <w:rPr>
          <w:rFonts w:ascii="Times New Roman" w:hAnsi="Times New Roman" w:eastAsia="Times New Roman" w:cs="Times New Roman"/>
          <w:b/>
          <w:i w:val="0"/>
          <w:sz w:val="26"/>
        </w:rPr>
        <w:t>P/B hợp lý</w:t>
      </w:r>
      <w:r>
        <w:rPr>
          <w:rFonts w:ascii="Times New Roman" w:hAnsi="Times New Roman" w:eastAsia="Times New Roman" w:cs="Times New Roman"/>
          <w:b w:val="0"/>
          <w:i w:val="0"/>
          <w:sz w:val="26"/>
        </w:rPr>
        <w:t xml:space="preserve"> suy ra từ mô hình cổ tức tăng trưởng đều (Chương 4): từ V₀ = D₁/(k − g), D₁ = E₁(1 − b), E₁ = ROE × B₀ và g = ROE × b, ta có </w:t>
      </w:r>
      <w:r>
        <w:rPr>
          <w:rFonts w:ascii="Times New Roman" w:hAnsi="Times New Roman" w:eastAsia="Times New Roman" w:cs="Times New Roman"/>
          <w:b/>
          <w:i w:val="0"/>
          <w:sz w:val="26"/>
        </w:rPr>
        <w:t>P/B = (ROE − g)/(k − g)</w:t>
      </w:r>
      <w:r>
        <w:rPr>
          <w:rFonts w:ascii="Times New Roman" w:hAnsi="Times New Roman" w:eastAsia="Times New Roman" w:cs="Times New Roman"/>
          <w:b w:val="0"/>
          <w:i w:val="0"/>
          <w:sz w:val="26"/>
        </w:rPr>
        <w:t>. Với β = 1,1: k = 4,36% + 1,1 × 8% = 13,16%. Giá trị sổ sách mỗi cổ phiếu (BVPS) là 19.462 đ [22].</w:t>
      </w:r>
    </w:p>
    <w:p>
      <w:pPr>
        <w:keepNext/>
        <w:spacing w:line="312" w:lineRule="auto" w:after="60" w:before="120"/>
        <w:jc w:val="left"/>
      </w:pPr>
      <w:r>
        <w:rPr>
          <w:rFonts w:ascii="Times New Roman" w:hAnsi="Times New Roman" w:eastAsia="Times New Roman" w:cs="Times New Roman"/>
          <w:b/>
          <w:i w:val="0"/>
          <w:sz w:val="26"/>
        </w:rPr>
        <w:t>Bảng 2-3. Định giá MBB theo P/B hợp lý</w:t>
      </w:r>
    </w:p>
    <w:tbl>
      <w:tblPr>
        <w:jc w:val="center"/>
        <w:tblLook w:firstColumn="1" w:firstRow="1" w:lastColumn="0" w:lastRow="0" w:noHBand="0" w:noVBand="1" w:val="04A0"/>
        <w:tblBorders>
          <w:top w:val="single" w:sz="8" w:color="000000"/>
          <w:bottom w:val="single" w:sz="8" w:color="000000"/>
          <w:insideH w:val="single" w:sz="2" w:color="BFBFBF"/>
        </w:tblBorders>
        <w:tblW w:w="9071" w:type="dxa"/>
        <w:tblLayout w:type="fixed"/>
      </w:tblPr>
      <w:tblGrid>
        <w:gridCol w:w="1814"/>
        <w:gridCol w:w="1814"/>
        <w:gridCol w:w="1701"/>
        <w:gridCol w:w="1701"/>
        <w:gridCol w:w="2041"/>
      </w:tblGrid>
      <w:tr>
        <w:trPr>
          <w:tblHeader w:val="true"/>
        </w:trPr>
        <w:tc>
          <w:tcPr>
            <w:tcW w:type="dxa" w:w="1814"/>
            <w:tcBorders>
              <w:bottom w:val="single" w:sz="6" w:color="000000"/>
            </w:tcBorders>
          </w:tcPr>
          <w:p>
            <w:pPr>
              <w:spacing w:line="240" w:lineRule="auto" w:after="20" w:before="20"/>
              <w:jc w:val="center"/>
            </w:pPr>
            <w:r>
              <w:rPr>
                <w:rFonts w:ascii="Times New Roman" w:hAnsi="Times New Roman" w:eastAsia="Times New Roman" w:cs="Times New Roman"/>
                <w:b/>
                <w:i w:val="0"/>
                <w:sz w:val="22"/>
              </w:rPr>
              <w:t>Kịch bản</w:t>
            </w:r>
          </w:p>
        </w:tc>
        <w:tc>
          <w:tcPr>
            <w:tcW w:type="dxa" w:w="1814"/>
            <w:tcBorders>
              <w:bottom w:val="single" w:sz="6" w:color="000000"/>
            </w:tcBorders>
          </w:tcPr>
          <w:p>
            <w:pPr>
              <w:spacing w:line="240" w:lineRule="auto" w:after="20" w:before="20"/>
              <w:jc w:val="center"/>
            </w:pPr>
            <w:r>
              <w:rPr>
                <w:rFonts w:ascii="Times New Roman" w:hAnsi="Times New Roman" w:eastAsia="Times New Roman" w:cs="Times New Roman"/>
                <w:b/>
                <w:i w:val="0"/>
                <w:sz w:val="22"/>
              </w:rPr>
              <w:t>ROE bền vững</w:t>
            </w:r>
          </w:p>
        </w:tc>
        <w:tc>
          <w:tcPr>
            <w:tcW w:type="dxa" w:w="170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g dài hạn</w:t>
            </w:r>
          </w:p>
        </w:tc>
        <w:tc>
          <w:tcPr>
            <w:tcW w:type="dxa" w:w="170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P/B hợp lý</w:t>
            </w:r>
          </w:p>
        </w:tc>
        <w:tc>
          <w:tcPr>
            <w:tcW w:type="dxa" w:w="204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Giá trị (đ/cp)</w:t>
            </w:r>
          </w:p>
        </w:tc>
      </w:tr>
      <w:tr>
        <w:tc>
          <w:tcPr>
            <w:tcW w:type="dxa" w:w="1814"/>
          </w:tcPr>
          <w:p>
            <w:pPr>
              <w:spacing w:line="240" w:lineRule="auto" w:after="20" w:before="20"/>
              <w:jc w:val="left"/>
            </w:pPr>
            <w:r>
              <w:rPr>
                <w:rFonts w:ascii="Times New Roman" w:hAnsi="Times New Roman" w:eastAsia="Times New Roman" w:cs="Times New Roman"/>
                <w:b w:val="0"/>
                <w:i w:val="0"/>
                <w:sz w:val="22"/>
              </w:rPr>
              <w:t>Thận trọng</w:t>
            </w:r>
          </w:p>
        </w:tc>
        <w:tc>
          <w:tcPr>
            <w:tcW w:type="dxa" w:w="1814"/>
          </w:tcPr>
          <w:p>
            <w:pPr>
              <w:spacing w:line="240" w:lineRule="auto" w:after="20" w:before="20"/>
              <w:jc w:val="right"/>
            </w:pPr>
            <w:r>
              <w:rPr>
                <w:rFonts w:ascii="Times New Roman" w:hAnsi="Times New Roman" w:eastAsia="Times New Roman" w:cs="Times New Roman"/>
                <w:b w:val="0"/>
                <w:i w:val="0"/>
                <w:sz w:val="22"/>
              </w:rPr>
              <w:t>15%</w:t>
            </w:r>
          </w:p>
        </w:tc>
        <w:tc>
          <w:tcPr>
            <w:tcW w:type="dxa" w:w="1701"/>
          </w:tcPr>
          <w:p>
            <w:pPr>
              <w:spacing w:line="240" w:lineRule="auto" w:after="20" w:before="20"/>
              <w:jc w:val="right"/>
            </w:pPr>
            <w:r>
              <w:rPr>
                <w:rFonts w:ascii="Times New Roman" w:hAnsi="Times New Roman" w:eastAsia="Times New Roman" w:cs="Times New Roman"/>
                <w:b w:val="0"/>
                <w:i w:val="0"/>
                <w:sz w:val="22"/>
              </w:rPr>
              <w:t>6%</w:t>
            </w:r>
          </w:p>
        </w:tc>
        <w:tc>
          <w:tcPr>
            <w:tcW w:type="dxa" w:w="1701"/>
          </w:tcPr>
          <w:p>
            <w:pPr>
              <w:spacing w:line="240" w:lineRule="auto" w:after="20" w:before="20"/>
              <w:jc w:val="right"/>
            </w:pPr>
            <w:r>
              <w:rPr>
                <w:rFonts w:ascii="Times New Roman" w:hAnsi="Times New Roman" w:eastAsia="Times New Roman" w:cs="Times New Roman"/>
                <w:b w:val="0"/>
                <w:i w:val="0"/>
                <w:sz w:val="22"/>
              </w:rPr>
              <w:t>1,26</w:t>
            </w:r>
          </w:p>
        </w:tc>
        <w:tc>
          <w:tcPr>
            <w:tcW w:type="dxa" w:w="2041"/>
          </w:tcPr>
          <w:p>
            <w:pPr>
              <w:spacing w:line="240" w:lineRule="auto" w:after="20" w:before="20"/>
              <w:jc w:val="right"/>
            </w:pPr>
            <w:r>
              <w:rPr>
                <w:rFonts w:ascii="Times New Roman" w:hAnsi="Times New Roman" w:eastAsia="Times New Roman" w:cs="Times New Roman"/>
                <w:b w:val="0"/>
                <w:i w:val="0"/>
                <w:sz w:val="22"/>
              </w:rPr>
              <w:t>24.500</w:t>
            </w:r>
          </w:p>
        </w:tc>
      </w:tr>
      <w:tr>
        <w:tc>
          <w:tcPr>
            <w:tcW w:type="dxa" w:w="1814"/>
          </w:tcPr>
          <w:p>
            <w:pPr>
              <w:spacing w:line="240" w:lineRule="auto" w:after="20" w:before="20"/>
              <w:jc w:val="left"/>
            </w:pPr>
            <w:r>
              <w:rPr>
                <w:rFonts w:ascii="Times New Roman" w:hAnsi="Times New Roman" w:eastAsia="Times New Roman" w:cs="Times New Roman"/>
                <w:b w:val="0"/>
                <w:i w:val="0"/>
                <w:sz w:val="22"/>
              </w:rPr>
              <w:t>Cơ sở</w:t>
            </w:r>
          </w:p>
        </w:tc>
        <w:tc>
          <w:tcPr>
            <w:tcW w:type="dxa" w:w="1814"/>
          </w:tcPr>
          <w:p>
            <w:pPr>
              <w:spacing w:line="240" w:lineRule="auto" w:after="20" w:before="20"/>
              <w:jc w:val="right"/>
            </w:pPr>
            <w:r>
              <w:rPr>
                <w:rFonts w:ascii="Times New Roman" w:hAnsi="Times New Roman" w:eastAsia="Times New Roman" w:cs="Times New Roman"/>
                <w:b w:val="0"/>
                <w:i w:val="0"/>
                <w:sz w:val="22"/>
              </w:rPr>
              <w:t>17%</w:t>
            </w:r>
          </w:p>
        </w:tc>
        <w:tc>
          <w:tcPr>
            <w:tcW w:type="dxa" w:w="1701"/>
          </w:tcPr>
          <w:p>
            <w:pPr>
              <w:spacing w:line="240" w:lineRule="auto" w:after="20" w:before="20"/>
              <w:jc w:val="right"/>
            </w:pPr>
            <w:r>
              <w:rPr>
                <w:rFonts w:ascii="Times New Roman" w:hAnsi="Times New Roman" w:eastAsia="Times New Roman" w:cs="Times New Roman"/>
                <w:b w:val="0"/>
                <w:i w:val="0"/>
                <w:sz w:val="22"/>
              </w:rPr>
              <w:t>6%</w:t>
            </w:r>
          </w:p>
        </w:tc>
        <w:tc>
          <w:tcPr>
            <w:tcW w:type="dxa" w:w="1701"/>
          </w:tcPr>
          <w:p>
            <w:pPr>
              <w:spacing w:line="240" w:lineRule="auto" w:after="20" w:before="20"/>
              <w:jc w:val="right"/>
            </w:pPr>
            <w:r>
              <w:rPr>
                <w:rFonts w:ascii="Times New Roman" w:hAnsi="Times New Roman" w:eastAsia="Times New Roman" w:cs="Times New Roman"/>
                <w:b w:val="0"/>
                <w:i w:val="0"/>
                <w:sz w:val="22"/>
              </w:rPr>
              <w:t>1,54</w:t>
            </w:r>
          </w:p>
        </w:tc>
        <w:tc>
          <w:tcPr>
            <w:tcW w:type="dxa" w:w="2041"/>
          </w:tcPr>
          <w:p>
            <w:pPr>
              <w:spacing w:line="240" w:lineRule="auto" w:after="20" w:before="20"/>
              <w:jc w:val="right"/>
            </w:pPr>
            <w:r>
              <w:rPr>
                <w:rFonts w:ascii="Times New Roman" w:hAnsi="Times New Roman" w:eastAsia="Times New Roman" w:cs="Times New Roman"/>
                <w:b w:val="0"/>
                <w:i w:val="0"/>
                <w:sz w:val="22"/>
              </w:rPr>
              <w:t>29.900</w:t>
            </w:r>
          </w:p>
        </w:tc>
      </w:tr>
      <w:tr>
        <w:tc>
          <w:tcPr>
            <w:tcW w:type="dxa" w:w="1814"/>
          </w:tcPr>
          <w:p>
            <w:pPr>
              <w:spacing w:line="240" w:lineRule="auto" w:after="20" w:before="20"/>
              <w:jc w:val="left"/>
            </w:pPr>
            <w:r>
              <w:rPr>
                <w:rFonts w:ascii="Times New Roman" w:hAnsi="Times New Roman" w:eastAsia="Times New Roman" w:cs="Times New Roman"/>
                <w:b w:val="0"/>
                <w:i w:val="0"/>
                <w:sz w:val="22"/>
              </w:rPr>
              <w:t>Lạc quan</w:t>
            </w:r>
          </w:p>
        </w:tc>
        <w:tc>
          <w:tcPr>
            <w:tcW w:type="dxa" w:w="1814"/>
          </w:tcPr>
          <w:p>
            <w:pPr>
              <w:spacing w:line="240" w:lineRule="auto" w:after="20" w:before="20"/>
              <w:jc w:val="right"/>
            </w:pPr>
            <w:r>
              <w:rPr>
                <w:rFonts w:ascii="Times New Roman" w:hAnsi="Times New Roman" w:eastAsia="Times New Roman" w:cs="Times New Roman"/>
                <w:b w:val="0"/>
                <w:i w:val="0"/>
                <w:sz w:val="22"/>
              </w:rPr>
              <w:t>20%</w:t>
            </w:r>
          </w:p>
        </w:tc>
        <w:tc>
          <w:tcPr>
            <w:tcW w:type="dxa" w:w="1701"/>
          </w:tcPr>
          <w:p>
            <w:pPr>
              <w:spacing w:line="240" w:lineRule="auto" w:after="20" w:before="20"/>
              <w:jc w:val="right"/>
            </w:pPr>
            <w:r>
              <w:rPr>
                <w:rFonts w:ascii="Times New Roman" w:hAnsi="Times New Roman" w:eastAsia="Times New Roman" w:cs="Times New Roman"/>
                <w:b w:val="0"/>
                <w:i w:val="0"/>
                <w:sz w:val="22"/>
              </w:rPr>
              <w:t>7%</w:t>
            </w:r>
          </w:p>
        </w:tc>
        <w:tc>
          <w:tcPr>
            <w:tcW w:type="dxa" w:w="1701"/>
          </w:tcPr>
          <w:p>
            <w:pPr>
              <w:spacing w:line="240" w:lineRule="auto" w:after="20" w:before="20"/>
              <w:jc w:val="right"/>
            </w:pPr>
            <w:r>
              <w:rPr>
                <w:rFonts w:ascii="Times New Roman" w:hAnsi="Times New Roman" w:eastAsia="Times New Roman" w:cs="Times New Roman"/>
                <w:b w:val="0"/>
                <w:i w:val="0"/>
                <w:sz w:val="22"/>
              </w:rPr>
              <w:t>2,11</w:t>
            </w:r>
          </w:p>
        </w:tc>
        <w:tc>
          <w:tcPr>
            <w:tcW w:type="dxa" w:w="2041"/>
          </w:tcPr>
          <w:p>
            <w:pPr>
              <w:spacing w:line="240" w:lineRule="auto" w:after="20" w:before="20"/>
              <w:jc w:val="right"/>
            </w:pPr>
            <w:r>
              <w:rPr>
                <w:rFonts w:ascii="Times New Roman" w:hAnsi="Times New Roman" w:eastAsia="Times New Roman" w:cs="Times New Roman"/>
                <w:b w:val="0"/>
                <w:i w:val="0"/>
                <w:sz w:val="22"/>
              </w:rPr>
              <w:t>41.000</w:t>
            </w:r>
          </w:p>
        </w:tc>
      </w:tr>
    </w:tbl>
    <w:p>
      <w:pPr>
        <w:spacing w:line="276" w:lineRule="auto" w:after="160" w:before="0"/>
        <w:jc w:val="left"/>
      </w:pPr>
      <w:r>
        <w:rPr>
          <w:rFonts w:ascii="Times New Roman" w:hAnsi="Times New Roman" w:eastAsia="Times New Roman" w:cs="Times New Roman"/>
          <w:b w:val="0"/>
          <w:i/>
          <w:sz w:val="22"/>
        </w:rPr>
        <w:t>Nguồn:</w:t>
      </w:r>
      <w:r>
        <w:rPr>
          <w:rFonts w:ascii="Times New Roman" w:hAnsi="Times New Roman" w:eastAsia="Times New Roman" w:cs="Times New Roman"/>
          <w:b w:val="0"/>
          <w:i w:val="0"/>
          <w:sz w:val="22"/>
        </w:rPr>
        <w:t xml:space="preserve"> Nhóm 7 tính toán.</w:t>
      </w:r>
    </w:p>
    <w:p>
      <w:pPr>
        <w:spacing w:line="312" w:lineRule="auto" w:after="120" w:before="0"/>
        <w:ind w:firstLine="720"/>
        <w:jc w:val="both"/>
      </w:pPr>
      <w:r>
        <w:rPr>
          <w:rFonts w:ascii="Times New Roman" w:hAnsi="Times New Roman" w:eastAsia="Times New Roman" w:cs="Times New Roman"/>
          <w:b w:val="0"/>
          <w:i w:val="0"/>
          <w:sz w:val="26"/>
        </w:rPr>
        <w:t xml:space="preserve">Ở mức P/B 1,02 hiện tại, thị trường đang ngầm định ROE bền vững của MB chỉ khoảng 13%, thấp hơn nhiều mức 20% đang đạt được, nghĩa là rủi ro nợ xấu và NIM đã phản ánh khá đầy đủ vào giá. Do chưa loại trừ được rủi ro nợ nhóm 5, nhóm chọn </w:t>
      </w:r>
      <w:r>
        <w:rPr>
          <w:rFonts w:ascii="Times New Roman" w:hAnsi="Times New Roman" w:eastAsia="Times New Roman" w:cs="Times New Roman"/>
          <w:b/>
          <w:i w:val="0"/>
          <w:sz w:val="26"/>
        </w:rPr>
        <w:t>giá hợp lý 25.000 đ/cp, tương ứng tiềm năng tăng 26%</w:t>
      </w:r>
      <w:r>
        <w:rPr>
          <w:rFonts w:ascii="Times New Roman" w:hAnsi="Times New Roman" w:eastAsia="Times New Roman" w:cs="Times New Roman"/>
          <w:b w:val="0"/>
          <w:i w:val="0"/>
          <w:sz w:val="26"/>
        </w:rPr>
        <w:t>, gần kịch bản thận trọng và mức 26.700 đ của FUNAN [20].</w:t>
      </w:r>
    </w:p>
    <w:p>
      <w:pPr>
        <w:pStyle w:val="Heading2"/>
        <w:keepNext/>
        <w:spacing w:line="312" w:lineRule="auto" w:after="120" w:before="120"/>
        <w:jc w:val="left"/>
      </w:pPr>
      <w:r>
        <w:rPr>
          <w:rFonts w:ascii="Times New Roman" w:hAnsi="Times New Roman" w:eastAsia="Times New Roman" w:cs="Times New Roman"/>
          <w:b/>
          <w:i w:val="0"/>
          <w:sz w:val="26"/>
        </w:rPr>
        <w:t>2.3. CTCP Đầu tư Thế Giới Di Động (MWG – HOSE)</w:t>
      </w:r>
    </w:p>
    <w:p>
      <w:pPr>
        <w:pStyle w:val="Heading3"/>
        <w:keepNext/>
        <w:spacing w:line="312" w:lineRule="auto" w:after="120" w:before="120"/>
        <w:jc w:val="left"/>
      </w:pPr>
      <w:r>
        <w:rPr>
          <w:rFonts w:ascii="Times New Roman" w:hAnsi="Times New Roman" w:eastAsia="Times New Roman" w:cs="Times New Roman"/>
          <w:b/>
          <w:i/>
          <w:sz w:val="26"/>
        </w:rPr>
        <w:t>2.3.1. Mô hình kinh doanh</w:t>
      </w:r>
    </w:p>
    <w:p>
      <w:pPr>
        <w:spacing w:line="312" w:lineRule="auto" w:after="120" w:before="0"/>
        <w:ind w:firstLine="720"/>
        <w:jc w:val="both"/>
      </w:pPr>
      <w:r>
        <w:rPr>
          <w:rFonts w:ascii="Times New Roman" w:hAnsi="Times New Roman" w:eastAsia="Times New Roman" w:cs="Times New Roman"/>
          <w:b w:val="0"/>
          <w:i w:val="0"/>
          <w:sz w:val="26"/>
        </w:rPr>
        <w:t xml:space="preserve">MWG là nhà bán lẻ lớn nhất Việt Nam với ba trụ cột: (1) </w:t>
      </w:r>
      <w:r>
        <w:rPr>
          <w:rFonts w:ascii="Times New Roman" w:hAnsi="Times New Roman" w:eastAsia="Times New Roman" w:cs="Times New Roman"/>
          <w:b/>
          <w:i w:val="0"/>
          <w:sz w:val="26"/>
        </w:rPr>
        <w:t>Thế Giới Di Động và Điện Máy Xanh</w:t>
      </w:r>
      <w:r>
        <w:rPr>
          <w:rFonts w:ascii="Times New Roman" w:hAnsi="Times New Roman" w:eastAsia="Times New Roman" w:cs="Times New Roman"/>
          <w:b w:val="0"/>
          <w:i w:val="0"/>
          <w:sz w:val="26"/>
        </w:rPr>
        <w:t xml:space="preserve">, kinh doanh điện thoại và điện máy với khoảng 3.000 cửa hàng, tạo dòng tiền ổn định và đang chuẩn bị IPO Điện Máy Xanh; (2) </w:t>
      </w:r>
      <w:r>
        <w:rPr>
          <w:rFonts w:ascii="Times New Roman" w:hAnsi="Times New Roman" w:eastAsia="Times New Roman" w:cs="Times New Roman"/>
          <w:b/>
          <w:i w:val="0"/>
          <w:sz w:val="26"/>
        </w:rPr>
        <w:t>Bách Hóa Xanh</w:t>
      </w:r>
      <w:r>
        <w:rPr>
          <w:rFonts w:ascii="Times New Roman" w:hAnsi="Times New Roman" w:eastAsia="Times New Roman" w:cs="Times New Roman"/>
          <w:b w:val="0"/>
          <w:i w:val="0"/>
          <w:sz w:val="26"/>
        </w:rPr>
        <w:t xml:space="preserve">, chuỗi thực phẩm và hàng tiêu dùng hơn 2.100 cửa hàng, đã có lãi từ 2025 và là động lực tăng trưởng chính; (3) </w:t>
      </w:r>
      <w:r>
        <w:rPr>
          <w:rFonts w:ascii="Times New Roman" w:hAnsi="Times New Roman" w:eastAsia="Times New Roman" w:cs="Times New Roman"/>
          <w:b/>
          <w:i w:val="0"/>
          <w:sz w:val="26"/>
        </w:rPr>
        <w:t>EraBlue</w:t>
      </w:r>
      <w:r>
        <w:rPr>
          <w:rFonts w:ascii="Times New Roman" w:hAnsi="Times New Roman" w:eastAsia="Times New Roman" w:cs="Times New Roman"/>
          <w:b w:val="0"/>
          <w:i w:val="0"/>
          <w:sz w:val="26"/>
        </w:rPr>
        <w:t xml:space="preserve"> tại Indonesia [26], [42]. Lợi thế cạnh tranh nằm ở quy mô mua hàng, hệ thống logistics và dữ liệu khách hàng.</w:t>
      </w:r>
    </w:p>
    <w:p>
      <w:pPr>
        <w:pStyle w:val="Heading3"/>
        <w:keepNext/>
        <w:spacing w:line="312" w:lineRule="auto" w:after="120" w:before="120"/>
        <w:jc w:val="left"/>
      </w:pPr>
      <w:r>
        <w:rPr>
          <w:rFonts w:ascii="Times New Roman" w:hAnsi="Times New Roman" w:eastAsia="Times New Roman" w:cs="Times New Roman"/>
          <w:b/>
          <w:i/>
          <w:sz w:val="26"/>
        </w:rPr>
        <w:t>2.3.2. Kết quả kinh doanh và tình hình tài chính</w:t>
      </w:r>
    </w:p>
    <w:p>
      <w:pPr>
        <w:keepNext/>
        <w:spacing w:line="312" w:lineRule="auto" w:after="60" w:before="120"/>
        <w:jc w:val="left"/>
      </w:pPr>
      <w:r>
        <w:rPr>
          <w:rFonts w:ascii="Times New Roman" w:hAnsi="Times New Roman" w:eastAsia="Times New Roman" w:cs="Times New Roman"/>
          <w:b/>
          <w:i w:val="0"/>
          <w:sz w:val="26"/>
        </w:rPr>
        <w:t>Bảng 2-4. Kết quả kinh doanh chính của MWG</w:t>
      </w:r>
    </w:p>
    <w:tbl>
      <w:tblPr>
        <w:jc w:val="center"/>
        <w:tblLook w:firstColumn="1" w:firstRow="1" w:lastColumn="0" w:lastRow="0" w:noHBand="0" w:noVBand="1" w:val="04A0"/>
        <w:tblBorders>
          <w:top w:val="single" w:sz="8" w:color="000000"/>
          <w:bottom w:val="single" w:sz="8" w:color="000000"/>
          <w:insideH w:val="single" w:sz="2" w:color="BFBFBF"/>
        </w:tblBorders>
        <w:tblW w:w="9071" w:type="dxa"/>
        <w:tblLayout w:type="fixed"/>
      </w:tblPr>
      <w:tblGrid>
        <w:gridCol w:w="2154"/>
        <w:gridCol w:w="1361"/>
        <w:gridCol w:w="2041"/>
        <w:gridCol w:w="3515"/>
      </w:tblGrid>
      <w:tr>
        <w:trPr>
          <w:tblHeader w:val="true"/>
        </w:trPr>
        <w:tc>
          <w:tcPr>
            <w:tcW w:type="dxa" w:w="2154"/>
            <w:tcBorders>
              <w:bottom w:val="single" w:sz="6" w:color="000000"/>
            </w:tcBorders>
          </w:tcPr>
          <w:p>
            <w:pPr>
              <w:spacing w:line="240" w:lineRule="auto" w:after="20" w:before="20"/>
              <w:jc w:val="center"/>
            </w:pPr>
            <w:r>
              <w:rPr>
                <w:rFonts w:ascii="Times New Roman" w:hAnsi="Times New Roman" w:eastAsia="Times New Roman" w:cs="Times New Roman"/>
                <w:b/>
                <w:i w:val="0"/>
                <w:sz w:val="22"/>
              </w:rPr>
              <w:t>Chỉ tiêu (tỷ đồng)</w:t>
            </w:r>
          </w:p>
        </w:tc>
        <w:tc>
          <w:tcPr>
            <w:tcW w:type="dxa" w:w="136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Năm 2024</w:t>
            </w:r>
          </w:p>
        </w:tc>
        <w:tc>
          <w:tcPr>
            <w:tcW w:type="dxa" w:w="204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Năm 2025</w:t>
            </w:r>
          </w:p>
        </w:tc>
        <w:tc>
          <w:tcPr>
            <w:tcW w:type="dxa" w:w="3515"/>
            <w:tcBorders>
              <w:bottom w:val="single" w:sz="6" w:color="000000"/>
            </w:tcBorders>
          </w:tcPr>
          <w:p>
            <w:pPr>
              <w:spacing w:line="240" w:lineRule="auto" w:after="20" w:before="20"/>
              <w:jc w:val="center"/>
            </w:pPr>
            <w:r>
              <w:rPr>
                <w:rFonts w:ascii="Times New Roman" w:hAnsi="Times New Roman" w:eastAsia="Times New Roman" w:cs="Times New Roman"/>
                <w:b/>
                <w:i w:val="0"/>
                <w:sz w:val="22"/>
              </w:rPr>
              <w:t>Năm 2026</w:t>
            </w:r>
          </w:p>
        </w:tc>
      </w:tr>
      <w:tr>
        <w:tc>
          <w:tcPr>
            <w:tcW w:type="dxa" w:w="2154"/>
          </w:tcPr>
          <w:p>
            <w:pPr>
              <w:spacing w:line="240" w:lineRule="auto" w:after="20" w:before="20"/>
              <w:jc w:val="left"/>
            </w:pPr>
            <w:r>
              <w:rPr>
                <w:rFonts w:ascii="Times New Roman" w:hAnsi="Times New Roman" w:eastAsia="Times New Roman" w:cs="Times New Roman"/>
                <w:b w:val="0"/>
                <w:i w:val="0"/>
                <w:sz w:val="22"/>
              </w:rPr>
              <w:t>Doanh thu thuần</w:t>
            </w:r>
          </w:p>
        </w:tc>
        <w:tc>
          <w:tcPr>
            <w:tcW w:type="dxa" w:w="1361"/>
          </w:tcPr>
          <w:p>
            <w:pPr>
              <w:spacing w:line="240" w:lineRule="auto" w:after="20" w:before="20"/>
              <w:jc w:val="right"/>
            </w:pPr>
            <w:r>
              <w:rPr>
                <w:rFonts w:ascii="Times New Roman" w:hAnsi="Times New Roman" w:eastAsia="Times New Roman" w:cs="Times New Roman"/>
                <w:b w:val="0"/>
                <w:i w:val="0"/>
                <w:sz w:val="22"/>
              </w:rPr>
              <w:t>134.341</w:t>
            </w:r>
          </w:p>
        </w:tc>
        <w:tc>
          <w:tcPr>
            <w:tcW w:type="dxa" w:w="2041"/>
          </w:tcPr>
          <w:p>
            <w:pPr>
              <w:spacing w:line="240" w:lineRule="auto" w:after="20" w:before="20"/>
              <w:jc w:val="left"/>
            </w:pPr>
            <w:r>
              <w:rPr>
                <w:rFonts w:ascii="Times New Roman" w:hAnsi="Times New Roman" w:eastAsia="Times New Roman" w:cs="Times New Roman"/>
                <w:b w:val="0"/>
                <w:i w:val="0"/>
                <w:sz w:val="22"/>
              </w:rPr>
              <w:t>156.457 (+16,4%)</w:t>
            </w:r>
          </w:p>
        </w:tc>
        <w:tc>
          <w:tcPr>
            <w:tcW w:type="dxa" w:w="3515"/>
          </w:tcPr>
          <w:p>
            <w:pPr>
              <w:spacing w:line="240" w:lineRule="auto" w:after="20" w:before="20"/>
              <w:jc w:val="left"/>
            </w:pPr>
            <w:r>
              <w:rPr>
                <w:rFonts w:ascii="Times New Roman" w:hAnsi="Times New Roman" w:eastAsia="Times New Roman" w:cs="Times New Roman"/>
                <w:b w:val="0"/>
                <w:i w:val="0"/>
                <w:sz w:val="22"/>
              </w:rPr>
              <w:t>9 tháng: 147.953 (+30%), đạt 80% kế hoạch</w:t>
            </w:r>
          </w:p>
        </w:tc>
      </w:tr>
      <w:tr>
        <w:tc>
          <w:tcPr>
            <w:tcW w:type="dxa" w:w="2154"/>
          </w:tcPr>
          <w:p>
            <w:pPr>
              <w:spacing w:line="240" w:lineRule="auto" w:after="20" w:before="20"/>
              <w:jc w:val="left"/>
            </w:pPr>
            <w:r>
              <w:rPr>
                <w:rFonts w:ascii="Times New Roman" w:hAnsi="Times New Roman" w:eastAsia="Times New Roman" w:cs="Times New Roman"/>
                <w:b w:val="0"/>
                <w:i w:val="0"/>
                <w:sz w:val="22"/>
              </w:rPr>
              <w:t>Lợi nhuận sau thuế</w:t>
            </w:r>
          </w:p>
        </w:tc>
        <w:tc>
          <w:tcPr>
            <w:tcW w:type="dxa" w:w="1361"/>
          </w:tcPr>
          <w:p>
            <w:pPr>
              <w:spacing w:line="240" w:lineRule="auto" w:after="20" w:before="20"/>
              <w:jc w:val="right"/>
            </w:pPr>
            <w:r>
              <w:rPr>
                <w:rFonts w:ascii="Times New Roman" w:hAnsi="Times New Roman" w:eastAsia="Times New Roman" w:cs="Times New Roman"/>
                <w:b w:val="0"/>
                <w:i w:val="0"/>
                <w:sz w:val="22"/>
              </w:rPr>
              <w:t>3.733</w:t>
            </w:r>
          </w:p>
        </w:tc>
        <w:tc>
          <w:tcPr>
            <w:tcW w:type="dxa" w:w="2041"/>
          </w:tcPr>
          <w:p>
            <w:pPr>
              <w:spacing w:line="240" w:lineRule="auto" w:after="20" w:before="20"/>
              <w:jc w:val="left"/>
            </w:pPr>
            <w:r>
              <w:rPr>
                <w:rFonts w:ascii="Times New Roman" w:hAnsi="Times New Roman" w:eastAsia="Times New Roman" w:cs="Times New Roman"/>
                <w:b w:val="0"/>
                <w:i w:val="0"/>
                <w:sz w:val="22"/>
              </w:rPr>
              <w:t>7.075 (+89,5%)</w:t>
            </w:r>
          </w:p>
        </w:tc>
        <w:tc>
          <w:tcPr>
            <w:tcW w:type="dxa" w:w="3515"/>
          </w:tcPr>
          <w:p>
            <w:pPr>
              <w:spacing w:line="240" w:lineRule="auto" w:after="20" w:before="20"/>
              <w:jc w:val="left"/>
            </w:pPr>
            <w:r>
              <w:rPr>
                <w:rFonts w:ascii="Times New Roman" w:hAnsi="Times New Roman" w:eastAsia="Times New Roman" w:cs="Times New Roman"/>
                <w:b w:val="0"/>
                <w:i w:val="0"/>
                <w:sz w:val="22"/>
              </w:rPr>
              <w:t>6 tháng: 6.017 (+88%)</w:t>
            </w:r>
          </w:p>
        </w:tc>
      </w:tr>
      <w:tr>
        <w:tc>
          <w:tcPr>
            <w:tcW w:type="dxa" w:w="2154"/>
          </w:tcPr>
          <w:p>
            <w:pPr>
              <w:spacing w:line="240" w:lineRule="auto" w:after="20" w:before="20"/>
              <w:jc w:val="left"/>
            </w:pPr>
            <w:r>
              <w:rPr>
                <w:rFonts w:ascii="Times New Roman" w:hAnsi="Times New Roman" w:eastAsia="Times New Roman" w:cs="Times New Roman"/>
                <w:b w:val="0"/>
                <w:i w:val="0"/>
                <w:sz w:val="22"/>
              </w:rPr>
              <w:t>Kế hoạch 2026</w:t>
            </w:r>
          </w:p>
        </w:tc>
        <w:tc>
          <w:tcPr>
            <w:tcW w:type="dxa" w:w="1361"/>
          </w:tcPr>
          <w:p>
            <w:pPr>
              <w:spacing w:line="240" w:lineRule="auto" w:after="20" w:before="20"/>
              <w:jc w:val="right"/>
            </w:pPr>
          </w:p>
        </w:tc>
        <w:tc>
          <w:tcPr>
            <w:tcW w:type="dxa" w:w="2041"/>
          </w:tcPr>
          <w:p>
            <w:pPr>
              <w:spacing w:line="240" w:lineRule="auto" w:after="20" w:before="20"/>
              <w:jc w:val="left"/>
            </w:pPr>
          </w:p>
        </w:tc>
        <w:tc>
          <w:tcPr>
            <w:tcW w:type="dxa" w:w="3515"/>
          </w:tcPr>
          <w:p>
            <w:pPr>
              <w:spacing w:line="240" w:lineRule="auto" w:after="20" w:before="20"/>
              <w:jc w:val="left"/>
            </w:pPr>
            <w:r>
              <w:rPr>
                <w:rFonts w:ascii="Times New Roman" w:hAnsi="Times New Roman" w:eastAsia="Times New Roman" w:cs="Times New Roman"/>
                <w:b w:val="0"/>
                <w:i w:val="0"/>
                <w:sz w:val="22"/>
              </w:rPr>
              <w:t>Doanh thu 185.000; LNST 9.200 (+30%)</w:t>
            </w:r>
          </w:p>
        </w:tc>
      </w:tr>
    </w:tbl>
    <w:p>
      <w:pPr>
        <w:spacing w:line="276" w:lineRule="auto" w:after="160" w:before="0"/>
        <w:jc w:val="left"/>
      </w:pPr>
      <w:r>
        <w:rPr>
          <w:rFonts w:ascii="Times New Roman" w:hAnsi="Times New Roman" w:eastAsia="Times New Roman" w:cs="Times New Roman"/>
          <w:b w:val="0"/>
          <w:i/>
          <w:sz w:val="22"/>
        </w:rPr>
        <w:t>Nguồn:</w:t>
      </w:r>
      <w:r>
        <w:rPr>
          <w:rFonts w:ascii="Times New Roman" w:hAnsi="Times New Roman" w:eastAsia="Times New Roman" w:cs="Times New Roman"/>
          <w:b w:val="0"/>
          <w:i w:val="0"/>
          <w:sz w:val="22"/>
        </w:rPr>
        <w:t xml:space="preserve"> Nhóm 7 tổng hợp từ [23], [24], [26].</w:t>
      </w:r>
    </w:p>
    <w:p>
      <w:pPr>
        <w:spacing w:line="312" w:lineRule="auto" w:after="120" w:before="0"/>
        <w:ind w:firstLine="720"/>
        <w:jc w:val="both"/>
      </w:pPr>
      <w:r>
        <w:rPr>
          <w:rFonts w:ascii="Times New Roman" w:hAnsi="Times New Roman" w:eastAsia="Times New Roman" w:cs="Times New Roman"/>
          <w:b w:val="0"/>
          <w:i w:val="0"/>
          <w:sz w:val="26"/>
        </w:rPr>
        <w:t>Riêng quý III/2026, doanh thu ước 52.648 tỷ đồng (+32%), Bách Hóa Xanh tăng 34% [24]. Các CTCK dự phóng LNST quý III đạt 2.529–3.456 tỷ đồng, tăng 43–95% so với cùng kỳ [25].</w:t>
      </w:r>
    </w:p>
    <w:p>
      <w:pPr>
        <w:pStyle w:val="Heading3"/>
        <w:keepNext/>
        <w:spacing w:line="312" w:lineRule="auto" w:after="120" w:before="120"/>
        <w:jc w:val="left"/>
      </w:pPr>
      <w:r>
        <w:rPr>
          <w:rFonts w:ascii="Times New Roman" w:hAnsi="Times New Roman" w:eastAsia="Times New Roman" w:cs="Times New Roman"/>
          <w:b/>
          <w:i/>
          <w:sz w:val="26"/>
        </w:rPr>
        <w:t>2.3.3. Chính sách cổ tức, rủi ro và triển vọng tăng trưởng</w:t>
      </w:r>
    </w:p>
    <w:p>
      <w:pPr>
        <w:spacing w:line="312" w:lineRule="auto" w:after="120" w:before="0"/>
        <w:ind w:firstLine="720"/>
        <w:jc w:val="both"/>
      </w:pPr>
      <w:r>
        <w:rPr>
          <w:rFonts w:ascii="Times New Roman" w:hAnsi="Times New Roman" w:eastAsia="Times New Roman" w:cs="Times New Roman"/>
          <w:b/>
          <w:i w:val="0"/>
          <w:sz w:val="26"/>
        </w:rPr>
        <w:t>Cổ tức:</w:t>
      </w:r>
      <w:r>
        <w:rPr>
          <w:rFonts w:ascii="Times New Roman" w:hAnsi="Times New Roman" w:eastAsia="Times New Roman" w:cs="Times New Roman"/>
          <w:b w:val="0"/>
          <w:i w:val="0"/>
          <w:sz w:val="26"/>
        </w:rPr>
        <w:t xml:space="preserve"> năm 2026 MWG dự kiến chi khoảng 3.000 tỷ đồng cổ tức tiền mặt, mức cao nhất từ trước đến nay [26]; nhóm ước tính khoảng 2.000 đ/cp, </w:t>
      </w:r>
      <w:r>
        <w:rPr>
          <w:rFonts w:ascii="Times New Roman" w:hAnsi="Times New Roman" w:eastAsia="Times New Roman" w:cs="Times New Roman"/>
          <w:b/>
          <w:i w:val="0"/>
          <w:sz w:val="26"/>
        </w:rPr>
        <w:t>tỷ suất khoảng 2,7%</w:t>
      </w:r>
      <w:r>
        <w:rPr>
          <w:rFonts w:ascii="Times New Roman" w:hAnsi="Times New Roman" w:eastAsia="Times New Roman" w:cs="Times New Roman"/>
          <w:b w:val="0"/>
          <w:i w:val="0"/>
          <w:sz w:val="26"/>
        </w:rPr>
        <w:t>.</w:t>
      </w:r>
    </w:p>
    <w:p>
      <w:pPr>
        <w:spacing w:line="312" w:lineRule="auto" w:after="120" w:before="0"/>
        <w:ind w:firstLine="720"/>
        <w:jc w:val="both"/>
      </w:pPr>
      <w:r>
        <w:rPr>
          <w:rFonts w:ascii="Times New Roman" w:hAnsi="Times New Roman" w:eastAsia="Times New Roman" w:cs="Times New Roman"/>
          <w:b/>
          <w:i w:val="0"/>
          <w:sz w:val="26"/>
        </w:rPr>
        <w:t>Rủi ro:</w:t>
      </w:r>
      <w:r>
        <w:rPr>
          <w:rFonts w:ascii="Times New Roman" w:hAnsi="Times New Roman" w:eastAsia="Times New Roman" w:cs="Times New Roman"/>
          <w:b w:val="0"/>
          <w:i w:val="0"/>
          <w:sz w:val="26"/>
        </w:rPr>
        <w:t xml:space="preserve"> (1) từ quý III, MWG chia khoảng 14% lợi nhuận Điện Máy Xanh cho cổ đông thiểu số, nên lợi nhuận của cổ đông công ty mẹ giảm so với quý II [25]; (2) một số CTCK dự báo lợi nhuận 2027 đi ngang; (3) lạm phát làm giảm sức mua hàng không thiết yếu; (4) cạnh tranh trong mảng bách hóa.</w:t>
      </w:r>
    </w:p>
    <w:p>
      <w:pPr>
        <w:spacing w:line="312" w:lineRule="auto" w:after="120" w:before="0"/>
        <w:ind w:firstLine="720"/>
        <w:jc w:val="both"/>
      </w:pPr>
      <w:r>
        <w:rPr>
          <w:rFonts w:ascii="Times New Roman" w:hAnsi="Times New Roman" w:eastAsia="Times New Roman" w:cs="Times New Roman"/>
          <w:b/>
          <w:i w:val="0"/>
          <w:sz w:val="26"/>
        </w:rPr>
        <w:t>Triển vọng:</w:t>
      </w:r>
      <w:r>
        <w:rPr>
          <w:rFonts w:ascii="Times New Roman" w:hAnsi="Times New Roman" w:eastAsia="Times New Roman" w:cs="Times New Roman"/>
          <w:b w:val="0"/>
          <w:i w:val="0"/>
          <w:sz w:val="26"/>
        </w:rPr>
        <w:t xml:space="preserve"> Bách Hóa Xanh tiếp tục mở rộng và có lãi, IPO Điện Máy Xanh giúp định giá lại các mảng kinh doanh, tiêu dùng nội địa tăng trên 13%/năm.</w:t>
      </w:r>
    </w:p>
    <w:p>
      <w:pPr>
        <w:pStyle w:val="Heading3"/>
        <w:keepNext/>
        <w:spacing w:line="312" w:lineRule="auto" w:after="120" w:before="120"/>
        <w:jc w:val="left"/>
      </w:pPr>
      <w:r>
        <w:rPr>
          <w:rFonts w:ascii="Times New Roman" w:hAnsi="Times New Roman" w:eastAsia="Times New Roman" w:cs="Times New Roman"/>
          <w:b/>
          <w:i/>
          <w:sz w:val="26"/>
        </w:rPr>
        <w:t>2.3.4. Nhận định về mức giá hợp lý</w:t>
      </w:r>
    </w:p>
    <w:p>
      <w:pPr>
        <w:spacing w:line="312" w:lineRule="auto" w:after="120" w:before="0"/>
        <w:ind w:firstLine="720"/>
        <w:jc w:val="both"/>
      </w:pPr>
      <w:r>
        <w:rPr>
          <w:rFonts w:ascii="Times New Roman" w:hAnsi="Times New Roman" w:eastAsia="Times New Roman" w:cs="Times New Roman"/>
          <w:b w:val="0"/>
          <w:i w:val="0"/>
          <w:sz w:val="26"/>
        </w:rPr>
        <w:t xml:space="preserve">Nhóm dùng </w:t>
      </w:r>
      <w:r>
        <w:rPr>
          <w:rFonts w:ascii="Times New Roman" w:hAnsi="Times New Roman" w:eastAsia="Times New Roman" w:cs="Times New Roman"/>
          <w:b/>
          <w:i w:val="0"/>
          <w:sz w:val="26"/>
        </w:rPr>
        <w:t>phương pháp P/E</w:t>
      </w:r>
      <w:r>
        <w:rPr>
          <w:rFonts w:ascii="Times New Roman" w:hAnsi="Times New Roman" w:eastAsia="Times New Roman" w:cs="Times New Roman"/>
          <w:b w:val="0"/>
          <w:i w:val="0"/>
          <w:sz w:val="26"/>
        </w:rPr>
        <w:t xml:space="preserve"> (Chương 4). EPS 2026 ước khoảng 6.000 đ, tính từ kế hoạch LNST sau khi trừ phần của cổ đông thiểu số. Giá hiện tại 75.200 đ (22/10) tương ứng P/E dự phóng khoảng 12,5 lần, thấp hơn mức bình quân lịch sử khoảng 17 lần [27]. Nhóm chọn </w:t>
      </w:r>
      <w:r>
        <w:rPr>
          <w:rFonts w:ascii="Times New Roman" w:hAnsi="Times New Roman" w:eastAsia="Times New Roman" w:cs="Times New Roman"/>
          <w:b/>
          <w:i w:val="0"/>
          <w:sz w:val="26"/>
        </w:rPr>
        <w:t>P/E chuẩn 15 lần</w:t>
      </w:r>
      <w:r>
        <w:rPr>
          <w:rFonts w:ascii="Times New Roman" w:hAnsi="Times New Roman" w:eastAsia="Times New Roman" w:cs="Times New Roman"/>
          <w:b w:val="0"/>
          <w:i w:val="0"/>
          <w:sz w:val="26"/>
        </w:rPr>
        <w:t>, thấp hơn mức lịch sử để trừ hao rủi ro lợi nhuận 2027 chững lại:</w:t>
      </w:r>
    </w:p>
    <w:p>
      <w:pPr>
        <w:spacing w:line="312" w:lineRule="auto" w:after="120" w:before="0"/>
        <w:ind w:firstLine="720"/>
        <w:jc w:val="both"/>
      </w:pPr>
      <w:r>
        <w:rPr>
          <w:rFonts w:ascii="Times New Roman" w:hAnsi="Times New Roman" w:eastAsia="Times New Roman" w:cs="Times New Roman"/>
          <w:b w:val="0"/>
          <w:i w:val="0"/>
          <w:sz w:val="26"/>
        </w:rPr>
        <w:t xml:space="preserve">Giá hợp lý = 15 × 6.000 = </w:t>
      </w:r>
      <w:r>
        <w:rPr>
          <w:rFonts w:ascii="Times New Roman" w:hAnsi="Times New Roman" w:eastAsia="Times New Roman" w:cs="Times New Roman"/>
          <w:b/>
          <w:i w:val="0"/>
          <w:sz w:val="26"/>
        </w:rPr>
        <w:t>90.000 đ/cp (tiềm năng tăng 20%)</w:t>
      </w:r>
      <w:r>
        <w:rPr>
          <w:rFonts w:ascii="Times New Roman" w:hAnsi="Times New Roman" w:eastAsia="Times New Roman" w:cs="Times New Roman"/>
          <w:b w:val="0"/>
          <w:i w:val="0"/>
          <w:sz w:val="26"/>
        </w:rPr>
        <w:t>.</w:t>
      </w:r>
    </w:p>
    <w:p>
      <w:pPr>
        <w:spacing w:line="312" w:lineRule="auto" w:after="120" w:before="0"/>
        <w:ind w:firstLine="720"/>
        <w:jc w:val="both"/>
      </w:pPr>
      <w:r>
        <w:rPr>
          <w:rFonts w:ascii="Times New Roman" w:hAnsi="Times New Roman" w:eastAsia="Times New Roman" w:cs="Times New Roman"/>
          <w:b w:val="0"/>
          <w:i w:val="0"/>
          <w:sz w:val="26"/>
        </w:rPr>
        <w:t>Kiểm tra bằng P/E = (D₁/E₁)/(k − g) với k = 13,96% (β = 1,2) và tỷ lệ chi trả 33%: P/E 15 lần tương ứng tăng trưởng dài hạn 11,7%/năm, phù hợp với tốc độ tăng của bán lẻ. Giá mục tiêu của các CTCK: Kafi 94.400 đ, SSI 106.000 đ, MBS 109.000 đ [27].</w:t>
      </w:r>
    </w:p>
    <w:p>
      <w:pPr>
        <w:pStyle w:val="Heading2"/>
        <w:keepNext/>
        <w:spacing w:line="312" w:lineRule="auto" w:after="120" w:before="120"/>
        <w:jc w:val="left"/>
      </w:pPr>
      <w:r>
        <w:rPr>
          <w:rFonts w:ascii="Times New Roman" w:hAnsi="Times New Roman" w:eastAsia="Times New Roman" w:cs="Times New Roman"/>
          <w:b/>
          <w:i w:val="0"/>
          <w:sz w:val="26"/>
        </w:rPr>
        <w:t>2.4. Tổng Công ty Khí Việt Nam (GAS – HOSE)</w:t>
      </w:r>
    </w:p>
    <w:p>
      <w:pPr>
        <w:pStyle w:val="Heading3"/>
        <w:keepNext/>
        <w:spacing w:line="312" w:lineRule="auto" w:after="120" w:before="120"/>
        <w:jc w:val="left"/>
      </w:pPr>
      <w:r>
        <w:rPr>
          <w:rFonts w:ascii="Times New Roman" w:hAnsi="Times New Roman" w:eastAsia="Times New Roman" w:cs="Times New Roman"/>
          <w:b/>
          <w:i/>
          <w:sz w:val="26"/>
        </w:rPr>
        <w:t>2.4.1. Mô hình kinh doanh</w:t>
      </w:r>
    </w:p>
    <w:p>
      <w:pPr>
        <w:spacing w:line="312" w:lineRule="auto" w:after="120" w:before="0"/>
        <w:ind w:firstLine="720"/>
        <w:jc w:val="both"/>
      </w:pPr>
      <w:r>
        <w:rPr>
          <w:rFonts w:ascii="Times New Roman" w:hAnsi="Times New Roman" w:eastAsia="Times New Roman" w:cs="Times New Roman"/>
          <w:b w:val="0"/>
          <w:i w:val="0"/>
          <w:sz w:val="26"/>
        </w:rPr>
        <w:t xml:space="preserve">PV GAS nắm gần như toàn bộ chuỗi giá trị khí trong nước: thu gom, vận chuyển bằng đường ống, xử lý và phân phối </w:t>
      </w:r>
      <w:r>
        <w:rPr>
          <w:rFonts w:ascii="Times New Roman" w:hAnsi="Times New Roman" w:eastAsia="Times New Roman" w:cs="Times New Roman"/>
          <w:b/>
          <w:i w:val="0"/>
          <w:sz w:val="26"/>
        </w:rPr>
        <w:t>khí khô</w:t>
      </w:r>
      <w:r>
        <w:rPr>
          <w:rFonts w:ascii="Times New Roman" w:hAnsi="Times New Roman" w:eastAsia="Times New Roman" w:cs="Times New Roman"/>
          <w:b w:val="0"/>
          <w:i w:val="0"/>
          <w:sz w:val="26"/>
        </w:rPr>
        <w:t xml:space="preserve"> cho nhà máy điện, đạm và khu công nghiệp; kinh doanh </w:t>
      </w:r>
      <w:r>
        <w:rPr>
          <w:rFonts w:ascii="Times New Roman" w:hAnsi="Times New Roman" w:eastAsia="Times New Roman" w:cs="Times New Roman"/>
          <w:b/>
          <w:i w:val="0"/>
          <w:sz w:val="26"/>
        </w:rPr>
        <w:t>LPG</w:t>
      </w:r>
      <w:r>
        <w:rPr>
          <w:rFonts w:ascii="Times New Roman" w:hAnsi="Times New Roman" w:eastAsia="Times New Roman" w:cs="Times New Roman"/>
          <w:b w:val="0"/>
          <w:i w:val="0"/>
          <w:sz w:val="26"/>
        </w:rPr>
        <w:t xml:space="preserve">; nhập khẩu và phân phối </w:t>
      </w:r>
      <w:r>
        <w:rPr>
          <w:rFonts w:ascii="Times New Roman" w:hAnsi="Times New Roman" w:eastAsia="Times New Roman" w:cs="Times New Roman"/>
          <w:b/>
          <w:i w:val="0"/>
          <w:sz w:val="26"/>
        </w:rPr>
        <w:t>LNG</w:t>
      </w:r>
      <w:r>
        <w:rPr>
          <w:rFonts w:ascii="Times New Roman" w:hAnsi="Times New Roman" w:eastAsia="Times New Roman" w:cs="Times New Roman"/>
          <w:b w:val="0"/>
          <w:i w:val="0"/>
          <w:sz w:val="26"/>
        </w:rPr>
        <w:t>. Quý I/2026, khí khô và LNG chiếm khoảng 55% doanh thu, LPG hơn 40% [31]. Đây là mô hình gần độc quyền, giá bán gắn với giá dầu, nên lợi nhuận tăng khi giá dầu tăng.</w:t>
      </w:r>
    </w:p>
    <w:p>
      <w:pPr>
        <w:pStyle w:val="Heading3"/>
        <w:keepNext/>
        <w:spacing w:line="312" w:lineRule="auto" w:after="120" w:before="120"/>
        <w:jc w:val="left"/>
      </w:pPr>
      <w:r>
        <w:rPr>
          <w:rFonts w:ascii="Times New Roman" w:hAnsi="Times New Roman" w:eastAsia="Times New Roman" w:cs="Times New Roman"/>
          <w:b/>
          <w:i/>
          <w:sz w:val="26"/>
        </w:rPr>
        <w:t>2.4.2. Kết quả kinh doanh và tình hình tài chính</w:t>
      </w:r>
    </w:p>
    <w:p>
      <w:pPr>
        <w:keepNext/>
        <w:spacing w:line="312" w:lineRule="auto" w:after="60" w:before="120"/>
        <w:jc w:val="left"/>
      </w:pPr>
      <w:r>
        <w:rPr>
          <w:rFonts w:ascii="Times New Roman" w:hAnsi="Times New Roman" w:eastAsia="Times New Roman" w:cs="Times New Roman"/>
          <w:b/>
          <w:i w:val="0"/>
          <w:sz w:val="26"/>
        </w:rPr>
        <w:t>Bảng 2-5. Kết quả kinh doanh chính của GAS</w:t>
      </w:r>
    </w:p>
    <w:tbl>
      <w:tblPr>
        <w:jc w:val="center"/>
        <w:tblLook w:firstColumn="1" w:firstRow="1" w:lastColumn="0" w:lastRow="0" w:noHBand="0" w:noVBand="1" w:val="04A0"/>
        <w:tblBorders>
          <w:top w:val="single" w:sz="8" w:color="000000"/>
          <w:bottom w:val="single" w:sz="8" w:color="000000"/>
          <w:insideH w:val="single" w:sz="2" w:color="BFBFBF"/>
        </w:tblBorders>
        <w:tblW w:w="9071" w:type="dxa"/>
        <w:tblLayout w:type="fixed"/>
      </w:tblPr>
      <w:tblGrid>
        <w:gridCol w:w="3061"/>
        <w:gridCol w:w="2608"/>
        <w:gridCol w:w="3402"/>
      </w:tblGrid>
      <w:tr>
        <w:trPr>
          <w:tblHeader w:val="true"/>
        </w:trPr>
        <w:tc>
          <w:tcPr>
            <w:tcW w:type="dxa" w:w="3061"/>
            <w:tcBorders>
              <w:bottom w:val="single" w:sz="6" w:color="000000"/>
            </w:tcBorders>
          </w:tcPr>
          <w:p>
            <w:pPr>
              <w:spacing w:line="240" w:lineRule="auto" w:after="20" w:before="20"/>
              <w:jc w:val="center"/>
            </w:pPr>
            <w:r>
              <w:rPr>
                <w:rFonts w:ascii="Times New Roman" w:hAnsi="Times New Roman" w:eastAsia="Times New Roman" w:cs="Times New Roman"/>
                <w:b/>
                <w:i w:val="0"/>
                <w:sz w:val="22"/>
              </w:rPr>
              <w:t>Chỉ tiêu</w:t>
            </w:r>
          </w:p>
        </w:tc>
        <w:tc>
          <w:tcPr>
            <w:tcW w:type="dxa" w:w="2608"/>
            <w:tcBorders>
              <w:bottom w:val="single" w:sz="6" w:color="000000"/>
            </w:tcBorders>
          </w:tcPr>
          <w:p>
            <w:pPr>
              <w:spacing w:line="240" w:lineRule="auto" w:after="20" w:before="20"/>
              <w:jc w:val="center"/>
            </w:pPr>
            <w:r>
              <w:rPr>
                <w:rFonts w:ascii="Times New Roman" w:hAnsi="Times New Roman" w:eastAsia="Times New Roman" w:cs="Times New Roman"/>
                <w:b/>
                <w:i w:val="0"/>
                <w:sz w:val="22"/>
              </w:rPr>
              <w:t>Năm 2025</w:t>
            </w:r>
          </w:p>
        </w:tc>
        <w:tc>
          <w:tcPr>
            <w:tcW w:type="dxa" w:w="3402"/>
            <w:tcBorders>
              <w:bottom w:val="single" w:sz="6" w:color="000000"/>
            </w:tcBorders>
          </w:tcPr>
          <w:p>
            <w:pPr>
              <w:spacing w:line="240" w:lineRule="auto" w:after="20" w:before="20"/>
              <w:jc w:val="center"/>
            </w:pPr>
            <w:r>
              <w:rPr>
                <w:rFonts w:ascii="Times New Roman" w:hAnsi="Times New Roman" w:eastAsia="Times New Roman" w:cs="Times New Roman"/>
                <w:b/>
                <w:i w:val="0"/>
                <w:sz w:val="22"/>
              </w:rPr>
              <w:t>9 tháng 2026</w:t>
            </w:r>
          </w:p>
        </w:tc>
      </w:tr>
      <w:tr>
        <w:tc>
          <w:tcPr>
            <w:tcW w:type="dxa" w:w="3061"/>
          </w:tcPr>
          <w:p>
            <w:pPr>
              <w:spacing w:line="240" w:lineRule="auto" w:after="20" w:before="20"/>
              <w:jc w:val="left"/>
            </w:pPr>
            <w:r>
              <w:rPr>
                <w:rFonts w:ascii="Times New Roman" w:hAnsi="Times New Roman" w:eastAsia="Times New Roman" w:cs="Times New Roman"/>
                <w:b w:val="0"/>
                <w:i w:val="0"/>
                <w:sz w:val="22"/>
              </w:rPr>
              <w:t>Doanh thu hợp nhất (tỷ đồng)</w:t>
            </w:r>
          </w:p>
        </w:tc>
        <w:tc>
          <w:tcPr>
            <w:tcW w:type="dxa" w:w="2608"/>
          </w:tcPr>
          <w:p>
            <w:pPr>
              <w:spacing w:line="240" w:lineRule="auto" w:after="20" w:before="20"/>
              <w:jc w:val="left"/>
            </w:pPr>
            <w:r>
              <w:rPr>
                <w:rFonts w:ascii="Times New Roman" w:hAnsi="Times New Roman" w:eastAsia="Times New Roman" w:cs="Times New Roman"/>
                <w:b w:val="0"/>
                <w:i w:val="0"/>
                <w:sz w:val="22"/>
              </w:rPr>
              <w:t>135.129 (+30%)</w:t>
            </w:r>
          </w:p>
        </w:tc>
        <w:tc>
          <w:tcPr>
            <w:tcW w:type="dxa" w:w="3402"/>
          </w:tcPr>
          <w:p>
            <w:pPr>
              <w:spacing w:line="240" w:lineRule="auto" w:after="20" w:before="20"/>
              <w:jc w:val="left"/>
            </w:pPr>
            <w:r>
              <w:rPr>
                <w:rFonts w:ascii="Times New Roman" w:hAnsi="Times New Roman" w:eastAsia="Times New Roman" w:cs="Times New Roman"/>
                <w:b w:val="0"/>
                <w:i w:val="0"/>
                <w:sz w:val="22"/>
              </w:rPr>
              <w:t>Trên 120.900 (+30%)</w:t>
            </w:r>
          </w:p>
        </w:tc>
      </w:tr>
      <w:tr>
        <w:tc>
          <w:tcPr>
            <w:tcW w:type="dxa" w:w="3061"/>
          </w:tcPr>
          <w:p>
            <w:pPr>
              <w:spacing w:line="240" w:lineRule="auto" w:after="20" w:before="20"/>
              <w:jc w:val="left"/>
            </w:pPr>
            <w:r>
              <w:rPr>
                <w:rFonts w:ascii="Times New Roman" w:hAnsi="Times New Roman" w:eastAsia="Times New Roman" w:cs="Times New Roman"/>
                <w:b w:val="0"/>
                <w:i w:val="0"/>
                <w:sz w:val="22"/>
              </w:rPr>
              <w:t>Lợi nhuận (tỷ đồng)</w:t>
            </w:r>
          </w:p>
        </w:tc>
        <w:tc>
          <w:tcPr>
            <w:tcW w:type="dxa" w:w="2608"/>
          </w:tcPr>
          <w:p>
            <w:pPr>
              <w:spacing w:line="240" w:lineRule="auto" w:after="20" w:before="20"/>
              <w:jc w:val="left"/>
            </w:pPr>
            <w:r>
              <w:rPr>
                <w:rFonts w:ascii="Times New Roman" w:hAnsi="Times New Roman" w:eastAsia="Times New Roman" w:cs="Times New Roman"/>
                <w:b w:val="0"/>
                <w:i w:val="0"/>
                <w:sz w:val="22"/>
              </w:rPr>
              <w:t>LNST 11.571 (+9%)</w:t>
            </w:r>
          </w:p>
        </w:tc>
        <w:tc>
          <w:tcPr>
            <w:tcW w:type="dxa" w:w="3402"/>
          </w:tcPr>
          <w:p>
            <w:pPr>
              <w:spacing w:line="240" w:lineRule="auto" w:after="20" w:before="20"/>
              <w:jc w:val="left"/>
            </w:pPr>
            <w:r>
              <w:rPr>
                <w:rFonts w:ascii="Times New Roman" w:hAnsi="Times New Roman" w:eastAsia="Times New Roman" w:cs="Times New Roman"/>
                <w:b w:val="0"/>
                <w:i w:val="0"/>
                <w:sz w:val="22"/>
              </w:rPr>
              <w:t>LNTT trên 16.600 (+31%); quý III +68%</w:t>
            </w:r>
          </w:p>
        </w:tc>
      </w:tr>
      <w:tr>
        <w:tc>
          <w:tcPr>
            <w:tcW w:type="dxa" w:w="3061"/>
          </w:tcPr>
          <w:p>
            <w:pPr>
              <w:spacing w:line="240" w:lineRule="auto" w:after="20" w:before="20"/>
              <w:jc w:val="left"/>
            </w:pPr>
            <w:r>
              <w:rPr>
                <w:rFonts w:ascii="Times New Roman" w:hAnsi="Times New Roman" w:eastAsia="Times New Roman" w:cs="Times New Roman"/>
                <w:b w:val="0"/>
                <w:i w:val="0"/>
                <w:sz w:val="22"/>
              </w:rPr>
              <w:t>So với kế hoạch năm</w:t>
            </w:r>
          </w:p>
        </w:tc>
        <w:tc>
          <w:tcPr>
            <w:tcW w:type="dxa" w:w="2608"/>
          </w:tcPr>
          <w:p>
            <w:pPr>
              <w:spacing w:line="240" w:lineRule="auto" w:after="20" w:before="20"/>
              <w:jc w:val="left"/>
            </w:pPr>
          </w:p>
        </w:tc>
        <w:tc>
          <w:tcPr>
            <w:tcW w:type="dxa" w:w="3402"/>
          </w:tcPr>
          <w:p>
            <w:pPr>
              <w:spacing w:line="240" w:lineRule="auto" w:after="20" w:before="20"/>
              <w:jc w:val="left"/>
            </w:pPr>
            <w:r>
              <w:rPr>
                <w:rFonts w:ascii="Times New Roman" w:hAnsi="Times New Roman" w:eastAsia="Times New Roman" w:cs="Times New Roman"/>
                <w:b w:val="0"/>
                <w:i w:val="0"/>
                <w:sz w:val="22"/>
              </w:rPr>
              <w:t>LNTT đạt 197% kế hoạch</w:t>
            </w:r>
          </w:p>
        </w:tc>
      </w:tr>
      <w:tr>
        <w:tc>
          <w:tcPr>
            <w:tcW w:type="dxa" w:w="3061"/>
          </w:tcPr>
          <w:p>
            <w:pPr>
              <w:spacing w:line="240" w:lineRule="auto" w:after="20" w:before="20"/>
              <w:jc w:val="left"/>
            </w:pPr>
            <w:r>
              <w:rPr>
                <w:rFonts w:ascii="Times New Roman" w:hAnsi="Times New Roman" w:eastAsia="Times New Roman" w:cs="Times New Roman"/>
                <w:b w:val="0"/>
                <w:i w:val="0"/>
                <w:sz w:val="22"/>
              </w:rPr>
              <w:t>Tiền mặt và đầu tư ngắn hạn</w:t>
            </w:r>
          </w:p>
        </w:tc>
        <w:tc>
          <w:tcPr>
            <w:tcW w:type="dxa" w:w="2608"/>
          </w:tcPr>
          <w:p>
            <w:pPr>
              <w:spacing w:line="240" w:lineRule="auto" w:after="20" w:before="20"/>
              <w:jc w:val="left"/>
            </w:pPr>
            <w:r>
              <w:rPr>
                <w:rFonts w:ascii="Times New Roman" w:hAnsi="Times New Roman" w:eastAsia="Times New Roman" w:cs="Times New Roman"/>
                <w:b w:val="0"/>
                <w:i w:val="0"/>
                <w:sz w:val="22"/>
              </w:rPr>
              <w:t>Gần 40.000 tỷ đồng</w:t>
            </w:r>
          </w:p>
        </w:tc>
        <w:tc>
          <w:tcPr>
            <w:tcW w:type="dxa" w:w="3402"/>
          </w:tcPr>
          <w:p>
            <w:pPr>
              <w:spacing w:line="240" w:lineRule="auto" w:after="20" w:before="20"/>
              <w:jc w:val="left"/>
            </w:pPr>
          </w:p>
        </w:tc>
      </w:tr>
    </w:tbl>
    <w:p>
      <w:pPr>
        <w:spacing w:line="276" w:lineRule="auto" w:after="160" w:before="0"/>
        <w:jc w:val="left"/>
      </w:pPr>
      <w:r>
        <w:rPr>
          <w:rFonts w:ascii="Times New Roman" w:hAnsi="Times New Roman" w:eastAsia="Times New Roman" w:cs="Times New Roman"/>
          <w:b w:val="0"/>
          <w:i/>
          <w:sz w:val="22"/>
        </w:rPr>
        <w:t>Nguồn:</w:t>
      </w:r>
      <w:r>
        <w:rPr>
          <w:rFonts w:ascii="Times New Roman" w:hAnsi="Times New Roman" w:eastAsia="Times New Roman" w:cs="Times New Roman"/>
          <w:b w:val="0"/>
          <w:i w:val="0"/>
          <w:sz w:val="22"/>
        </w:rPr>
        <w:t xml:space="preserve"> Nhóm 7 tổng hợp từ [28], [29], [30].</w:t>
      </w:r>
    </w:p>
    <w:p>
      <w:pPr>
        <w:pStyle w:val="Heading3"/>
        <w:keepNext/>
        <w:spacing w:line="312" w:lineRule="auto" w:after="120" w:before="120"/>
        <w:jc w:val="left"/>
      </w:pPr>
      <w:r>
        <w:rPr>
          <w:rFonts w:ascii="Times New Roman" w:hAnsi="Times New Roman" w:eastAsia="Times New Roman" w:cs="Times New Roman"/>
          <w:b/>
          <w:i/>
          <w:sz w:val="26"/>
        </w:rPr>
        <w:t>2.4.3. Chính sách cổ tức, rủi ro và triển vọng tăng trưởng</w:t>
      </w:r>
    </w:p>
    <w:p>
      <w:pPr>
        <w:spacing w:line="312" w:lineRule="auto" w:after="120" w:before="0"/>
        <w:ind w:firstLine="720"/>
        <w:jc w:val="both"/>
      </w:pPr>
      <w:r>
        <w:rPr>
          <w:rFonts w:ascii="Times New Roman" w:hAnsi="Times New Roman" w:eastAsia="Times New Roman" w:cs="Times New Roman"/>
          <w:b/>
          <w:i w:val="0"/>
          <w:sz w:val="26"/>
        </w:rPr>
        <w:t>Cổ tức:</w:t>
      </w:r>
      <w:r>
        <w:rPr>
          <w:rFonts w:ascii="Times New Roman" w:hAnsi="Times New Roman" w:eastAsia="Times New Roman" w:cs="Times New Roman"/>
          <w:b w:val="0"/>
          <w:i w:val="0"/>
          <w:sz w:val="26"/>
        </w:rPr>
        <w:t xml:space="preserve"> cổ tức tiền mặt năm 2025 là 25% (2.500 đ/cp, tổng hơn 6.000 tỷ đồng, chốt quyền 23/9/2026) [33], </w:t>
      </w:r>
      <w:r>
        <w:rPr>
          <w:rFonts w:ascii="Times New Roman" w:hAnsi="Times New Roman" w:eastAsia="Times New Roman" w:cs="Times New Roman"/>
          <w:b/>
          <w:i w:val="0"/>
          <w:sz w:val="26"/>
        </w:rPr>
        <w:t>tỷ suất khoảng 3,3%</w:t>
      </w:r>
      <w:r>
        <w:rPr>
          <w:rFonts w:ascii="Times New Roman" w:hAnsi="Times New Roman" w:eastAsia="Times New Roman" w:cs="Times New Roman"/>
          <w:b w:val="0"/>
          <w:i w:val="0"/>
          <w:sz w:val="26"/>
        </w:rPr>
        <w:t>. GAS duy trì chia cổ tức tiền mặt cao nhiều năm.</w:t>
      </w:r>
    </w:p>
    <w:p>
      <w:pPr>
        <w:spacing w:line="312" w:lineRule="auto" w:after="120" w:before="0"/>
        <w:ind w:firstLine="720"/>
        <w:jc w:val="both"/>
      </w:pPr>
      <w:r>
        <w:rPr>
          <w:rFonts w:ascii="Times New Roman" w:hAnsi="Times New Roman" w:eastAsia="Times New Roman" w:cs="Times New Roman"/>
          <w:b/>
          <w:i w:val="0"/>
          <w:sz w:val="26"/>
        </w:rPr>
        <w:t>Rủi ro:</w:t>
      </w:r>
      <w:r>
        <w:rPr>
          <w:rFonts w:ascii="Times New Roman" w:hAnsi="Times New Roman" w:eastAsia="Times New Roman" w:cs="Times New Roman"/>
          <w:b w:val="0"/>
          <w:i w:val="0"/>
          <w:sz w:val="26"/>
        </w:rPr>
        <w:t xml:space="preserve"> (1) giá dầu đảo chiều, EIA dự báo Brent về 84 USD năm 2027 [10]; (2) biên lợi nhuận gộp LPG quý I giảm từ 7,5% xuống 5,3% do giá nhập khẩu tăng [31]; (3) </w:t>
      </w:r>
      <w:r>
        <w:rPr>
          <w:rFonts w:ascii="Times New Roman" w:hAnsi="Times New Roman" w:eastAsia="Times New Roman" w:cs="Times New Roman"/>
          <w:b/>
          <w:i w:val="0"/>
          <w:sz w:val="26"/>
        </w:rPr>
        <w:t>tư cách công ty đại chúng</w:t>
      </w:r>
      <w:r>
        <w:rPr>
          <w:rFonts w:ascii="Times New Roman" w:hAnsi="Times New Roman" w:eastAsia="Times New Roman" w:cs="Times New Roman"/>
          <w:b w:val="0"/>
          <w:i w:val="0"/>
          <w:sz w:val="26"/>
        </w:rPr>
        <w:t>: Tập đoàn Dầu khí nắm 95,76% cổ phần, cổ đông nhỏ chỉ giữ 4,24% (yêu cầu tối thiểu 10%); PV GAS có 1 năm từ 14/8/2026 để khắc phục [32]. Nguy cơ hủy niêm yết trong kỳ đầu tư 1 tháng thấp, nhưng tỷ lệ cổ phiếu tự do chuyển nhượng thấp hạn chế dòng vốn ngoại.</w:t>
      </w:r>
    </w:p>
    <w:p>
      <w:pPr>
        <w:spacing w:line="312" w:lineRule="auto" w:after="120" w:before="0"/>
        <w:ind w:firstLine="720"/>
        <w:jc w:val="both"/>
      </w:pPr>
      <w:r>
        <w:rPr>
          <w:rFonts w:ascii="Times New Roman" w:hAnsi="Times New Roman" w:eastAsia="Times New Roman" w:cs="Times New Roman"/>
          <w:b/>
          <w:i w:val="0"/>
          <w:sz w:val="26"/>
        </w:rPr>
        <w:t>Triển vọng:</w:t>
      </w:r>
      <w:r>
        <w:rPr>
          <w:rFonts w:ascii="Times New Roman" w:hAnsi="Times New Roman" w:eastAsia="Times New Roman" w:cs="Times New Roman"/>
          <w:b w:val="0"/>
          <w:i w:val="0"/>
          <w:sz w:val="26"/>
        </w:rPr>
        <w:t xml:space="preserve"> nhu cầu khí cho điện tăng theo Quy hoạch điện VIII; mảng LNG là động lực tăng trưởng trung hạn.</w:t>
      </w:r>
    </w:p>
    <w:p>
      <w:pPr>
        <w:pStyle w:val="Heading3"/>
        <w:keepNext/>
        <w:spacing w:line="312" w:lineRule="auto" w:after="120" w:before="120"/>
        <w:jc w:val="left"/>
      </w:pPr>
      <w:r>
        <w:rPr>
          <w:rFonts w:ascii="Times New Roman" w:hAnsi="Times New Roman" w:eastAsia="Times New Roman" w:cs="Times New Roman"/>
          <w:b/>
          <w:i/>
          <w:sz w:val="26"/>
        </w:rPr>
        <w:t>2.4.4. Nhận định về mức giá hợp lý</w:t>
      </w:r>
    </w:p>
    <w:p>
      <w:pPr>
        <w:spacing w:line="312" w:lineRule="auto" w:after="120" w:before="0"/>
        <w:ind w:firstLine="720"/>
        <w:jc w:val="both"/>
      </w:pPr>
      <w:r>
        <w:rPr>
          <w:rFonts w:ascii="Times New Roman" w:hAnsi="Times New Roman" w:eastAsia="Times New Roman" w:cs="Times New Roman"/>
          <w:b w:val="0"/>
          <w:i w:val="0"/>
          <w:sz w:val="26"/>
        </w:rPr>
        <w:t>Với β = 0,8: k = 4,36% + 0,8 × 8% = 10,76%. Nhóm kết hợp hai phương pháp:</w:t>
      </w:r>
    </w:p>
    <w:p>
      <w:pPr>
        <w:tabs>
          <w:tab w:pos="1077" w:val="left"/>
        </w:tabs>
        <w:spacing w:line="312" w:lineRule="auto" w:after="60" w:before="0"/>
        <w:ind w:hanging="357" w:left="1077"/>
        <w:jc w:val="both"/>
      </w:pPr>
      <w:r>
        <w:rPr>
          <w:rFonts w:ascii="Times New Roman" w:hAnsi="Times New Roman" w:eastAsia="Times New Roman" w:cs="Times New Roman"/>
          <w:b w:val="0"/>
          <w:i w:val="0"/>
          <w:sz w:val="26"/>
        </w:rPr>
        <w:t>a)</w:t>
        <w:tab/>
      </w:r>
      <w:r>
        <w:rPr>
          <w:rFonts w:ascii="Times New Roman" w:hAnsi="Times New Roman" w:eastAsia="Times New Roman" w:cs="Times New Roman"/>
          <w:b/>
          <w:i w:val="0"/>
          <w:sz w:val="26"/>
        </w:rPr>
        <w:t>Mô hình cổ tức tăng trưởng đều (DDM):</w:t>
      </w:r>
      <w:r>
        <w:rPr>
          <w:rFonts w:ascii="Times New Roman" w:hAnsi="Times New Roman" w:eastAsia="Times New Roman" w:cs="Times New Roman"/>
          <w:b w:val="0"/>
          <w:i w:val="0"/>
          <w:sz w:val="26"/>
        </w:rPr>
        <w:t xml:space="preserve"> D₀ = 2.500 đ, g = 7%. V₀ = 2.500 × 1,07/(0,1076 − 0,07) = </w:t>
      </w:r>
      <w:r>
        <w:rPr>
          <w:rFonts w:ascii="Times New Roman" w:hAnsi="Times New Roman" w:eastAsia="Times New Roman" w:cs="Times New Roman"/>
          <w:b/>
          <w:i w:val="0"/>
          <w:sz w:val="26"/>
        </w:rPr>
        <w:t>71.100 đ</w:t>
      </w:r>
      <w:r>
        <w:rPr>
          <w:rFonts w:ascii="Times New Roman" w:hAnsi="Times New Roman" w:eastAsia="Times New Roman" w:cs="Times New Roman"/>
          <w:b w:val="0"/>
          <w:i w:val="0"/>
          <w:sz w:val="26"/>
        </w:rPr>
        <w:t>. Kết quả rất nhạy với g: nếu g = 6% thì V₀ chỉ còn 55.700 đ, vì k − g quá nhỏ.</w:t>
      </w:r>
    </w:p>
    <w:p>
      <w:pPr>
        <w:tabs>
          <w:tab w:pos="1077" w:val="left"/>
        </w:tabs>
        <w:spacing w:line="312" w:lineRule="auto" w:after="60" w:before="0"/>
        <w:ind w:hanging="357" w:left="1077"/>
        <w:jc w:val="both"/>
      </w:pPr>
      <w:r>
        <w:rPr>
          <w:rFonts w:ascii="Times New Roman" w:hAnsi="Times New Roman" w:eastAsia="Times New Roman" w:cs="Times New Roman"/>
          <w:b w:val="0"/>
          <w:i w:val="0"/>
          <w:sz w:val="26"/>
        </w:rPr>
        <w:t>b)</w:t>
        <w:tab/>
      </w:r>
      <w:r>
        <w:rPr>
          <w:rFonts w:ascii="Times New Roman" w:hAnsi="Times New Roman" w:eastAsia="Times New Roman" w:cs="Times New Roman"/>
          <w:b/>
          <w:i w:val="0"/>
          <w:sz w:val="26"/>
        </w:rPr>
        <w:t>P/E:</w:t>
      </w:r>
      <w:r>
        <w:rPr>
          <w:rFonts w:ascii="Times New Roman" w:hAnsi="Times New Roman" w:eastAsia="Times New Roman" w:cs="Times New Roman"/>
          <w:b w:val="0"/>
          <w:i w:val="0"/>
          <w:sz w:val="26"/>
        </w:rPr>
        <w:t xml:space="preserve"> EPS 4 quý gần nhất khoảng 5.350 đ; P/E chuẩn 16 lần (mức SSI sử dụng) cho </w:t>
      </w:r>
      <w:r>
        <w:rPr>
          <w:rFonts w:ascii="Times New Roman" w:hAnsi="Times New Roman" w:eastAsia="Times New Roman" w:cs="Times New Roman"/>
          <w:b/>
          <w:i w:val="0"/>
          <w:sz w:val="26"/>
        </w:rPr>
        <w:t>85.600 đ</w:t>
      </w:r>
      <w:r>
        <w:rPr>
          <w:rFonts w:ascii="Times New Roman" w:hAnsi="Times New Roman" w:eastAsia="Times New Roman" w:cs="Times New Roman"/>
          <w:b w:val="0"/>
          <w:i w:val="0"/>
          <w:sz w:val="26"/>
        </w:rPr>
        <w:t xml:space="preserve"> [34].</w:t>
      </w:r>
    </w:p>
    <w:p>
      <w:pPr>
        <w:spacing w:line="312" w:lineRule="auto" w:after="120" w:before="0"/>
        <w:ind w:firstLine="720"/>
        <w:jc w:val="both"/>
      </w:pPr>
      <w:r>
        <w:rPr>
          <w:rFonts w:ascii="Times New Roman" w:hAnsi="Times New Roman" w:eastAsia="Times New Roman" w:cs="Times New Roman"/>
          <w:b w:val="0"/>
          <w:i w:val="0"/>
          <w:sz w:val="26"/>
        </w:rPr>
        <w:t xml:space="preserve">Giá hợp lý bằng bình quân hai phương pháp, </w:t>
      </w:r>
      <w:r>
        <w:rPr>
          <w:rFonts w:ascii="Times New Roman" w:hAnsi="Times New Roman" w:eastAsia="Times New Roman" w:cs="Times New Roman"/>
          <w:b/>
          <w:i w:val="0"/>
          <w:sz w:val="26"/>
        </w:rPr>
        <w:t>78.400 đ/cp (tiềm năng tăng 2%)</w:t>
      </w:r>
      <w:r>
        <w:rPr>
          <w:rFonts w:ascii="Times New Roman" w:hAnsi="Times New Roman" w:eastAsia="Times New Roman" w:cs="Times New Roman"/>
          <w:b w:val="0"/>
          <w:i w:val="0"/>
          <w:sz w:val="26"/>
        </w:rPr>
        <w:t xml:space="preserve">; giá mục tiêu bình quân của 7 CTCK là 87.308 đ [34]. GAS đang được định giá gần mức hợp lý nên </w:t>
      </w:r>
      <w:r>
        <w:rPr>
          <w:rFonts w:ascii="Times New Roman" w:hAnsi="Times New Roman" w:eastAsia="Times New Roman" w:cs="Times New Roman"/>
          <w:b/>
          <w:i w:val="0"/>
          <w:sz w:val="26"/>
        </w:rPr>
        <w:t>không phải mã để kỳ vọng tăng giá mạnh</w:t>
      </w:r>
      <w:r>
        <w:rPr>
          <w:rFonts w:ascii="Times New Roman" w:hAnsi="Times New Roman" w:eastAsia="Times New Roman" w:cs="Times New Roman"/>
          <w:b w:val="0"/>
          <w:i w:val="0"/>
          <w:sz w:val="26"/>
        </w:rPr>
        <w:t xml:space="preserve">. Nhóm vẫn chọn GAS vì β thấp và lợi nhuận đi ngược chiều bán lẻ khi giá dầu tăng, giúp </w:t>
      </w:r>
      <w:r>
        <w:rPr>
          <w:rFonts w:ascii="Times New Roman" w:hAnsi="Times New Roman" w:eastAsia="Times New Roman" w:cs="Times New Roman"/>
          <w:b/>
          <w:i w:val="0"/>
          <w:sz w:val="26"/>
        </w:rPr>
        <w:t>giảm phương sai danh mục</w:t>
      </w:r>
      <w:r>
        <w:rPr>
          <w:rFonts w:ascii="Times New Roman" w:hAnsi="Times New Roman" w:eastAsia="Times New Roman" w:cs="Times New Roman"/>
          <w:b w:val="0"/>
          <w:i w:val="0"/>
          <w:sz w:val="26"/>
        </w:rPr>
        <w:t xml:space="preserve">; cổ tức và lượng tiền mặt lớn tạo đệm an toàn trong kịch bản tiêu cực. Nếu ở Bài tập tình huống 2 GAS bị thống trị, nhóm sẽ thay bằng </w:t>
      </w:r>
      <w:r>
        <w:rPr>
          <w:rFonts w:ascii="Times New Roman" w:hAnsi="Times New Roman" w:eastAsia="Times New Roman" w:cs="Times New Roman"/>
          <w:b/>
          <w:i w:val="0"/>
          <w:sz w:val="26"/>
        </w:rPr>
        <w:t>POW</w:t>
      </w:r>
      <w:r>
        <w:rPr>
          <w:rFonts w:ascii="Times New Roman" w:hAnsi="Times New Roman" w:eastAsia="Times New Roman" w:cs="Times New Roman"/>
          <w:b w:val="0"/>
          <w:i w:val="0"/>
          <w:sz w:val="26"/>
        </w:rPr>
        <w:t xml:space="preserve"> (LNTT 9 tháng gấp 2,3 lần cùng kỳ [38]).</w:t>
      </w:r>
    </w:p>
    <w:p>
      <w:pPr>
        <w:pStyle w:val="Heading2"/>
        <w:keepNext/>
        <w:spacing w:line="312" w:lineRule="auto" w:after="120" w:before="120"/>
        <w:jc w:val="left"/>
      </w:pPr>
      <w:r>
        <w:rPr>
          <w:rFonts w:ascii="Times New Roman" w:hAnsi="Times New Roman" w:eastAsia="Times New Roman" w:cs="Times New Roman"/>
          <w:b/>
          <w:i w:val="0"/>
          <w:sz w:val="26"/>
        </w:rPr>
        <w:t>2.5. Tổng hợp và kết luận</w:t>
      </w:r>
    </w:p>
    <w:p>
      <w:pPr>
        <w:keepNext/>
        <w:spacing w:line="312" w:lineRule="auto" w:after="40" w:before="120"/>
        <w:jc w:val="center"/>
      </w:pPr>
      <w:r>
        <w:drawing>
          <wp:inline xmlns:a="http://schemas.openxmlformats.org/drawingml/2006/main" xmlns:pic="http://schemas.openxmlformats.org/drawingml/2006/picture">
            <wp:extent cx="4140000" cy="2058216"/>
            <wp:docPr id="1" name="Picture 1"/>
            <wp:cNvGraphicFramePr>
              <a:graphicFrameLocks noChangeAspect="1"/>
            </wp:cNvGraphicFramePr>
            <a:graphic>
              <a:graphicData uri="http://schemas.openxmlformats.org/drawingml/2006/picture">
                <pic:pic>
                  <pic:nvPicPr>
                    <pic:cNvPr id="0" name="01_vung_gia_hop_ly.png"/>
                    <pic:cNvPicPr/>
                  </pic:nvPicPr>
                  <pic:blipFill>
                    <a:blip r:embed="rId11"/>
                    <a:stretch>
                      <a:fillRect/>
                    </a:stretch>
                  </pic:blipFill>
                  <pic:spPr>
                    <a:xfrm>
                      <a:off x="0" y="0"/>
                      <a:ext cx="4140000" cy="2058216"/>
                    </a:xfrm>
                    <a:prstGeom prst="rect"/>
                  </pic:spPr>
                </pic:pic>
              </a:graphicData>
            </a:graphic>
          </wp:inline>
        </w:drawing>
      </w:r>
    </w:p>
    <w:p>
      <w:pPr>
        <w:keepNext/>
        <w:spacing w:line="276" w:lineRule="auto" w:after="0" w:before="0"/>
        <w:jc w:val="center"/>
      </w:pPr>
      <w:r>
        <w:rPr>
          <w:rFonts w:ascii="Times New Roman" w:hAnsi="Times New Roman" w:eastAsia="Times New Roman" w:cs="Times New Roman"/>
          <w:b/>
          <w:i/>
          <w:sz w:val="26"/>
        </w:rPr>
        <w:t>Hình 2.1. Vùng giá hợp lý của MBB, MWG, GAS so với giá hiện tại</w:t>
      </w:r>
    </w:p>
    <w:p>
      <w:pPr>
        <w:spacing w:line="276" w:lineRule="auto" w:after="160" w:before="0"/>
        <w:jc w:val="center"/>
      </w:pPr>
      <w:r>
        <w:rPr>
          <w:rFonts w:ascii="Times New Roman" w:hAnsi="Times New Roman" w:eastAsia="Times New Roman" w:cs="Times New Roman"/>
          <w:b w:val="0"/>
          <w:i/>
          <w:sz w:val="22"/>
        </w:rPr>
        <w:t>Nguồn: Nhóm 7 tính toán.</w:t>
      </w:r>
    </w:p>
    <w:p>
      <w:pPr>
        <w:keepNext/>
        <w:spacing w:line="312" w:lineRule="auto" w:after="60" w:before="120"/>
        <w:jc w:val="left"/>
      </w:pPr>
      <w:r>
        <w:rPr>
          <w:rFonts w:ascii="Times New Roman" w:hAnsi="Times New Roman" w:eastAsia="Times New Roman" w:cs="Times New Roman"/>
          <w:b/>
          <w:i w:val="0"/>
          <w:sz w:val="26"/>
        </w:rPr>
        <w:t>Bảng 2-6. So sánh ba cổ phiếu được chọn</w:t>
      </w:r>
    </w:p>
    <w:tbl>
      <w:tblPr>
        <w:jc w:val="center"/>
        <w:tblLook w:firstColumn="1" w:firstRow="1" w:lastColumn="0" w:lastRow="0" w:noHBand="0" w:noVBand="1" w:val="04A0"/>
        <w:tblBorders>
          <w:top w:val="single" w:sz="8" w:color="000000"/>
          <w:bottom w:val="single" w:sz="8" w:color="000000"/>
          <w:insideH w:val="single" w:sz="2" w:color="BFBFBF"/>
        </w:tblBorders>
        <w:tblW w:w="9071" w:type="dxa"/>
        <w:tblLayout w:type="fixed"/>
      </w:tblPr>
      <w:tblGrid>
        <w:gridCol w:w="2268"/>
        <w:gridCol w:w="2268"/>
        <w:gridCol w:w="2268"/>
        <w:gridCol w:w="2268"/>
      </w:tblGrid>
      <w:tr>
        <w:trPr>
          <w:tblHeader w:val="true"/>
        </w:trPr>
        <w:tc>
          <w:tcPr>
            <w:tcW w:type="dxa" w:w="2268"/>
            <w:tcBorders>
              <w:bottom w:val="single" w:sz="6" w:color="000000"/>
            </w:tcBorders>
          </w:tcPr>
          <w:p>
            <w:pPr>
              <w:spacing w:line="240" w:lineRule="auto" w:after="20" w:before="20"/>
              <w:jc w:val="center"/>
            </w:pPr>
            <w:r>
              <w:rPr>
                <w:rFonts w:ascii="Times New Roman" w:hAnsi="Times New Roman" w:eastAsia="Times New Roman" w:cs="Times New Roman"/>
                <w:b/>
                <w:i w:val="0"/>
                <w:sz w:val="22"/>
              </w:rPr>
              <w:t>Tiêu chí</w:t>
            </w:r>
          </w:p>
        </w:tc>
        <w:tc>
          <w:tcPr>
            <w:tcW w:type="dxa" w:w="2268"/>
            <w:tcBorders>
              <w:bottom w:val="single" w:sz="6" w:color="000000"/>
            </w:tcBorders>
          </w:tcPr>
          <w:p>
            <w:pPr>
              <w:spacing w:line="240" w:lineRule="auto" w:after="20" w:before="20"/>
              <w:jc w:val="center"/>
            </w:pPr>
            <w:r>
              <w:rPr>
                <w:rFonts w:ascii="Times New Roman" w:hAnsi="Times New Roman" w:eastAsia="Times New Roman" w:cs="Times New Roman"/>
                <w:b/>
                <w:i w:val="0"/>
                <w:sz w:val="22"/>
              </w:rPr>
              <w:t>MBB</w:t>
            </w:r>
          </w:p>
        </w:tc>
        <w:tc>
          <w:tcPr>
            <w:tcW w:type="dxa" w:w="2268"/>
            <w:tcBorders>
              <w:bottom w:val="single" w:sz="6" w:color="000000"/>
            </w:tcBorders>
          </w:tcPr>
          <w:p>
            <w:pPr>
              <w:spacing w:line="240" w:lineRule="auto" w:after="20" w:before="20"/>
              <w:jc w:val="center"/>
            </w:pPr>
            <w:r>
              <w:rPr>
                <w:rFonts w:ascii="Times New Roman" w:hAnsi="Times New Roman" w:eastAsia="Times New Roman" w:cs="Times New Roman"/>
                <w:b/>
                <w:i w:val="0"/>
                <w:sz w:val="22"/>
              </w:rPr>
              <w:t>MWG</w:t>
            </w:r>
          </w:p>
        </w:tc>
        <w:tc>
          <w:tcPr>
            <w:tcW w:type="dxa" w:w="2268"/>
            <w:tcBorders>
              <w:bottom w:val="single" w:sz="6" w:color="000000"/>
            </w:tcBorders>
          </w:tcPr>
          <w:p>
            <w:pPr>
              <w:spacing w:line="240" w:lineRule="auto" w:after="20" w:before="20"/>
              <w:jc w:val="center"/>
            </w:pPr>
            <w:r>
              <w:rPr>
                <w:rFonts w:ascii="Times New Roman" w:hAnsi="Times New Roman" w:eastAsia="Times New Roman" w:cs="Times New Roman"/>
                <w:b/>
                <w:i w:val="0"/>
                <w:sz w:val="22"/>
              </w:rPr>
              <w:t>GAS</w:t>
            </w:r>
          </w:p>
        </w:tc>
      </w:tr>
      <w:tr>
        <w:tc>
          <w:tcPr>
            <w:tcW w:type="dxa" w:w="2268"/>
          </w:tcPr>
          <w:p>
            <w:pPr>
              <w:spacing w:line="240" w:lineRule="auto" w:after="20" w:before="20"/>
              <w:jc w:val="left"/>
            </w:pPr>
            <w:r>
              <w:rPr>
                <w:rFonts w:ascii="Times New Roman" w:hAnsi="Times New Roman" w:eastAsia="Times New Roman" w:cs="Times New Roman"/>
                <w:b w:val="0"/>
                <w:i w:val="0"/>
                <w:sz w:val="22"/>
              </w:rPr>
              <w:t>Giá 21–22/10/2026</w:t>
            </w:r>
          </w:p>
        </w:tc>
        <w:tc>
          <w:tcPr>
            <w:tcW w:type="dxa" w:w="2268"/>
          </w:tcPr>
          <w:p>
            <w:pPr>
              <w:spacing w:line="240" w:lineRule="auto" w:after="20" w:before="20"/>
              <w:jc w:val="left"/>
            </w:pPr>
            <w:r>
              <w:rPr>
                <w:rFonts w:ascii="Times New Roman" w:hAnsi="Times New Roman" w:eastAsia="Times New Roman" w:cs="Times New Roman"/>
                <w:b w:val="0"/>
                <w:i w:val="0"/>
                <w:sz w:val="22"/>
              </w:rPr>
              <w:t>19.850 đ</w:t>
            </w:r>
          </w:p>
        </w:tc>
        <w:tc>
          <w:tcPr>
            <w:tcW w:type="dxa" w:w="2268"/>
          </w:tcPr>
          <w:p>
            <w:pPr>
              <w:spacing w:line="240" w:lineRule="auto" w:after="20" w:before="20"/>
              <w:jc w:val="left"/>
            </w:pPr>
            <w:r>
              <w:rPr>
                <w:rFonts w:ascii="Times New Roman" w:hAnsi="Times New Roman" w:eastAsia="Times New Roman" w:cs="Times New Roman"/>
                <w:b w:val="0"/>
                <w:i w:val="0"/>
                <w:sz w:val="22"/>
              </w:rPr>
              <w:t>75.200 đ</w:t>
            </w:r>
          </w:p>
        </w:tc>
        <w:tc>
          <w:tcPr>
            <w:tcW w:type="dxa" w:w="2268"/>
          </w:tcPr>
          <w:p>
            <w:pPr>
              <w:spacing w:line="240" w:lineRule="auto" w:after="20" w:before="20"/>
              <w:jc w:val="left"/>
            </w:pPr>
            <w:r>
              <w:rPr>
                <w:rFonts w:ascii="Times New Roman" w:hAnsi="Times New Roman" w:eastAsia="Times New Roman" w:cs="Times New Roman"/>
                <w:b w:val="0"/>
                <w:i w:val="0"/>
                <w:sz w:val="22"/>
              </w:rPr>
              <w:t>76.500 đ</w:t>
            </w:r>
          </w:p>
        </w:tc>
      </w:tr>
      <w:tr>
        <w:tc>
          <w:tcPr>
            <w:tcW w:type="dxa" w:w="2268"/>
          </w:tcPr>
          <w:p>
            <w:pPr>
              <w:spacing w:line="240" w:lineRule="auto" w:after="20" w:before="20"/>
              <w:jc w:val="left"/>
            </w:pPr>
            <w:r>
              <w:rPr>
                <w:rFonts w:ascii="Times New Roman" w:hAnsi="Times New Roman" w:eastAsia="Times New Roman" w:cs="Times New Roman"/>
                <w:b w:val="0"/>
                <w:i w:val="0"/>
                <w:sz w:val="22"/>
              </w:rPr>
              <w:t>Tăng trưởng lợi nhuận</w:t>
            </w:r>
          </w:p>
        </w:tc>
        <w:tc>
          <w:tcPr>
            <w:tcW w:type="dxa" w:w="2268"/>
          </w:tcPr>
          <w:p>
            <w:pPr>
              <w:spacing w:line="240" w:lineRule="auto" w:after="20" w:before="20"/>
              <w:jc w:val="left"/>
            </w:pPr>
            <w:r>
              <w:rPr>
                <w:rFonts w:ascii="Times New Roman" w:hAnsi="Times New Roman" w:eastAsia="Times New Roman" w:cs="Times New Roman"/>
                <w:b w:val="0"/>
                <w:i w:val="0"/>
                <w:sz w:val="22"/>
              </w:rPr>
              <w:t>+27,1% (LNTT 6T)</w:t>
            </w:r>
          </w:p>
        </w:tc>
        <w:tc>
          <w:tcPr>
            <w:tcW w:type="dxa" w:w="2268"/>
          </w:tcPr>
          <w:p>
            <w:pPr>
              <w:spacing w:line="240" w:lineRule="auto" w:after="20" w:before="20"/>
              <w:jc w:val="left"/>
            </w:pPr>
            <w:r>
              <w:rPr>
                <w:rFonts w:ascii="Times New Roman" w:hAnsi="Times New Roman" w:eastAsia="Times New Roman" w:cs="Times New Roman"/>
                <w:b w:val="0"/>
                <w:i w:val="0"/>
                <w:sz w:val="22"/>
              </w:rPr>
              <w:t>+88% (LNST 6T)</w:t>
            </w:r>
          </w:p>
        </w:tc>
        <w:tc>
          <w:tcPr>
            <w:tcW w:type="dxa" w:w="2268"/>
          </w:tcPr>
          <w:p>
            <w:pPr>
              <w:spacing w:line="240" w:lineRule="auto" w:after="20" w:before="20"/>
              <w:jc w:val="left"/>
            </w:pPr>
            <w:r>
              <w:rPr>
                <w:rFonts w:ascii="Times New Roman" w:hAnsi="Times New Roman" w:eastAsia="Times New Roman" w:cs="Times New Roman"/>
                <w:b w:val="0"/>
                <w:i w:val="0"/>
                <w:sz w:val="22"/>
              </w:rPr>
              <w:t>+31% (LNTT 9T)</w:t>
            </w:r>
          </w:p>
        </w:tc>
      </w:tr>
      <w:tr>
        <w:tc>
          <w:tcPr>
            <w:tcW w:type="dxa" w:w="2268"/>
          </w:tcPr>
          <w:p>
            <w:pPr>
              <w:spacing w:line="240" w:lineRule="auto" w:after="20" w:before="20"/>
              <w:jc w:val="left"/>
            </w:pPr>
            <w:r>
              <w:rPr>
                <w:rFonts w:ascii="Times New Roman" w:hAnsi="Times New Roman" w:eastAsia="Times New Roman" w:cs="Times New Roman"/>
                <w:b w:val="0"/>
                <w:i w:val="0"/>
                <w:sz w:val="22"/>
              </w:rPr>
              <w:t>Định giá hiện tại</w:t>
            </w:r>
          </w:p>
        </w:tc>
        <w:tc>
          <w:tcPr>
            <w:tcW w:type="dxa" w:w="2268"/>
          </w:tcPr>
          <w:p>
            <w:pPr>
              <w:spacing w:line="240" w:lineRule="auto" w:after="20" w:before="20"/>
              <w:jc w:val="left"/>
            </w:pPr>
            <w:r>
              <w:rPr>
                <w:rFonts w:ascii="Times New Roman" w:hAnsi="Times New Roman" w:eastAsia="Times New Roman" w:cs="Times New Roman"/>
                <w:b w:val="0"/>
                <w:i w:val="0"/>
                <w:sz w:val="22"/>
              </w:rPr>
              <w:t>P/B 1,02; P/E 5–6</w:t>
            </w:r>
          </w:p>
        </w:tc>
        <w:tc>
          <w:tcPr>
            <w:tcW w:type="dxa" w:w="2268"/>
          </w:tcPr>
          <w:p>
            <w:pPr>
              <w:spacing w:line="240" w:lineRule="auto" w:after="20" w:before="20"/>
              <w:jc w:val="left"/>
            </w:pPr>
            <w:r>
              <w:rPr>
                <w:rFonts w:ascii="Times New Roman" w:hAnsi="Times New Roman" w:eastAsia="Times New Roman" w:cs="Times New Roman"/>
                <w:b w:val="0"/>
                <w:i w:val="0"/>
                <w:sz w:val="22"/>
              </w:rPr>
              <w:t>P/E dự phóng 12,5</w:t>
            </w:r>
          </w:p>
        </w:tc>
        <w:tc>
          <w:tcPr>
            <w:tcW w:type="dxa" w:w="2268"/>
          </w:tcPr>
          <w:p>
            <w:pPr>
              <w:spacing w:line="240" w:lineRule="auto" w:after="20" w:before="20"/>
              <w:jc w:val="left"/>
            </w:pPr>
            <w:r>
              <w:rPr>
                <w:rFonts w:ascii="Times New Roman" w:hAnsi="Times New Roman" w:eastAsia="Times New Roman" w:cs="Times New Roman"/>
                <w:b w:val="0"/>
                <w:i w:val="0"/>
                <w:sz w:val="22"/>
              </w:rPr>
              <w:t>P/E 14,3; P/B 2,3–2,9</w:t>
            </w:r>
          </w:p>
        </w:tc>
      </w:tr>
      <w:tr>
        <w:tc>
          <w:tcPr>
            <w:tcW w:type="dxa" w:w="2268"/>
          </w:tcPr>
          <w:p>
            <w:pPr>
              <w:spacing w:line="240" w:lineRule="auto" w:after="20" w:before="20"/>
              <w:jc w:val="left"/>
            </w:pPr>
            <w:r>
              <w:rPr>
                <w:rFonts w:ascii="Times New Roman" w:hAnsi="Times New Roman" w:eastAsia="Times New Roman" w:cs="Times New Roman"/>
                <w:b w:val="0"/>
                <w:i w:val="0"/>
                <w:sz w:val="22"/>
              </w:rPr>
              <w:t>Tỷ suất cổ tức tiền mặt</w:t>
            </w:r>
          </w:p>
        </w:tc>
        <w:tc>
          <w:tcPr>
            <w:tcW w:type="dxa" w:w="2268"/>
          </w:tcPr>
          <w:p>
            <w:pPr>
              <w:spacing w:line="240" w:lineRule="auto" w:after="20" w:before="20"/>
              <w:jc w:val="left"/>
            </w:pPr>
            <w:r>
              <w:rPr>
                <w:rFonts w:ascii="Times New Roman" w:hAnsi="Times New Roman" w:eastAsia="Times New Roman" w:cs="Times New Roman"/>
                <w:b w:val="0"/>
                <w:i w:val="0"/>
                <w:sz w:val="22"/>
              </w:rPr>
              <w:t>~5%</w:t>
            </w:r>
          </w:p>
        </w:tc>
        <w:tc>
          <w:tcPr>
            <w:tcW w:type="dxa" w:w="2268"/>
          </w:tcPr>
          <w:p>
            <w:pPr>
              <w:spacing w:line="240" w:lineRule="auto" w:after="20" w:before="20"/>
              <w:jc w:val="left"/>
            </w:pPr>
            <w:r>
              <w:rPr>
                <w:rFonts w:ascii="Times New Roman" w:hAnsi="Times New Roman" w:eastAsia="Times New Roman" w:cs="Times New Roman"/>
                <w:b w:val="0"/>
                <w:i w:val="0"/>
                <w:sz w:val="22"/>
              </w:rPr>
              <w:t>~2,7%</w:t>
            </w:r>
          </w:p>
        </w:tc>
        <w:tc>
          <w:tcPr>
            <w:tcW w:type="dxa" w:w="2268"/>
          </w:tcPr>
          <w:p>
            <w:pPr>
              <w:spacing w:line="240" w:lineRule="auto" w:after="20" w:before="20"/>
              <w:jc w:val="left"/>
            </w:pPr>
            <w:r>
              <w:rPr>
                <w:rFonts w:ascii="Times New Roman" w:hAnsi="Times New Roman" w:eastAsia="Times New Roman" w:cs="Times New Roman"/>
                <w:b w:val="0"/>
                <w:i w:val="0"/>
                <w:sz w:val="22"/>
              </w:rPr>
              <w:t>~3,3%</w:t>
            </w:r>
          </w:p>
        </w:tc>
      </w:tr>
      <w:tr>
        <w:tc>
          <w:tcPr>
            <w:tcW w:type="dxa" w:w="2268"/>
          </w:tcPr>
          <w:p>
            <w:pPr>
              <w:spacing w:line="240" w:lineRule="auto" w:after="20" w:before="20"/>
              <w:jc w:val="left"/>
            </w:pPr>
            <w:r>
              <w:rPr>
                <w:rFonts w:ascii="Times New Roman" w:hAnsi="Times New Roman" w:eastAsia="Times New Roman" w:cs="Times New Roman"/>
                <w:b w:val="0"/>
                <w:i w:val="0"/>
                <w:sz w:val="22"/>
              </w:rPr>
              <w:t>Giá hợp lý / tiềm năng</w:t>
            </w:r>
          </w:p>
        </w:tc>
        <w:tc>
          <w:tcPr>
            <w:tcW w:type="dxa" w:w="2268"/>
          </w:tcPr>
          <w:p>
            <w:pPr>
              <w:spacing w:line="240" w:lineRule="auto" w:after="20" w:before="20"/>
              <w:jc w:val="left"/>
            </w:pPr>
            <w:r>
              <w:rPr>
                <w:rFonts w:ascii="Times New Roman" w:hAnsi="Times New Roman" w:eastAsia="Times New Roman" w:cs="Times New Roman"/>
                <w:b w:val="0"/>
                <w:i w:val="0"/>
                <w:sz w:val="22"/>
              </w:rPr>
              <w:t>25.000 đ / +26%</w:t>
            </w:r>
          </w:p>
        </w:tc>
        <w:tc>
          <w:tcPr>
            <w:tcW w:type="dxa" w:w="2268"/>
          </w:tcPr>
          <w:p>
            <w:pPr>
              <w:spacing w:line="240" w:lineRule="auto" w:after="20" w:before="20"/>
              <w:jc w:val="left"/>
            </w:pPr>
            <w:r>
              <w:rPr>
                <w:rFonts w:ascii="Times New Roman" w:hAnsi="Times New Roman" w:eastAsia="Times New Roman" w:cs="Times New Roman"/>
                <w:b w:val="0"/>
                <w:i w:val="0"/>
                <w:sz w:val="22"/>
              </w:rPr>
              <w:t>90.000 đ / +20%</w:t>
            </w:r>
          </w:p>
        </w:tc>
        <w:tc>
          <w:tcPr>
            <w:tcW w:type="dxa" w:w="2268"/>
          </w:tcPr>
          <w:p>
            <w:pPr>
              <w:spacing w:line="240" w:lineRule="auto" w:after="20" w:before="20"/>
              <w:jc w:val="left"/>
            </w:pPr>
            <w:r>
              <w:rPr>
                <w:rFonts w:ascii="Times New Roman" w:hAnsi="Times New Roman" w:eastAsia="Times New Roman" w:cs="Times New Roman"/>
                <w:b w:val="0"/>
                <w:i w:val="0"/>
                <w:sz w:val="22"/>
              </w:rPr>
              <w:t>78.400 đ / +2%</w:t>
            </w:r>
          </w:p>
        </w:tc>
      </w:tr>
      <w:tr>
        <w:tc>
          <w:tcPr>
            <w:tcW w:type="dxa" w:w="2268"/>
          </w:tcPr>
          <w:p>
            <w:pPr>
              <w:spacing w:line="240" w:lineRule="auto" w:after="20" w:before="20"/>
              <w:jc w:val="left"/>
            </w:pPr>
            <w:r>
              <w:rPr>
                <w:rFonts w:ascii="Times New Roman" w:hAnsi="Times New Roman" w:eastAsia="Times New Roman" w:cs="Times New Roman"/>
                <w:b w:val="0"/>
                <w:i w:val="0"/>
                <w:sz w:val="22"/>
              </w:rPr>
              <w:t>Rủi ro lớn nhất</w:t>
            </w:r>
          </w:p>
        </w:tc>
        <w:tc>
          <w:tcPr>
            <w:tcW w:type="dxa" w:w="2268"/>
          </w:tcPr>
          <w:p>
            <w:pPr>
              <w:spacing w:line="240" w:lineRule="auto" w:after="20" w:before="20"/>
              <w:jc w:val="left"/>
            </w:pPr>
            <w:r>
              <w:rPr>
                <w:rFonts w:ascii="Times New Roman" w:hAnsi="Times New Roman" w:eastAsia="Times New Roman" w:cs="Times New Roman"/>
                <w:b w:val="0"/>
                <w:i w:val="0"/>
                <w:sz w:val="22"/>
              </w:rPr>
              <w:t>Nợ nhóm 5, NIM</w:t>
            </w:r>
          </w:p>
        </w:tc>
        <w:tc>
          <w:tcPr>
            <w:tcW w:type="dxa" w:w="2268"/>
          </w:tcPr>
          <w:p>
            <w:pPr>
              <w:spacing w:line="240" w:lineRule="auto" w:after="20" w:before="20"/>
              <w:jc w:val="left"/>
            </w:pPr>
            <w:r>
              <w:rPr>
                <w:rFonts w:ascii="Times New Roman" w:hAnsi="Times New Roman" w:eastAsia="Times New Roman" w:cs="Times New Roman"/>
                <w:b w:val="0"/>
                <w:i w:val="0"/>
                <w:sz w:val="22"/>
              </w:rPr>
              <w:t>Lợi nhuận 2027 chững</w:t>
            </w:r>
          </w:p>
        </w:tc>
        <w:tc>
          <w:tcPr>
            <w:tcW w:type="dxa" w:w="2268"/>
          </w:tcPr>
          <w:p>
            <w:pPr>
              <w:spacing w:line="240" w:lineRule="auto" w:after="20" w:before="20"/>
              <w:jc w:val="left"/>
            </w:pPr>
            <w:r>
              <w:rPr>
                <w:rFonts w:ascii="Times New Roman" w:hAnsi="Times New Roman" w:eastAsia="Times New Roman" w:cs="Times New Roman"/>
                <w:b w:val="0"/>
                <w:i w:val="0"/>
                <w:sz w:val="22"/>
              </w:rPr>
              <w:t>Giá dầu, tư cách đại chúng</w:t>
            </w:r>
          </w:p>
        </w:tc>
      </w:tr>
    </w:tbl>
    <w:p>
      <w:pPr>
        <w:spacing w:line="276" w:lineRule="auto" w:after="160" w:before="0"/>
        <w:jc w:val="left"/>
      </w:pPr>
      <w:r>
        <w:rPr>
          <w:rFonts w:ascii="Times New Roman" w:hAnsi="Times New Roman" w:eastAsia="Times New Roman" w:cs="Times New Roman"/>
          <w:b w:val="0"/>
          <w:i/>
          <w:sz w:val="22"/>
        </w:rPr>
        <w:t>Nguồn:</w:t>
      </w:r>
      <w:r>
        <w:rPr>
          <w:rFonts w:ascii="Times New Roman" w:hAnsi="Times New Roman" w:eastAsia="Times New Roman" w:cs="Times New Roman"/>
          <w:b w:val="0"/>
          <w:i w:val="0"/>
          <w:sz w:val="22"/>
        </w:rPr>
        <w:t xml:space="preserve"> Nhóm 7 tổng hợp và tính toán.</w:t>
      </w:r>
    </w:p>
    <w:p>
      <w:pPr>
        <w:spacing w:line="312" w:lineRule="auto" w:after="120" w:before="0"/>
        <w:ind w:firstLine="720"/>
        <w:jc w:val="both"/>
      </w:pPr>
      <w:r>
        <w:rPr>
          <w:rFonts w:ascii="Times New Roman" w:hAnsi="Times New Roman" w:eastAsia="Times New Roman" w:cs="Times New Roman"/>
          <w:b w:val="0"/>
          <w:i w:val="0"/>
          <w:sz w:val="26"/>
        </w:rPr>
        <w:t>Ba cổ phiếu thuộc ba ngành khác nhau, đều có lợi nhuận 2026 tăng trưởng hai chữ số và giá không trong xu hướng giảm kéo dài. MBB và MWG mang lại tiềm năng tăng giá; GAS giữ vai trò giảm rủi ro. Trong 1 tháng, nhóm kỳ vọng giá thu hẹp một phần khoảng cách tới mức hợp lý nhờ các chất xúc tác ở mục 1.2.1. Khuyến nghị thực hiện:</w:t>
      </w:r>
    </w:p>
    <w:p>
      <w:pPr>
        <w:tabs>
          <w:tab w:pos="1077" w:val="left"/>
        </w:tabs>
        <w:spacing w:line="312" w:lineRule="auto" w:after="60" w:before="0"/>
        <w:ind w:hanging="357" w:left="1077"/>
        <w:jc w:val="both"/>
      </w:pPr>
      <w:r>
        <w:rPr>
          <w:rFonts w:ascii="Times New Roman" w:hAnsi="Times New Roman" w:eastAsia="Times New Roman" w:cs="Times New Roman"/>
          <w:b w:val="0"/>
          <w:i w:val="0"/>
          <w:sz w:val="26"/>
        </w:rPr>
        <w:t>a)</w:t>
        <w:tab/>
        <w:t>Giải ngân theo tỷ trọng sơ bộ 40/35/25, chia 2 lần: 60% đầu kỳ, 40% sau khi MBB và MWG công bố báo cáo tài chính quý III.</w:t>
      </w:r>
    </w:p>
    <w:p>
      <w:pPr>
        <w:tabs>
          <w:tab w:pos="1077" w:val="left"/>
        </w:tabs>
        <w:spacing w:line="312" w:lineRule="auto" w:after="60" w:before="0"/>
        <w:ind w:hanging="357" w:left="1077"/>
        <w:jc w:val="both"/>
      </w:pPr>
      <w:r>
        <w:rPr>
          <w:rFonts w:ascii="Times New Roman" w:hAnsi="Times New Roman" w:eastAsia="Times New Roman" w:cs="Times New Roman"/>
          <w:b w:val="0"/>
          <w:i w:val="0"/>
          <w:sz w:val="26"/>
        </w:rPr>
        <w:t>b)</w:t>
        <w:tab/>
        <w:t>Cắt lỗ một mã nếu giảm quá 8% so với giá mua; bán GAS nếu có quyết định hủy tư cách công ty đại chúng.</w:t>
      </w:r>
    </w:p>
    <w:p>
      <w:pPr>
        <w:tabs>
          <w:tab w:pos="1077" w:val="left"/>
        </w:tabs>
        <w:spacing w:line="312" w:lineRule="auto" w:after="60" w:before="0"/>
        <w:ind w:hanging="357" w:left="1077"/>
        <w:jc w:val="both"/>
      </w:pPr>
      <w:r>
        <w:rPr>
          <w:rFonts w:ascii="Times New Roman" w:hAnsi="Times New Roman" w:eastAsia="Times New Roman" w:cs="Times New Roman"/>
          <w:b w:val="0"/>
          <w:i w:val="0"/>
          <w:sz w:val="26"/>
        </w:rPr>
        <w:t>c)</w:t>
        <w:tab/>
        <w:t>Nếu CPI tháng 10 vượt 5,5%, giảm tỷ trọng MWG và tăng GAS.</w:t>
      </w:r>
    </w:p>
    <w:p>
      <w:pPr>
        <w:spacing w:line="312" w:lineRule="auto" w:after="120" w:before="0"/>
        <w:ind w:firstLine="720"/>
        <w:jc w:val="both"/>
      </w:pPr>
      <w:r>
        <w:rPr>
          <w:rFonts w:ascii="Times New Roman" w:hAnsi="Times New Roman" w:eastAsia="Times New Roman" w:cs="Times New Roman"/>
          <w:b/>
          <w:i w:val="0"/>
          <w:sz w:val="26"/>
        </w:rPr>
        <w:t>Giới hạn:</w:t>
      </w:r>
      <w:r>
        <w:rPr>
          <w:rFonts w:ascii="Times New Roman" w:hAnsi="Times New Roman" w:eastAsia="Times New Roman" w:cs="Times New Roman"/>
          <w:b w:val="0"/>
          <w:i w:val="0"/>
          <w:sz w:val="26"/>
        </w:rPr>
        <w:t xml:space="preserve"> nhiều số liệu quý III/2026 là số ước tính công bố trước báo cáo tài chính chính thức; hệ số β và phần bù rủi ro 8% là giả định, giá trị hợp lý thay đổi đáng kể khi k thay đổi (nhất là với GAS).</w:t>
      </w:r>
    </w:p>
    <w:p>
      <w:r>
        <w:br w:type="page"/>
      </w:r>
    </w:p>
    <w:p>
      <w:pPr>
        <w:pStyle w:val="Heading1"/>
        <w:keepNext/>
        <w:spacing w:line="312" w:lineRule="auto" w:after="240" w:before="0"/>
        <w:jc w:val="center"/>
      </w:pPr>
      <w:r>
        <w:rPr>
          <w:rFonts w:ascii="Times New Roman" w:hAnsi="Times New Roman" w:eastAsia="Times New Roman" w:cs="Times New Roman"/>
          <w:b/>
          <w:i w:val="0"/>
          <w:sz w:val="28"/>
        </w:rPr>
        <w:t>TÀI LIỆU THAM KHẢO</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w:t>
        <w:tab/>
        <w:t xml:space="preserve">Cục Thống kê. (2026, 3 tháng 10). </w:t>
      </w:r>
      <w:r>
        <w:rPr>
          <w:rFonts w:ascii="Times New Roman" w:hAnsi="Times New Roman" w:eastAsia="Times New Roman" w:cs="Times New Roman"/>
          <w:b w:val="0"/>
          <w:i/>
          <w:sz w:val="24"/>
        </w:rPr>
        <w:t>Một số nét chính tình hình kinh tế – xã hội quý III và 9 tháng năm 2026</w:t>
      </w:r>
      <w:r>
        <w:rPr>
          <w:rFonts w:ascii="Times New Roman" w:hAnsi="Times New Roman" w:eastAsia="Times New Roman" w:cs="Times New Roman"/>
          <w:b w:val="0"/>
          <w:i w:val="0"/>
          <w:sz w:val="24"/>
        </w:rPr>
        <w:t>. https://www.nso.gov.vn/bai-top/2026/10/mot-so-net-chinh-tinh-hinh-kinh-te-xa-hoi-quy-iii-va-9-thang-nam-2026/</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w:t>
        <w:tab/>
        <w:t xml:space="preserve">VT Markets. (2026). </w:t>
      </w:r>
      <w:r>
        <w:rPr>
          <w:rFonts w:ascii="Times New Roman" w:hAnsi="Times New Roman" w:eastAsia="Times New Roman" w:cs="Times New Roman"/>
          <w:b w:val="0"/>
          <w:i/>
          <w:sz w:val="24"/>
        </w:rPr>
        <w:t>Vietnam Q3 GDP growth hits post-pandemic high as inflation rises, limiting central bank easing</w:t>
      </w:r>
      <w:r>
        <w:rPr>
          <w:rFonts w:ascii="Times New Roman" w:hAnsi="Times New Roman" w:eastAsia="Times New Roman" w:cs="Times New Roman"/>
          <w:b w:val="0"/>
          <w:i w:val="0"/>
          <w:sz w:val="24"/>
        </w:rPr>
        <w:t>. https://www.vtmarkets.com/en-eu/live-updates/vietnam-q3-gdp-growth-hits-post-pandemic-high-as-inflation-rises-limiting-central-bank-easing/</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w:t>
        <w:tab/>
        <w:t xml:space="preserve">FXStreet. (2026, 7 tháng 10). </w:t>
      </w:r>
      <w:r>
        <w:rPr>
          <w:rFonts w:ascii="Times New Roman" w:hAnsi="Times New Roman" w:eastAsia="Times New Roman" w:cs="Times New Roman"/>
          <w:b w:val="0"/>
          <w:i/>
          <w:sz w:val="24"/>
        </w:rPr>
        <w:t>Vietnam: Strong GDP but rising inflation risks – Commerzbank</w:t>
      </w:r>
      <w:r>
        <w:rPr>
          <w:rFonts w:ascii="Times New Roman" w:hAnsi="Times New Roman" w:eastAsia="Times New Roman" w:cs="Times New Roman"/>
          <w:b w:val="0"/>
          <w:i w:val="0"/>
          <w:sz w:val="24"/>
        </w:rPr>
        <w:t>. https://www.fxstreet.com/news/vietnam-strong-gdp-but-rising-inflation-risks-commerzbank-202610071518</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[4]</w:t>
        <w:tab/>
        <w:t xml:space="preserve">Trading Economics. (2026). </w:t>
      </w:r>
      <w:r>
        <w:rPr>
          <w:rFonts w:ascii="Times New Roman" w:hAnsi="Times New Roman" w:eastAsia="Times New Roman" w:cs="Times New Roman"/>
          <w:b w:val="0"/>
          <w:i/>
          <w:sz w:val="24"/>
        </w:rPr>
        <w:t>Vietnam interest rate</w:t>
      </w:r>
      <w:r>
        <w:rPr>
          <w:rFonts w:ascii="Times New Roman" w:hAnsi="Times New Roman" w:eastAsia="Times New Roman" w:cs="Times New Roman"/>
          <w:b w:val="0"/>
          <w:i w:val="0"/>
          <w:sz w:val="24"/>
        </w:rPr>
        <w:t>. https://tradingeconomics.com/vietnam/interest-rate</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[5]</w:t>
        <w:tab/>
        <w:t xml:space="preserve">Tạp chí Kinh tế Tài chính. (2026). </w:t>
      </w:r>
      <w:r>
        <w:rPr>
          <w:rFonts w:ascii="Times New Roman" w:hAnsi="Times New Roman" w:eastAsia="Times New Roman" w:cs="Times New Roman"/>
          <w:b w:val="0"/>
          <w:i/>
          <w:sz w:val="24"/>
        </w:rPr>
        <w:t>Tháng 7/2026 huy động 18.603 tỷ đồng trái phiếu Chính phủ qua đấu thầu</w:t>
      </w:r>
      <w:r>
        <w:rPr>
          <w:rFonts w:ascii="Times New Roman" w:hAnsi="Times New Roman" w:eastAsia="Times New Roman" w:cs="Times New Roman"/>
          <w:b w:val="0"/>
          <w:i w:val="0"/>
          <w:sz w:val="24"/>
        </w:rPr>
        <w:t>. https://tapchikinhtetaichinh.vn/thang-7-2026-huy-dong-18-603-ty-dong-trai-phieu-chinh-phu-qua-dau-thau-164137.html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[6]</w:t>
        <w:tab/>
        <w:t xml:space="preserve">VietnamFinance. (2026). </w:t>
      </w:r>
      <w:r>
        <w:rPr>
          <w:rFonts w:ascii="Times New Roman" w:hAnsi="Times New Roman" w:eastAsia="Times New Roman" w:cs="Times New Roman"/>
          <w:b w:val="0"/>
          <w:i/>
          <w:sz w:val="24"/>
        </w:rPr>
        <w:t>Tăng trưởng tín dụng 2026 có thể đạt 18%, lãi suất không còn đi ngang</w:t>
      </w:r>
      <w:r>
        <w:rPr>
          <w:rFonts w:ascii="Times New Roman" w:hAnsi="Times New Roman" w:eastAsia="Times New Roman" w:cs="Times New Roman"/>
          <w:b w:val="0"/>
          <w:i w:val="0"/>
          <w:sz w:val="24"/>
        </w:rPr>
        <w:t>. https://vietnamfinance.vn/tang-truong-tin-dung-2026-co-the-dat-18-lai-suat-khong-con-di-ngang-d139109.html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[7]</w:t>
        <w:tab/>
        <w:t xml:space="preserve">VietnamPlus. (2026, 23 tháng 10). </w:t>
      </w:r>
      <w:r>
        <w:rPr>
          <w:rFonts w:ascii="Times New Roman" w:hAnsi="Times New Roman" w:eastAsia="Times New Roman" w:cs="Times New Roman"/>
          <w:b w:val="0"/>
          <w:i/>
          <w:sz w:val="24"/>
        </w:rPr>
        <w:t>Reference exchange rate continues going down on October 23</w:t>
      </w:r>
      <w:r>
        <w:rPr>
          <w:rFonts w:ascii="Times New Roman" w:hAnsi="Times New Roman" w:eastAsia="Times New Roman" w:cs="Times New Roman"/>
          <w:b w:val="0"/>
          <w:i w:val="0"/>
          <w:sz w:val="24"/>
        </w:rPr>
        <w:t>. https://en.vietnamplus.vn/reference-exchange-rate-continues-going-down-on-october-23-post354181.vnp</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[8]</w:t>
        <w:tab/>
        <w:t xml:space="preserve">VietnamPlus. (2026). </w:t>
      </w:r>
      <w:r>
        <w:rPr>
          <w:rFonts w:ascii="Times New Roman" w:hAnsi="Times New Roman" w:eastAsia="Times New Roman" w:cs="Times New Roman"/>
          <w:b w:val="0"/>
          <w:i/>
          <w:sz w:val="24"/>
        </w:rPr>
        <w:t>Lending rates cut by up to 3%, to lower borrowing costs for businesses and priority sectors</w:t>
      </w:r>
      <w:r>
        <w:rPr>
          <w:rFonts w:ascii="Times New Roman" w:hAnsi="Times New Roman" w:eastAsia="Times New Roman" w:cs="Times New Roman"/>
          <w:b w:val="0"/>
          <w:i w:val="0"/>
          <w:sz w:val="24"/>
        </w:rPr>
        <w:t>. https://en.vietnamplus.vn/lending-rates-cut-by-up-to-3-to-lower-borrowing-costs-for-businesses-and-priority-sectors-post354078.vnp</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[9]</w:t>
        <w:tab/>
        <w:t xml:space="preserve">CEIC. (2026). </w:t>
      </w:r>
      <w:r>
        <w:rPr>
          <w:rFonts w:ascii="Times New Roman" w:hAnsi="Times New Roman" w:eastAsia="Times New Roman" w:cs="Times New Roman"/>
          <w:b w:val="0"/>
          <w:i/>
          <w:sz w:val="24"/>
        </w:rPr>
        <w:t>State Bank of Vietnam: VNIBOR: Interbank: VND: Overnight</w:t>
      </w:r>
      <w:r>
        <w:rPr>
          <w:rFonts w:ascii="Times New Roman" w:hAnsi="Times New Roman" w:eastAsia="Times New Roman" w:cs="Times New Roman"/>
          <w:b w:val="0"/>
          <w:i w:val="0"/>
          <w:sz w:val="24"/>
        </w:rPr>
        <w:t>. https://www.ceicdata.com/en/vietnam/vietnam-interbank-offered-rate/state-bank-of-vietnam-vnibor-interbank-vnd-overnight</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[10]</w:t>
        <w:tab/>
        <w:t xml:space="preserve">Thị trường Tài chính Tiền tệ. (2026). </w:t>
      </w:r>
      <w:r>
        <w:rPr>
          <w:rFonts w:ascii="Times New Roman" w:hAnsi="Times New Roman" w:eastAsia="Times New Roman" w:cs="Times New Roman"/>
          <w:b w:val="0"/>
          <w:i/>
          <w:sz w:val="24"/>
        </w:rPr>
        <w:t>EIA nâng dự báo giá dầu 2026 nhưng kỳ vọng dầu Brent giảm về 84 USD/thùng năm 2027</w:t>
      </w:r>
      <w:r>
        <w:rPr>
          <w:rFonts w:ascii="Times New Roman" w:hAnsi="Times New Roman" w:eastAsia="Times New Roman" w:cs="Times New Roman"/>
          <w:b w:val="0"/>
          <w:i w:val="0"/>
          <w:sz w:val="24"/>
        </w:rPr>
        <w:t>. https://thitruongtaichinhtiente.vn/eia-nang-du-bao-gia-dau-2026-nhung-ky-vong-dau-brent-giam-ve-84-usd-thung-nam-2027-86120.html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[11]</w:t>
        <w:tab/>
        <w:t xml:space="preserve">Báo Nhân Dân. (2026, 22 tháng 10). </w:t>
      </w:r>
      <w:r>
        <w:rPr>
          <w:rFonts w:ascii="Times New Roman" w:hAnsi="Times New Roman" w:eastAsia="Times New Roman" w:cs="Times New Roman"/>
          <w:b w:val="0"/>
          <w:i/>
          <w:sz w:val="24"/>
        </w:rPr>
        <w:t>Infographic: VN-Index up 1.26% on October 22</w:t>
      </w:r>
      <w:r>
        <w:rPr>
          <w:rFonts w:ascii="Times New Roman" w:hAnsi="Times New Roman" w:eastAsia="Times New Roman" w:cs="Times New Roman"/>
          <w:b w:val="0"/>
          <w:i w:val="0"/>
          <w:sz w:val="24"/>
        </w:rPr>
        <w:t>. https://en.nhandan.vn/infographic-vn-index-up-126-on-october-22-post168101.html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[12]</w:t>
        <w:tab/>
        <w:t xml:space="preserve">Vietnam.vn. (2026, 14 tháng 10). </w:t>
      </w:r>
      <w:r>
        <w:rPr>
          <w:rFonts w:ascii="Times New Roman" w:hAnsi="Times New Roman" w:eastAsia="Times New Roman" w:cs="Times New Roman"/>
          <w:b w:val="0"/>
          <w:i/>
          <w:sz w:val="24"/>
        </w:rPr>
        <w:t>Chứng khoán hôm nay 14/10/2026: VN-Index tiếp tục giảm về vùng 1.700 điểm</w:t>
      </w:r>
      <w:r>
        <w:rPr>
          <w:rFonts w:ascii="Times New Roman" w:hAnsi="Times New Roman" w:eastAsia="Times New Roman" w:cs="Times New Roman"/>
          <w:b w:val="0"/>
          <w:i w:val="0"/>
          <w:sz w:val="24"/>
        </w:rPr>
        <w:t>. https://www.vietnam.vn/en/chung-khoan-hom-nay-14-10-2026-vn-index-tiep-tuc-giam-ve-vung-1-700-diem</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[13]</w:t>
        <w:tab/>
        <w:t xml:space="preserve">Tuổi Trẻ. (2026). </w:t>
      </w:r>
      <w:r>
        <w:rPr>
          <w:rFonts w:ascii="Times New Roman" w:hAnsi="Times New Roman" w:eastAsia="Times New Roman" w:cs="Times New Roman"/>
          <w:b w:val="0"/>
          <w:i/>
          <w:sz w:val="24"/>
        </w:rPr>
        <w:t>VN-Index biến động mạnh: Tại sao thị trường chứng khoán như tàu lượn năm 2026?</w:t>
      </w:r>
      <w:r>
        <w:rPr>
          <w:rFonts w:ascii="Times New Roman" w:hAnsi="Times New Roman" w:eastAsia="Times New Roman" w:cs="Times New Roman"/>
          <w:b w:val="0"/>
          <w:i w:val="0"/>
          <w:sz w:val="24"/>
        </w:rPr>
        <w:t xml:space="preserve"> https://tuoitre.vn/sang-giam-gan-50-diem-chieu-bat-tang-vn-index-tau-luon-vi-dau-100260716225550451.htm</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[14]</w:t>
        <w:tab/>
        <w:t xml:space="preserve">Tạp chí Kinh tế Tài chính. (2026). </w:t>
      </w:r>
      <w:r>
        <w:rPr>
          <w:rFonts w:ascii="Times New Roman" w:hAnsi="Times New Roman" w:eastAsia="Times New Roman" w:cs="Times New Roman"/>
          <w:b w:val="0"/>
          <w:i/>
          <w:sz w:val="24"/>
        </w:rPr>
        <w:t>VN-Index hướng về đỉnh cũ trong nửa cuối năm 2026</w:t>
      </w:r>
      <w:r>
        <w:rPr>
          <w:rFonts w:ascii="Times New Roman" w:hAnsi="Times New Roman" w:eastAsia="Times New Roman" w:cs="Times New Roman"/>
          <w:b w:val="0"/>
          <w:i w:val="0"/>
          <w:sz w:val="24"/>
        </w:rPr>
        <w:t>. https://tapchikinhtetaichinh.vn/vn-index-huong-ve-dinh-cu-trong-nua-cuoi-nam-2026-163653.html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[15]</w:t>
        <w:tab/>
        <w:t xml:space="preserve">Mondaq. (2026). </w:t>
      </w:r>
      <w:r>
        <w:rPr>
          <w:rFonts w:ascii="Times New Roman" w:hAnsi="Times New Roman" w:eastAsia="Times New Roman" w:cs="Times New Roman"/>
          <w:b w:val="0"/>
          <w:i/>
          <w:sz w:val="24"/>
        </w:rPr>
        <w:t>Vietnam is now an emerging market: What exactly changes for foreign investors</w:t>
      </w:r>
      <w:r>
        <w:rPr>
          <w:rFonts w:ascii="Times New Roman" w:hAnsi="Times New Roman" w:eastAsia="Times New Roman" w:cs="Times New Roman"/>
          <w:b w:val="0"/>
          <w:i w:val="0"/>
          <w:sz w:val="24"/>
        </w:rPr>
        <w:t>. https://www.mondaq.com/financial-services/1853862/vietnam-is-now-an-emerging-market-what-exactly-changes-for-foreign-investors</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[16]</w:t>
        <w:tab/>
        <w:t xml:space="preserve">Vietnam News. (2025). </w:t>
      </w:r>
      <w:r>
        <w:rPr>
          <w:rFonts w:ascii="Times New Roman" w:hAnsi="Times New Roman" w:eastAsia="Times New Roman" w:cs="Times New Roman"/>
          <w:b w:val="0"/>
          <w:i/>
          <w:sz w:val="24"/>
        </w:rPr>
        <w:t>FTSE Russell upgrades Việt Nam to secondary emerging market status</w:t>
      </w:r>
      <w:r>
        <w:rPr>
          <w:rFonts w:ascii="Times New Roman" w:hAnsi="Times New Roman" w:eastAsia="Times New Roman" w:cs="Times New Roman"/>
          <w:b w:val="0"/>
          <w:i w:val="0"/>
          <w:sz w:val="24"/>
        </w:rPr>
        <w:t>. https://vietnamnews.vn/economy/1726818/ftse-russell-upgrades-viet-nam-to-secondary-emerging-market-status.html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[17]</w:t>
        <w:tab/>
        <w:t xml:space="preserve">Tin nhanh Chứng khoán. (2026). </w:t>
      </w:r>
      <w:r>
        <w:rPr>
          <w:rFonts w:ascii="Times New Roman" w:hAnsi="Times New Roman" w:eastAsia="Times New Roman" w:cs="Times New Roman"/>
          <w:b w:val="0"/>
          <w:i/>
          <w:sz w:val="24"/>
        </w:rPr>
        <w:t>MB lãi hơn 20.188 tỷ đồng sau 6 tháng đầu năm 2026, tăng hơn 27% so với cùng kỳ</w:t>
      </w:r>
      <w:r>
        <w:rPr>
          <w:rFonts w:ascii="Times New Roman" w:hAnsi="Times New Roman" w:eastAsia="Times New Roman" w:cs="Times New Roman"/>
          <w:b w:val="0"/>
          <w:i w:val="0"/>
          <w:sz w:val="24"/>
        </w:rPr>
        <w:t>. https://www.tinnhanhchungkhoan.vn/mb-lai-hon-20188-ty-dong-sau-6-thang-dau-nam-2026-tang-hon-27-so-voi-cung-ky-post395064.html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[18]</w:t>
        <w:tab/>
        <w:t xml:space="preserve">ABS Research. (2026, tháng 3). </w:t>
      </w:r>
      <w:r>
        <w:rPr>
          <w:rFonts w:ascii="Times New Roman" w:hAnsi="Times New Roman" w:eastAsia="Times New Roman" w:cs="Times New Roman"/>
          <w:b w:val="0"/>
          <w:i/>
          <w:sz w:val="24"/>
        </w:rPr>
        <w:t>Báo cáo cập nhật MBB</w:t>
      </w:r>
      <w:r>
        <w:rPr>
          <w:rFonts w:ascii="Times New Roman" w:hAnsi="Times New Roman" w:eastAsia="Times New Roman" w:cs="Times New Roman"/>
          <w:b w:val="0"/>
          <w:i w:val="0"/>
          <w:sz w:val="24"/>
        </w:rPr>
        <w:t>. https://www.abs.vn/wp-content/uploads/2026/03/MBB_260302_Note-1.pdf</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[19]</w:t>
        <w:tab/>
        <w:t xml:space="preserve">VnBusiness. (2026). </w:t>
      </w:r>
      <w:r>
        <w:rPr>
          <w:rFonts w:ascii="Times New Roman" w:hAnsi="Times New Roman" w:eastAsia="Times New Roman" w:cs="Times New Roman"/>
          <w:b w:val="0"/>
          <w:i/>
          <w:sz w:val="24"/>
        </w:rPr>
        <w:t>Kiểm toán Nhà nước "bóc tách" sai lệch tại MB</w:t>
      </w:r>
      <w:r>
        <w:rPr>
          <w:rFonts w:ascii="Times New Roman" w:hAnsi="Times New Roman" w:eastAsia="Times New Roman" w:cs="Times New Roman"/>
          <w:b w:val="0"/>
          <w:i w:val="0"/>
          <w:sz w:val="24"/>
        </w:rPr>
        <w:t>. https://vnbusiness.vn/kiem-toan-nha-nuoc-boc-tach-sai-lech-tai-mb-no-co-kha-nang-mat-von-phinh-to-lo-loat-chi-tieu-sai-quy-dinh.html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[20]</w:t>
        <w:tab/>
        <w:t xml:space="preserve">FUNAN Research. (2026, tháng 10). </w:t>
      </w:r>
      <w:r>
        <w:rPr>
          <w:rFonts w:ascii="Times New Roman" w:hAnsi="Times New Roman" w:eastAsia="Times New Roman" w:cs="Times New Roman"/>
          <w:b w:val="0"/>
          <w:i/>
          <w:sz w:val="24"/>
        </w:rPr>
        <w:t>Company report – Military Commercial Joint Stock Bank (MBB)</w:t>
      </w:r>
      <w:r>
        <w:rPr>
          <w:rFonts w:ascii="Times New Roman" w:hAnsi="Times New Roman" w:eastAsia="Times New Roman" w:cs="Times New Roman"/>
          <w:b w:val="0"/>
          <w:i w:val="0"/>
          <w:sz w:val="24"/>
        </w:rPr>
        <w:t>. https://funan.com.vn/upload/media/LocalNews/09102026/Company%20Report%20-%20Military%20Commercial%20Joint%20Stock%20Bank%20(MBB).pdf</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[21]</w:t>
        <w:tab/>
        <w:t xml:space="preserve">VietnamPlus. (2026). </w:t>
      </w:r>
      <w:r>
        <w:rPr>
          <w:rFonts w:ascii="Times New Roman" w:hAnsi="Times New Roman" w:eastAsia="Times New Roman" w:cs="Times New Roman"/>
          <w:b w:val="0"/>
          <w:i/>
          <w:sz w:val="24"/>
        </w:rPr>
        <w:t>MB tăng vốn điều lệ vượt 102.000 tỷ đồng, chia cổ tức 25% trong 2026</w:t>
      </w:r>
      <w:r>
        <w:rPr>
          <w:rFonts w:ascii="Times New Roman" w:hAnsi="Times New Roman" w:eastAsia="Times New Roman" w:cs="Times New Roman"/>
          <w:b w:val="0"/>
          <w:i w:val="0"/>
          <w:sz w:val="24"/>
        </w:rPr>
        <w:t>. https://www.vietnamplus.vn/mb-du-kien-tang-von-dieu-le-len-hon-102000-ty-dong-chia-co-tuc-ty-le-25-post1105670.vnp</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[22]</w:t>
        <w:tab/>
        <w:t xml:space="preserve">Ngân hàng TMCP Quân đội. (2026). </w:t>
      </w:r>
      <w:r>
        <w:rPr>
          <w:rFonts w:ascii="Times New Roman" w:hAnsi="Times New Roman" w:eastAsia="Times New Roman" w:cs="Times New Roman"/>
          <w:b w:val="0"/>
          <w:i/>
          <w:sz w:val="24"/>
        </w:rPr>
        <w:t>Thông tin thị trường MBB</w:t>
      </w:r>
      <w:r>
        <w:rPr>
          <w:rFonts w:ascii="Times New Roman" w:hAnsi="Times New Roman" w:eastAsia="Times New Roman" w:cs="Times New Roman"/>
          <w:b w:val="0"/>
          <w:i w:val="0"/>
          <w:sz w:val="24"/>
        </w:rPr>
        <w:t>. https://thongtinthitruong.mbbank.com.vn/</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[23]</w:t>
        <w:tab/>
        <w:t xml:space="preserve">Finhay. (2026). </w:t>
      </w:r>
      <w:r>
        <w:rPr>
          <w:rFonts w:ascii="Times New Roman" w:hAnsi="Times New Roman" w:eastAsia="Times New Roman" w:cs="Times New Roman"/>
          <w:b w:val="0"/>
          <w:i/>
          <w:sz w:val="24"/>
        </w:rPr>
        <w:t>Có nên đầu tư cổ phiếu MWG? Giải mã tương lai "ông lớn" ngành di động năm 2026</w:t>
      </w:r>
      <w:r>
        <w:rPr>
          <w:rFonts w:ascii="Times New Roman" w:hAnsi="Times New Roman" w:eastAsia="Times New Roman" w:cs="Times New Roman"/>
          <w:b w:val="0"/>
          <w:i w:val="0"/>
          <w:sz w:val="24"/>
        </w:rPr>
        <w:t>. https://www.finhay.com.vn/co-phieu-mwg</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[24]</w:t>
        <w:tab/>
        <w:t xml:space="preserve">Thời báo Tài chính Việt Nam. (2026). </w:t>
      </w:r>
      <w:r>
        <w:rPr>
          <w:rFonts w:ascii="Times New Roman" w:hAnsi="Times New Roman" w:eastAsia="Times New Roman" w:cs="Times New Roman"/>
          <w:b w:val="0"/>
          <w:i/>
          <w:sz w:val="24"/>
        </w:rPr>
        <w:t>Doanh thu 9 tháng của Thế Giới Di Động tăng 30%, đạt gần 148.000 tỷ đồng</w:t>
      </w:r>
      <w:r>
        <w:rPr>
          <w:rFonts w:ascii="Times New Roman" w:hAnsi="Times New Roman" w:eastAsia="Times New Roman" w:cs="Times New Roman"/>
          <w:b w:val="0"/>
          <w:i w:val="0"/>
          <w:sz w:val="24"/>
        </w:rPr>
        <w:t>. https://thoibaotaichinhvietnam.vn/doanh-thu-9-thang-cua-the-gioi-di-dong-tang-30-dat-gan-148-000-ty-dong-205356.html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[25]</w:t>
        <w:tab/>
        <w:t xml:space="preserve">Elibook. (2026, 17 tháng 9). </w:t>
      </w:r>
      <w:r>
        <w:rPr>
          <w:rFonts w:ascii="Times New Roman" w:hAnsi="Times New Roman" w:eastAsia="Times New Roman" w:cs="Times New Roman"/>
          <w:b w:val="0"/>
          <w:i/>
          <w:sz w:val="24"/>
        </w:rPr>
        <w:t>MWG và FRT: VDSC hé lộ dự phóng quý 3/2026</w:t>
      </w:r>
      <w:r>
        <w:rPr>
          <w:rFonts w:ascii="Times New Roman" w:hAnsi="Times New Roman" w:eastAsia="Times New Roman" w:cs="Times New Roman"/>
          <w:b w:val="0"/>
          <w:i w:val="0"/>
          <w:sz w:val="24"/>
        </w:rPr>
        <w:t>. https://elibook.vn/2026/09/17/mwg-va-frt-vdsc-he-lo-du-phong-quy-3-2026-mua-tuu-truong-keo-dai-nhung-mwg-phai-chia-bot-mieng-banh-cho-co-dong-thieu-so/</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[26]</w:t>
        <w:tab/>
        <w:t xml:space="preserve">Báo Pháp luật – Doanh nhân. (2026). </w:t>
      </w:r>
      <w:r>
        <w:rPr>
          <w:rFonts w:ascii="Times New Roman" w:hAnsi="Times New Roman" w:eastAsia="Times New Roman" w:cs="Times New Roman"/>
          <w:b w:val="0"/>
          <w:i/>
          <w:sz w:val="24"/>
        </w:rPr>
        <w:t>ĐHĐCĐ Thế Giới Di Động (MWG) 2026: Mục tiêu lợi nhuận kỷ lục 9.200 tỷ</w:t>
      </w:r>
      <w:r>
        <w:rPr>
          <w:rFonts w:ascii="Times New Roman" w:hAnsi="Times New Roman" w:eastAsia="Times New Roman" w:cs="Times New Roman"/>
          <w:b w:val="0"/>
          <w:i w:val="0"/>
          <w:sz w:val="24"/>
        </w:rPr>
        <w:t>. https://doanhnhan.baophapluat.vn/dhdcd-the-gioi-di-dong-mwg-2026-muc-tieu-loi-nhuan-ky-luc-9-200-ty-bao-chi-3-000-ty-tra-co-tuc-va-tham-vong-ipo-bach-hoa-xanh.html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[27]</w:t>
        <w:tab/>
        <w:t xml:space="preserve">VOV. (2026, 20 tháng 10). </w:t>
      </w:r>
      <w:r>
        <w:rPr>
          <w:rFonts w:ascii="Times New Roman" w:hAnsi="Times New Roman" w:eastAsia="Times New Roman" w:cs="Times New Roman"/>
          <w:b w:val="0"/>
          <w:i/>
          <w:sz w:val="24"/>
        </w:rPr>
        <w:t>Một số cổ phiếu cần quan tâm 20/10: Cơ hội tiềm năng với MWG và GAS</w:t>
      </w:r>
      <w:r>
        <w:rPr>
          <w:rFonts w:ascii="Times New Roman" w:hAnsi="Times New Roman" w:eastAsia="Times New Roman" w:cs="Times New Roman"/>
          <w:b w:val="0"/>
          <w:i w:val="0"/>
          <w:sz w:val="24"/>
        </w:rPr>
        <w:t>. http://vov.vn/thi-truong/mot-so-co-phieu-can-quan-tam-2010-co-hoi-tiem-nang-voi-mwg-va-gas-post1342091.vov</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[28]</w:t>
        <w:tab/>
        <w:t xml:space="preserve">Người Quan sát. (2026). </w:t>
      </w:r>
      <w:r>
        <w:rPr>
          <w:rFonts w:ascii="Times New Roman" w:hAnsi="Times New Roman" w:eastAsia="Times New Roman" w:cs="Times New Roman"/>
          <w:b w:val="0"/>
          <w:i/>
          <w:sz w:val="24"/>
        </w:rPr>
        <w:t>PV GAS báo lãi 9 tháng gấp đôi kế hoạch cả năm</w:t>
      </w:r>
      <w:r>
        <w:rPr>
          <w:rFonts w:ascii="Times New Roman" w:hAnsi="Times New Roman" w:eastAsia="Times New Roman" w:cs="Times New Roman"/>
          <w:b w:val="0"/>
          <w:i w:val="0"/>
          <w:sz w:val="24"/>
        </w:rPr>
        <w:t>. https://nguoiquansat.vn/pv-gas-bao-lai-9-thang-gap-doi-ke-hoach-ca-nam-321947.html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[29]</w:t>
        <w:tab/>
        <w:t xml:space="preserve">Vietstock. (2026, tháng 10). </w:t>
      </w:r>
      <w:r>
        <w:rPr>
          <w:rFonts w:ascii="Times New Roman" w:hAnsi="Times New Roman" w:eastAsia="Times New Roman" w:cs="Times New Roman"/>
          <w:b w:val="0"/>
          <w:i/>
          <w:sz w:val="24"/>
        </w:rPr>
        <w:t>PV GAS lãi trước thuế 5.4 ngàn tỷ đồng trong quý 3, tăng trưởng 68%</w:t>
      </w:r>
      <w:r>
        <w:rPr>
          <w:rFonts w:ascii="Times New Roman" w:hAnsi="Times New Roman" w:eastAsia="Times New Roman" w:cs="Times New Roman"/>
          <w:b w:val="0"/>
          <w:i w:val="0"/>
          <w:sz w:val="24"/>
        </w:rPr>
        <w:t>. https://vietstock.vn/2026/10/pv-gas-lai-truoc-thue-54-ngan-ty-dong-trong-quy-3-tang-truong-68-737-1502664.htm</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[30]</w:t>
        <w:tab/>
        <w:t xml:space="preserve">Mekong ASEAN. (2026). </w:t>
      </w:r>
      <w:r>
        <w:rPr>
          <w:rFonts w:ascii="Times New Roman" w:hAnsi="Times New Roman" w:eastAsia="Times New Roman" w:cs="Times New Roman"/>
          <w:b w:val="0"/>
          <w:i/>
          <w:sz w:val="24"/>
        </w:rPr>
        <w:t>PV GAS: Doanh thu năm 2025 bứt phá, nắm giữ lượng tiền gần 40.000 tỷ đồng</w:t>
      </w:r>
      <w:r>
        <w:rPr>
          <w:rFonts w:ascii="Times New Roman" w:hAnsi="Times New Roman" w:eastAsia="Times New Roman" w:cs="Times New Roman"/>
          <w:b w:val="0"/>
          <w:i w:val="0"/>
          <w:sz w:val="24"/>
        </w:rPr>
        <w:t>. https://mekongasean.vn/pv-gas-doanh-thu-nam-2025-but-pha-nam-giu-luong-tien-gan-40000-ty-dong-51505.html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[31]</w:t>
        <w:tab/>
        <w:t xml:space="preserve">Báo Pháp luật – Doanh nhân. (2026). </w:t>
      </w:r>
      <w:r>
        <w:rPr>
          <w:rFonts w:ascii="Times New Roman" w:hAnsi="Times New Roman" w:eastAsia="Times New Roman" w:cs="Times New Roman"/>
          <w:b w:val="0"/>
          <w:i/>
          <w:sz w:val="24"/>
        </w:rPr>
        <w:t>PV GAS (GAS) quý I/2026: doanh thu tăng gần 50%, lãi sau thuế đạt gần 3.000 tỷ đồng</w:t>
      </w:r>
      <w:r>
        <w:rPr>
          <w:rFonts w:ascii="Times New Roman" w:hAnsi="Times New Roman" w:eastAsia="Times New Roman" w:cs="Times New Roman"/>
          <w:b w:val="0"/>
          <w:i w:val="0"/>
          <w:sz w:val="24"/>
        </w:rPr>
        <w:t>. https://doanhnhan.baophapluat.vn/pv-gas-gas-quy-i-2026-doanh-thu-tang-gan-50-lai-sau-thue-dat-gan-3-000-ty-dong.html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[32]</w:t>
        <w:tab/>
        <w:t xml:space="preserve">DNSE. (2026). </w:t>
      </w:r>
      <w:r>
        <w:rPr>
          <w:rFonts w:ascii="Times New Roman" w:hAnsi="Times New Roman" w:eastAsia="Times New Roman" w:cs="Times New Roman"/>
          <w:b w:val="0"/>
          <w:i/>
          <w:sz w:val="24"/>
        </w:rPr>
        <w:t>PV GAS không còn đáp ứng điều kiện công ty đại chúng</w:t>
      </w:r>
      <w:r>
        <w:rPr>
          <w:rFonts w:ascii="Times New Roman" w:hAnsi="Times New Roman" w:eastAsia="Times New Roman" w:cs="Times New Roman"/>
          <w:b w:val="0"/>
          <w:i w:val="0"/>
          <w:sz w:val="24"/>
        </w:rPr>
        <w:t>. https://www.dnse.com.vn/senses/tin-tuc/pv-gas-khong-con-dap-ung-dieu-kien-cong-ty-dai-chung-35279510</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[33]</w:t>
        <w:tab/>
        <w:t xml:space="preserve">CafeF. (2026, tháng 9). </w:t>
      </w:r>
      <w:r>
        <w:rPr>
          <w:rFonts w:ascii="Times New Roman" w:hAnsi="Times New Roman" w:eastAsia="Times New Roman" w:cs="Times New Roman"/>
          <w:b w:val="0"/>
          <w:i/>
          <w:sz w:val="24"/>
        </w:rPr>
        <w:t>PV Gas sắp chi hơn 6.000 tỷ đồng trả cổ tức năm 2025</w:t>
      </w:r>
      <w:r>
        <w:rPr>
          <w:rFonts w:ascii="Times New Roman" w:hAnsi="Times New Roman" w:eastAsia="Times New Roman" w:cs="Times New Roman"/>
          <w:b w:val="0"/>
          <w:i w:val="0"/>
          <w:sz w:val="24"/>
        </w:rPr>
        <w:t>. https://cafef.vn/pv-gas-sap-chi-hon-6000-ty-dong-tra-co-tuc-nam-2025-188260910150319815.chn</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[34]</w:t>
        <w:tab/>
        <w:t xml:space="preserve">Ad-hoc News. (2026, tháng 10). </w:t>
      </w:r>
      <w:r>
        <w:rPr>
          <w:rFonts w:ascii="Times New Roman" w:hAnsi="Times New Roman" w:eastAsia="Times New Roman" w:cs="Times New Roman"/>
          <w:b w:val="0"/>
          <w:i/>
          <w:sz w:val="24"/>
        </w:rPr>
        <w:t>Petrovietnam Gas stock: Seven analysts see VND 87,308.10</w:t>
      </w:r>
      <w:r>
        <w:rPr>
          <w:rFonts w:ascii="Times New Roman" w:hAnsi="Times New Roman" w:eastAsia="Times New Roman" w:cs="Times New Roman"/>
          <w:b w:val="0"/>
          <w:i w:val="0"/>
          <w:sz w:val="24"/>
        </w:rPr>
        <w:t>. https://www.ad-hoc-news.de/boerse/news/corporate-news/petrovietnam-gas-stock-seven-analysts-see-vnd-87-308-10-for-petrovietnam-gas-stock/70363045</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[35]</w:t>
        <w:tab/>
        <w:t xml:space="preserve">Dân trí. (2026, 16 tháng 10). </w:t>
      </w:r>
      <w:r>
        <w:rPr>
          <w:rFonts w:ascii="Times New Roman" w:hAnsi="Times New Roman" w:eastAsia="Times New Roman" w:cs="Times New Roman"/>
          <w:b w:val="0"/>
          <w:i/>
          <w:sz w:val="24"/>
        </w:rPr>
        <w:t>Nghịch lý cổ phiếu "vua thép" HPG: Liên tục dò đáy dù lãi vẫn tăng</w:t>
      </w:r>
      <w:r>
        <w:rPr>
          <w:rFonts w:ascii="Times New Roman" w:hAnsi="Times New Roman" w:eastAsia="Times New Roman" w:cs="Times New Roman"/>
          <w:b w:val="0"/>
          <w:i w:val="0"/>
          <w:sz w:val="24"/>
        </w:rPr>
        <w:t>. https://dantri.com.vn/kinh-doanh/nghich-ly-co-phieu-vua-thep-hpg-lien-tuc-do-day-du-lai-van-tang-20261016152743557.htm</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[36]</w:t>
        <w:tab/>
        <w:t xml:space="preserve">Vietstock. (2026, tháng 10). </w:t>
      </w:r>
      <w:r>
        <w:rPr>
          <w:rFonts w:ascii="Times New Roman" w:hAnsi="Times New Roman" w:eastAsia="Times New Roman" w:cs="Times New Roman"/>
          <w:b w:val="0"/>
          <w:i/>
          <w:sz w:val="24"/>
        </w:rPr>
        <w:t>Gần 5 tháng không xu hướng tăng của HPG, ngành thép cùng trong "vùng trũng"</w:t>
      </w:r>
      <w:r>
        <w:rPr>
          <w:rFonts w:ascii="Times New Roman" w:hAnsi="Times New Roman" w:eastAsia="Times New Roman" w:cs="Times New Roman"/>
          <w:b w:val="0"/>
          <w:i w:val="0"/>
          <w:sz w:val="24"/>
        </w:rPr>
        <w:t>. https://vietstock.vn/2026/10/gan-5-thang-khong-xu-huong-tang-cua-hpg-nganh-thep-cung-trong-vung-trung-830-1501684.htm</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[37]</w:t>
        <w:tab/>
        <w:t xml:space="preserve">Tiền Phong. (2026). </w:t>
      </w:r>
      <w:r>
        <w:rPr>
          <w:rFonts w:ascii="Times New Roman" w:hAnsi="Times New Roman" w:eastAsia="Times New Roman" w:cs="Times New Roman"/>
          <w:b w:val="0"/>
          <w:i/>
          <w:sz w:val="24"/>
        </w:rPr>
        <w:t>VN-Index biến động mạnh, FPT trở nên hấp dẫn?</w:t>
      </w:r>
      <w:r>
        <w:rPr>
          <w:rFonts w:ascii="Times New Roman" w:hAnsi="Times New Roman" w:eastAsia="Times New Roman" w:cs="Times New Roman"/>
          <w:b w:val="0"/>
          <w:i w:val="0"/>
          <w:sz w:val="24"/>
        </w:rPr>
        <w:t xml:space="preserve"> https://tienphong.vn/vn-index-bien-dong-manh-fpt-tro-nen-hap-dan-post1884895.tpo</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[38]</w:t>
        <w:tab/>
        <w:t xml:space="preserve">Vietnambiz. (2026, 15 tháng 10). </w:t>
      </w:r>
      <w:r>
        <w:rPr>
          <w:rFonts w:ascii="Times New Roman" w:hAnsi="Times New Roman" w:eastAsia="Times New Roman" w:cs="Times New Roman"/>
          <w:b w:val="0"/>
          <w:i/>
          <w:sz w:val="24"/>
        </w:rPr>
        <w:t>Lợi nhuận 9 tháng của PV Power gấp 2,3 lần cùng kỳ</w:t>
      </w:r>
      <w:r>
        <w:rPr>
          <w:rFonts w:ascii="Times New Roman" w:hAnsi="Times New Roman" w:eastAsia="Times New Roman" w:cs="Times New Roman"/>
          <w:b w:val="0"/>
          <w:i w:val="0"/>
          <w:sz w:val="24"/>
        </w:rPr>
        <w:t>. https://vietnambiz.vn/loi-nhuan-9-thang-cua-pv-power-gap-23-lan-cung-ky-20261015144949959.htm</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[39]</w:t>
        <w:tab/>
        <w:t xml:space="preserve">Khoa Tài chính, Trường Đại học Kinh tế – Đại học Đà Nẵng. (2025–2026). </w:t>
      </w:r>
      <w:r>
        <w:rPr>
          <w:rFonts w:ascii="Times New Roman" w:hAnsi="Times New Roman" w:eastAsia="Times New Roman" w:cs="Times New Roman"/>
          <w:b w:val="0"/>
          <w:i/>
          <w:sz w:val="24"/>
        </w:rPr>
        <w:t>Bài giảng học phần Đầu tư tài chính: Chương 2 – Lý thuyết danh mục đầu tư; Chương 3 – Lý thuyết định giá tài sản; Chương 4 – Đầu tư cổ phiếu</w:t>
      </w:r>
      <w:r>
        <w:rPr>
          <w:rFonts w:ascii="Times New Roman" w:hAnsi="Times New Roman" w:eastAsia="Times New Roman" w:cs="Times New Roman"/>
          <w:b w:val="0"/>
          <w:i w:val="0"/>
          <w:sz w:val="24"/>
        </w:rPr>
        <w:t>.</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[40]</w:t>
        <w:tab/>
        <w:t xml:space="preserve">Tạp chí Kinh tế Tài chính. (2026). </w:t>
      </w:r>
      <w:r>
        <w:rPr>
          <w:rFonts w:ascii="Times New Roman" w:hAnsi="Times New Roman" w:eastAsia="Times New Roman" w:cs="Times New Roman"/>
          <w:b w:val="0"/>
          <w:i/>
          <w:sz w:val="24"/>
        </w:rPr>
        <w:t>Tổng mức bán lẻ hàng hóa và doanh thu dịch vụ tiêu dùng 9 tháng tăng 13,4%</w:t>
      </w:r>
      <w:r>
        <w:rPr>
          <w:rFonts w:ascii="Times New Roman" w:hAnsi="Times New Roman" w:eastAsia="Times New Roman" w:cs="Times New Roman"/>
          <w:b w:val="0"/>
          <w:i w:val="0"/>
          <w:sz w:val="24"/>
        </w:rPr>
        <w:t>. https://tapchikinhtetaichinh.vn/tong-muc-ban-le-hang-hoa-va-doanh-thu-dich-vu-tieu-dung-9-thang-tang-13-4-168577.html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[41]</w:t>
        <w:tab/>
        <w:t xml:space="preserve">Tạp chí Kinh tế Tài chính. (2026). </w:t>
      </w:r>
      <w:r>
        <w:rPr>
          <w:rFonts w:ascii="Times New Roman" w:hAnsi="Times New Roman" w:eastAsia="Times New Roman" w:cs="Times New Roman"/>
          <w:b w:val="0"/>
          <w:i/>
          <w:sz w:val="24"/>
        </w:rPr>
        <w:t>Lãi suất tăng nhanh, Ngân hàng Nhà nước yêu cầu ổn định thị trường</w:t>
      </w:r>
      <w:r>
        <w:rPr>
          <w:rFonts w:ascii="Times New Roman" w:hAnsi="Times New Roman" w:eastAsia="Times New Roman" w:cs="Times New Roman"/>
          <w:b w:val="0"/>
          <w:i w:val="0"/>
          <w:sz w:val="24"/>
        </w:rPr>
        <w:t>. https://tapchikinhtetaichinh.vn/lai-suat-tang-nhanh-ngan-hang-nha-nuoc-yeu-cau-on-dinh-thi-truong-152382.html</w:t>
      </w:r>
    </w:p>
    <w:p>
      <w:pPr>
        <w:tabs>
          <w:tab w:pos="567" w:val="left"/>
        </w:tabs>
        <w:spacing w:line="276" w:lineRule="auto" w:after="80" w:before="0"/>
        <w:ind w:hanging="567" w:left="567"/>
        <w:jc w:val="both"/>
      </w:pPr>
      <w:r>
        <w:rPr>
          <w:rFonts w:ascii="Times New Roman" w:hAnsi="Times New Roman" w:eastAsia="Times New Roman" w:cs="Times New Roman"/>
          <w:b w:val="0"/>
          <w:i w:val="0"/>
          <w:sz w:val="24"/>
        </w:rPr>
        <w:t>[42]</w:t>
        <w:tab/>
        <w:t xml:space="preserve">Tạp chí Công Thương. (2025). </w:t>
      </w:r>
      <w:r>
        <w:rPr>
          <w:rFonts w:ascii="Times New Roman" w:hAnsi="Times New Roman" w:eastAsia="Times New Roman" w:cs="Times New Roman"/>
          <w:b w:val="0"/>
          <w:i/>
          <w:sz w:val="24"/>
        </w:rPr>
        <w:t>Thế Giới Di Động (MWG) mở mới 2–3 cửa hàng Bách Hóa Xanh mỗi ngày</w:t>
      </w:r>
      <w:r>
        <w:rPr>
          <w:rFonts w:ascii="Times New Roman" w:hAnsi="Times New Roman" w:eastAsia="Times New Roman" w:cs="Times New Roman"/>
          <w:b w:val="0"/>
          <w:i w:val="0"/>
          <w:sz w:val="24"/>
        </w:rPr>
        <w:t>. https://tapchicongthuong.vn/the-gioi-di-dong--mwg--mo-moi-2-3-cua-hang-bach-hoa-xanh-moi-ngay-142119.htm</w:t>
      </w:r>
    </w:p>
    <w:sectPr w:rsidR="00FC693F" w:rsidRPr="0006063C" w:rsidSect="00034616">
      <w:footerReference w:type="default" r:id="rId10"/>
      <w:pgSz w:w="11906" w:h="16838"/>
      <w:pgMar w:top="1134" w:right="1134" w:bottom="1134" w:left="1701"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