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a334d889bec608ee9a9db97dfdbf4095ef6cbb"/>
    <w:p>
      <w:pPr>
        <w:pStyle w:val="Heading1"/>
        <w:spacing w:after="80" w:line="276" w:lineRule="auto" w:before="160"/>
      </w:pPr>
      <w:r>
        <w:rPr>
          <w:rFonts w:ascii="Times New Roman" w:hAnsi="Times New Roman" w:eastAsia="Times New Roman" w:cs="Times New Roman"/>
          <w:b/>
          <w:color w:val="000000"/>
          <w:sz w:val="32"/>
        </w:rPr>
        <w:t xml:space="preserve">Bài tập tình huống 1: Bối cảnh đầu tư và lựa chọn cổ phiếu</w:t>
      </w:r>
    </w:p>
    <w:p>
      <w:pPr>
        <w:pStyle w:val="FirstParagraph"/>
        <w:spacing w:after="80" w:line="276" w:lineRule="auto"/>
      </w:pPr>
      <w:r>
        <w:rPr>
          <w:iCs/>
          <w:rFonts w:ascii="Times New Roman" w:hAnsi="Times New Roman" w:eastAsia="Times New Roman" w:cs="Times New Roman"/>
          <w:i/>
          <w:color w:val="000000"/>
          <w:sz w:val="24"/>
        </w:rPr>
        <w:t xml:space="preserve">Học phần Đầu tư tài chính. Vai trò: công ty quản lý quỹ. Vốn giả định 10 tỷ đồng, kỳ đầu tư 1 tháng (26/10 – 25/11/2026). Số liệu cập nhật đến 23/10/2026; nguồn ghi ở cuối báo cáo.</w:t>
      </w:r>
    </w:p>
    <w:p>
      <w:pPr>
        <w:pStyle w:val="BodyText"/>
        <w:spacing w:after="80" w:line="276" w:lineRule="auto"/>
      </w:pPr>
      <w:r>
        <w:rPr>
          <w:bCs/>
          <w:rFonts w:ascii="Times New Roman" w:hAnsi="Times New Roman" w:eastAsia="Times New Roman" w:cs="Times New Roman"/>
          <w:b/>
          <w:color w:val="000000"/>
          <w:sz w:val="24"/>
        </w:rPr>
        <w:t xml:space="preserve">Nguyên tắc phân tích: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đi theo phương pháp</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top-down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(từ trên xuống, Chương 4): vĩ mô → ngành → doanh nghiệp. Mỗi kết luận vĩ mô phải chỉ ra được ngành nào hưởng lợi, và mỗi cổ phiếu được chọn phải gắn với một kết luận vĩ mô cụ thể.</w:t>
      </w:r>
    </w:p>
    <w:bookmarkStart w:id="20" w:name="tóm-tắt-cho-nhà-đầu-tư"/>
    <w:p>
      <w:pPr>
        <w:pStyle w:val="Heading2"/>
        <w:spacing w:after="80" w:line="276" w:lineRule="auto" w:before="160"/>
      </w:pPr>
      <w:r>
        <w:rPr>
          <w:rFonts w:ascii="Times New Roman" w:hAnsi="Times New Roman" w:eastAsia="Times New Roman" w:cs="Times New Roman"/>
          <w:b/>
          <w:color w:val="000000"/>
          <w:sz w:val="28"/>
        </w:rPr>
        <w:t xml:space="preserve">Tóm tắt cho nhà đầu tư</w:t>
      </w:r>
    </w:p>
    <w:p>
      <w:pPr>
        <w:numPr>
          <w:ilvl w:val="0"/>
          <w:numId w:val="1001"/>
        </w:numPr>
        <w:pStyle w:val="Compact"/>
        <w:spacing w:after="80" w:line="276" w:lineRule="auto"/>
      </w:pPr>
      <w:r>
        <w:rPr>
          <w:bCs/>
          <w:rFonts w:ascii="Times New Roman" w:hAnsi="Times New Roman" w:eastAsia="Times New Roman" w:cs="Times New Roman"/>
          <w:b/>
          <w:color w:val="000000"/>
          <w:sz w:val="24"/>
        </w:rPr>
        <w:t xml:space="preserve">Kinh tế tăng trưởng mạnh nhất từ 2022 nhưng lạm phát đã vượt mục tiêu.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GDP quý III/2026 tăng 9,95%, nhưng CPI tháng 9 tăng 5,08% (mục tiêu 4,5%) do giá dầu Brent quanh 100–114 USD/thùng. Ngân hàng Nhà nước vì vậy khó hạ lãi suất thêm.</w:t>
      </w:r>
    </w:p>
    <w:p>
      <w:pPr>
        <w:numPr>
          <w:ilvl w:val="0"/>
          <w:numId w:val="1001"/>
        </w:numPr>
        <w:pStyle w:val="Compact"/>
        <w:spacing w:after="80" w:line="276" w:lineRule="auto"/>
      </w:pPr>
      <w:r>
        <w:rPr>
          <w:bCs/>
          <w:rFonts w:ascii="Times New Roman" w:hAnsi="Times New Roman" w:eastAsia="Times New Roman" w:cs="Times New Roman"/>
          <w:b/>
          <w:color w:val="000000"/>
          <w:sz w:val="24"/>
        </w:rPr>
        <w:t xml:space="preserve">Thị trường đang ở vùng định giá thấp, có dòng vốn mới nhưng biến động mạnh.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VN-Index ở 1.760,6 điểm (22/10), thấp hơn đỉnh 1.903 điểm tháng 1. P/E thị trường khoảng 13,1 lần, thấp hơn bình quân 5 năm (14,4 lần). FTSE Russell nâng hạng Việt Nam lên thị trường mới nổi từ 21/9/2026.</w:t>
      </w:r>
    </w:p>
    <w:p>
      <w:pPr>
        <w:numPr>
          <w:ilvl w:val="0"/>
          <w:numId w:val="1001"/>
        </w:numPr>
        <w:pStyle w:val="Compact"/>
        <w:spacing w:after="80" w:line="276" w:lineRule="auto"/>
      </w:pPr>
      <w:r>
        <w:rPr>
          <w:bCs/>
          <w:rFonts w:ascii="Times New Roman" w:hAnsi="Times New Roman" w:eastAsia="Times New Roman" w:cs="Times New Roman"/>
          <w:b/>
          <w:color w:val="000000"/>
          <w:sz w:val="24"/>
        </w:rPr>
        <w:t xml:space="preserve">Chiến lược của nhóm: CÂN BẰNG</w:t>
      </w:r>
      <w:r>
        <w:rPr>
          <w:rFonts w:ascii="Times New Roman" w:hAnsi="Times New Roman" w:eastAsia="Times New Roman" w:cs="Times New Roman"/>
          <w:color w:val="000000"/>
          <w:sz w:val="24"/>
        </w:rPr>
        <w:t xml:space="preserve">, gồm ba vai trò bổ sung cho nhau: một cổ phiếu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giá trị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(MBB, ngân hàng), một cổ phiếu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tăng trưởng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(MWG, bán lẻ) và một cổ phiếu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phòng thủ, thu nhập cổ tức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(GAS, khí đốt).</w:t>
      </w:r>
    </w:p>
    <w:p>
      <w:pPr>
        <w:numPr>
          <w:ilvl w:val="0"/>
          <w:numId w:val="1001"/>
        </w:numPr>
        <w:pStyle w:val="Compact"/>
        <w:spacing w:after="80" w:line="276" w:lineRule="auto"/>
      </w:pPr>
      <w:r>
        <w:rPr>
          <w:bCs/>
          <w:rFonts w:ascii="Times New Roman" w:hAnsi="Times New Roman" w:eastAsia="Times New Roman" w:cs="Times New Roman"/>
          <w:b/>
          <w:color w:val="000000"/>
          <w:sz w:val="24"/>
        </w:rPr>
        <w:t xml:space="preserve">Định giá:</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MBB có giá hợp lý khoảng 25.000 đ (+26%), MWG khoảng 90.000 đ (+20%), GAS khoảng 78.400 đ (+2%). GAS không được chọn để tăng giá mạnh mà để</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giảm rủi ro chung của danh mục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và phòng hộ trước rủi ro giá dầu.</w:t>
      </w:r>
    </w:p>
    <w:p>
      <w:pPr>
        <w:numPr>
          <w:ilvl w:val="0"/>
          <w:numId w:val="1001"/>
        </w:numPr>
        <w:pStyle w:val="Compact"/>
        <w:spacing w:after="80" w:line="276" w:lineRule="auto"/>
      </w:pPr>
      <w:r>
        <w:rPr>
          <w:bCs/>
          <w:rFonts w:ascii="Times New Roman" w:hAnsi="Times New Roman" w:eastAsia="Times New Roman" w:cs="Times New Roman"/>
          <w:b/>
          <w:color w:val="000000"/>
          <w:sz w:val="24"/>
        </w:rPr>
        <w:t xml:space="preserve">Loại HPG và FPT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dù lợi nhuận vẫn tăng, vì giá đang giảm kéo dài (HPG −12% từ đầu năm, FPT mất gần một nửa). Hai mã này dễ trở thành</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tài sản bị thống trị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trong mô hình Markowitz ở Bài tập 2.</w:t>
      </w:r>
    </w:p>
    <w:p>
      <w:pPr>
        <w:pStyle w:val="SourceCode"/>
        <w:spacing w:after="80" w:line="276" w:lineRule="auto"/>
      </w:pPr>
      <w:r>
        <w:rPr>
          <w:rStyle w:val="VerbatimChar"/>
          <w:rFonts w:ascii="Courier New" w:hAnsi="Courier New" w:eastAsia="Times New Roman" w:cs="Times New Roman"/>
          <w:color w:val="000000"/>
          <w:sz w:val="16"/>
        </w:rPr>
        <w:t xml:space="preserve">Vĩ mô 2026                         Ngành hưởng lợi              Cổ phiếu (vai trò)</w:t>
      </w:r>
      <w:r>
        <w:rPr>
          <w:rFonts w:ascii="Courier New" w:hAnsi="Courier New" w:eastAsia="Times New Roman" w:cs="Times New Roman"/>
          <w:color w:val="000000"/>
          <w:sz w:val="16"/>
        </w:rPr>
        <w:br/>
      </w:r>
      <w:r>
        <w:rPr>
          <w:rStyle w:val="VerbatimChar"/>
          <w:rFonts w:ascii="Courier New" w:hAnsi="Courier New" w:eastAsia="Times New Roman" w:cs="Times New Roman"/>
          <w:color w:val="000000"/>
          <w:sz w:val="16"/>
        </w:rPr>
        <w:t xml:space="preserve">GDP +9,95%, tín dụng tăng mạnh  ─► Ngân hàng                 ─► MBB  (giá trị)</w:t>
      </w:r>
      <w:r>
        <w:rPr>
          <w:rFonts w:ascii="Courier New" w:hAnsi="Courier New" w:eastAsia="Times New Roman" w:cs="Times New Roman"/>
          <w:color w:val="000000"/>
          <w:sz w:val="16"/>
        </w:rPr>
        <w:br/>
      </w:r>
      <w:r>
        <w:rPr>
          <w:rStyle w:val="VerbatimChar"/>
          <w:rFonts w:ascii="Courier New" w:hAnsi="Courier New" w:eastAsia="Times New Roman" w:cs="Times New Roman"/>
          <w:color w:val="000000"/>
          <w:sz w:val="16"/>
        </w:rPr>
        <w:t xml:space="preserve">Bán lẻ 9 tháng +13,4%           ─► Bán lẻ tiêu dùng          ─► MWG  (tăng trưởng)</w:t>
      </w:r>
      <w:r>
        <w:rPr>
          <w:rFonts w:ascii="Courier New" w:hAnsi="Courier New" w:eastAsia="Times New Roman" w:cs="Times New Roman"/>
          <w:color w:val="000000"/>
          <w:sz w:val="16"/>
        </w:rPr>
        <w:br/>
      </w:r>
      <w:r>
        <w:rPr>
          <w:rStyle w:val="VerbatimChar"/>
          <w:rFonts w:ascii="Courier New" w:hAnsi="Courier New" w:eastAsia="Times New Roman" w:cs="Times New Roman"/>
          <w:color w:val="000000"/>
          <w:sz w:val="16"/>
        </w:rPr>
        <w:t xml:space="preserve">Giá dầu cao, cầu điện khí tăng  ─► Khí đốt, năng lượng       ─► GAS  (phòng thủ, cổ tức)</w:t>
      </w:r>
      <w:r>
        <w:rPr>
          <w:rFonts w:ascii="Courier New" w:hAnsi="Courier New" w:eastAsia="Times New Roman" w:cs="Times New Roman"/>
          <w:color w:val="000000"/>
          <w:sz w:val="16"/>
        </w:rPr>
        <w:br/>
      </w:r>
      <w:r>
        <w:rPr>
          <w:rStyle w:val="VerbatimChar"/>
          <w:rFonts w:ascii="Courier New" w:hAnsi="Courier New" w:eastAsia="Times New Roman" w:cs="Times New Roman"/>
          <w:color w:val="000000"/>
          <w:sz w:val="16"/>
        </w:rPr>
        <w:t xml:space="preserve">Lạm phát 5,08%, lãi suất cao    ─► Rủi ro chung: ưu tiên mã có định giá thấp, tài chính vững</w:t>
      </w:r>
    </w:p>
    <w:bookmarkEnd w:id="20"/>
    <w:bookmarkStart w:id="25" w:name="phân-tích-bối-cảnh-đầu-tư"/>
    <w:p>
      <w:pPr>
        <w:pStyle w:val="Heading2"/>
        <w:spacing w:after="80" w:line="276" w:lineRule="auto" w:before="160"/>
      </w:pPr>
      <w:r>
        <w:rPr>
          <w:rFonts w:ascii="Times New Roman" w:hAnsi="Times New Roman" w:eastAsia="Times New Roman" w:cs="Times New Roman"/>
          <w:b/>
          <w:color w:val="000000"/>
          <w:sz w:val="28"/>
        </w:rPr>
        <w:t xml:space="preserve">1. Phân tích bối cảnh đầu tư</w:t>
      </w:r>
    </w:p>
    <w:bookmarkStart w:id="21" w:name="các-yếu-tố-kinh-tế-vĩ-mô"/>
    <w:p>
      <w:pPr>
        <w:pStyle w:val="Heading3"/>
        <w:spacing w:after="80" w:line="276" w:lineRule="auto" w:before="160"/>
      </w:pPr>
      <w:r>
        <w:rPr>
          <w:rFonts w:ascii="Times New Roman" w:hAnsi="Times New Roman" w:eastAsia="Times New Roman" w:cs="Times New Roman"/>
          <w:b/>
          <w:color w:val="000000"/>
          <w:sz w:val="26"/>
        </w:rPr>
        <w:t xml:space="preserve">1.1 Các yếu tố kinh tế vĩ mô</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1604"/>
        <w:gridCol w:w="4295"/>
        <w:gridCol w:w="3455"/>
      </w:tblGrid>
      <w:tr>
        <w:trPr>
          <w:tblHeader w:val="true"/>
        </w:trPr>
        <w:tc>
          <w:tcPr>
            <w:tcW w:type="dxa" w:w="1604"/>
          </w:tcPr>
          <w:p>
            <w:pPr>
              <w:pStyle w:val="Compact"/>
              <w:spacing w:after="0" w:line="240" w:lineRule="auto"/>
              <w:jc w:val="left"/>
            </w:pPr>
            <w:r>
              <w:rPr>
                <w:rFonts w:ascii="Times New Roman" w:hAnsi="Times New Roman" w:eastAsia="Times New Roman" w:cs="Times New Roman"/>
                <w:b/>
                <w:color w:val="000000"/>
                <w:sz w:val="21"/>
              </w:rPr>
              <w:t xml:space="preserve">Yếu tố</w:t>
            </w:r>
          </w:p>
        </w:tc>
        <w:tc>
          <w:tcPr>
            <w:tcW w:type="dxa" w:w="4295"/>
          </w:tcPr>
          <w:p>
            <w:pPr>
              <w:pStyle w:val="Compact"/>
              <w:spacing w:after="0" w:line="240" w:lineRule="auto"/>
              <w:jc w:val="left"/>
            </w:pPr>
            <w:r>
              <w:rPr>
                <w:rFonts w:ascii="Times New Roman" w:hAnsi="Times New Roman" w:eastAsia="Times New Roman" w:cs="Times New Roman"/>
                <w:b/>
                <w:color w:val="000000"/>
                <w:sz w:val="21"/>
              </w:rPr>
              <w:t xml:space="preserve">Số liệu mới nhất</w:t>
            </w:r>
          </w:p>
        </w:tc>
        <w:tc>
          <w:tcPr>
            <w:tcW w:type="dxa" w:w="3455"/>
          </w:tcPr>
          <w:p>
            <w:pPr>
              <w:pStyle w:val="Compact"/>
              <w:spacing w:after="0" w:line="240" w:lineRule="auto"/>
              <w:jc w:val="left"/>
            </w:pPr>
            <w:r>
              <w:rPr>
                <w:rFonts w:ascii="Times New Roman" w:hAnsi="Times New Roman" w:eastAsia="Times New Roman" w:cs="Times New Roman"/>
                <w:b/>
                <w:color w:val="000000"/>
                <w:sz w:val="21"/>
              </w:rPr>
              <w:t xml:space="preserve">Tác động đến thị trường chứng khoán</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Tăng trưởng kinh tế</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GDP quý III +9,95% (cao nhất từ 2022), 9 tháng +9,01%. Công nghiệp – xây dựng +12,5%, dịch vụ +9,5%</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Tích cực: doanh thu, lợi nhuận doanh nghiệp tăng, nhu cầu vay vốn tăng</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Tiêu dùng</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Tổng mức bán lẻ 9 tháng +13,4% (loại trừ giá: +7,8%); quý III +14,5%</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Tích cực cho bán lẻ, tiêu dùng</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Lạm phát</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CPI tháng 9 +5,08%; bình quân 9 tháng 4,52%; lạm phát cơ bản 4,26%</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Tiêu cực: vượt mục tiêu 4,5%, làm giảm sức mua và hạn chế nới lỏng tiền tệ</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Lãi suất</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Lãi suất tái cấp vốn 4,5% (giữ nguyên). Lãi suất huy động 6–12 tháng tăng khoảng 1,2 điểm % đến tháng 3. Lãi suất liên ngân hàng từng lên 16,39% (2/2026). Gần đây khoảng 20 ngân hàng giảm lãi suất huy động khoảng 0,5 điểm %</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Hai chiều: lãi suất cao làm tăng tỷ suất lợi tức yêu cầu k, xu hướng hạ nhiệt gần đây là tín hiệu tốt</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Tín dụng</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6 tháng +7,73%; định hướng cả năm khoảng 15%, VCBS dự báo 16–18%</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Tích cực cho ngân hàng, nhưng tín dụng tăng nhanh hơn huy động gây áp lực lên chi phí vốn</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Tỷ giá</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USD/VND trung tâm 25.627 (23/10), giảm nhẹ trong tháng</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Ổn định, hỗ trợ dòng vốn ngoại</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Giá dầu</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Brent bình quân tháng 9: 114 USD/thùng; đầu tháng 10 khoảng 100 USD. EIA dự báo quý IV: 105 USD, năm 2027: 84 USD</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Tích cực cho doanh nghiệp dầu khí, tiêu cực cho lạm phát và chi phí sản xuất</w:t>
            </w:r>
          </w:p>
        </w:tc>
      </w:tr>
      <w:tr>
        <w:tc>
          <w:tcPr>
            <w:tcW w:type="dxa" w:w="1604"/>
          </w:tcPr>
          <w:p>
            <w:pPr>
              <w:pStyle w:val="Compact"/>
              <w:spacing w:after="0" w:line="240" w:lineRule="auto"/>
              <w:jc w:val="left"/>
            </w:pPr>
            <w:r>
              <w:rPr>
                <w:rFonts w:ascii="Times New Roman" w:hAnsi="Times New Roman" w:eastAsia="Times New Roman" w:cs="Times New Roman"/>
                <w:color w:val="000000"/>
                <w:sz w:val="21"/>
              </w:rPr>
              <w:t xml:space="preserve">Trái phiếu Chính phủ</w:t>
            </w:r>
          </w:p>
        </w:tc>
        <w:tc>
          <w:tcPr>
            <w:tcW w:type="dxa" w:w="4295"/>
          </w:tcPr>
          <w:p>
            <w:pPr>
              <w:pStyle w:val="Compact"/>
              <w:spacing w:after="0" w:line="240" w:lineRule="auto"/>
              <w:jc w:val="left"/>
            </w:pPr>
            <w:r>
              <w:rPr>
                <w:rFonts w:ascii="Times New Roman" w:hAnsi="Times New Roman" w:eastAsia="Times New Roman" w:cs="Times New Roman"/>
                <w:color w:val="000000"/>
                <w:sz w:val="21"/>
              </w:rPr>
              <w:t xml:space="preserve">Lợi suất kỳ hạn 10 năm 4,36% (phiên đấu thầu cuối tháng 7/2026)</w:t>
            </w:r>
          </w:p>
        </w:tc>
        <w:tc>
          <w:tcPr>
            <w:tcW w:type="dxa" w:w="3455"/>
          </w:tcPr>
          <w:p>
            <w:pPr>
              <w:pStyle w:val="Compact"/>
              <w:spacing w:after="0" w:line="240" w:lineRule="auto"/>
              <w:jc w:val="left"/>
            </w:pPr>
            <w:r>
              <w:rPr>
                <w:rFonts w:ascii="Times New Roman" w:hAnsi="Times New Roman" w:eastAsia="Times New Roman" w:cs="Times New Roman"/>
                <w:color w:val="000000"/>
                <w:sz w:val="21"/>
              </w:rPr>
              <w:t xml:space="preserve">Được dùng làm lãi suất phi rủi ro Rf trong mô hình CAPM</w:t>
            </w:r>
          </w:p>
        </w:tc>
      </w:tr>
    </w:tbl>
    <w:p>
      <w:pPr>
        <w:pStyle w:val="BodyText"/>
        <w:spacing w:after="80" w:line="276" w:lineRule="auto"/>
      </w:pPr>
      <w:r>
        <w:rPr>
          <w:bCs/>
          <w:rFonts w:ascii="Times New Roman" w:hAnsi="Times New Roman" w:eastAsia="Times New Roman" w:cs="Times New Roman"/>
          <w:b/>
          <w:color w:val="000000"/>
          <w:sz w:val="24"/>
        </w:rPr>
        <w:t xml:space="preserve">Nhận xét.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Bức tranh vĩ mô có</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hai mặt đối lập</w:t>
      </w:r>
      <w:r>
        <w:rPr>
          <w:rFonts w:ascii="Times New Roman" w:hAnsi="Times New Roman" w:eastAsia="Times New Roman" w:cs="Times New Roman"/>
          <w:color w:val="000000"/>
          <w:sz w:val="24"/>
        </w:rPr>
        <w:t xml:space="preserve">. Mặt tích cực là tăng trưởng thực rất mạnh, dựa trên công nghiệp, đầu tư và tiêu dùng nội địa. Mặt tiêu cực là lạm phát, phần lớn đến từ giá năng lượng do xung đột ở Trung Đông. Liên hệ với mô hình chiết khấu cổ tức (Chương 4), giá trị cổ phiếu V₀ = D₁/(k − g) chịu hai lực ngược chiều: g (tăng trưởng) đang tăng nhờ kinh tế, còn k (tỷ suất lợi tức yêu cầu) khó giảm vì lãi suất bị lạm phát giữ ở mức cao. Vì vậy,</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cổ phiếu có lợi thế là cổ phiếu có lợi nhuận tăng trưởng thật và định giá còn thấp</w:t>
      </w:r>
      <w:r>
        <w:rPr>
          <w:rFonts w:ascii="Times New Roman" w:hAnsi="Times New Roman" w:eastAsia="Times New Roman" w:cs="Times New Roman"/>
          <w:color w:val="000000"/>
          <w:sz w:val="24"/>
        </w:rPr>
        <w:t xml:space="preserve">, chứ không phải cổ phiếu chỉ tăng giá nhờ kỳ vọng lãi suất giảm.</w:t>
      </w:r>
    </w:p>
    <w:bookmarkEnd w:id="21"/>
    <w:bookmarkStart w:id="22" w:name="triển-vọng-thị-trường-trong-kỳ-đầu-tư"/>
    <w:p>
      <w:pPr>
        <w:pStyle w:val="Heading3"/>
        <w:spacing w:after="80" w:line="276" w:lineRule="auto" w:before="160"/>
      </w:pPr>
      <w:r>
        <w:rPr>
          <w:rFonts w:ascii="Times New Roman" w:hAnsi="Times New Roman" w:eastAsia="Times New Roman" w:cs="Times New Roman"/>
          <w:b/>
          <w:color w:val="000000"/>
          <w:sz w:val="26"/>
        </w:rPr>
        <w:t xml:space="preserve">1.2 Triển vọng thị trường trong kỳ đầu tư</w:t>
      </w:r>
    </w:p>
    <w:p>
      <w:pPr>
        <w:pStyle w:val="FirstParagraph"/>
        <w:spacing w:after="80" w:line="276" w:lineRule="auto"/>
      </w:pPr>
      <w:r>
        <w:rPr>
          <w:rFonts w:ascii="Times New Roman" w:hAnsi="Times New Roman" w:eastAsia="Times New Roman" w:cs="Times New Roman"/>
          <w:color w:val="000000"/>
          <w:sz w:val="24"/>
        </w:rPr>
        <w:t xml:space="preserve">VN-Index đi qua một năm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tàu lượn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lập đỉnh 1.902,93 điểm (13/1), giảm 6,51% chỉ trong phiên 9/3, về gần 1.600 điểm tháng 3, rồi dao động 1.680–1.780 điểm. Tháng 10, chỉ số thủng vùng 1.700 rồi hồi mạnh (+2,76% phiên 21/10, mạnh nhất 6 tháng). Thanh khoản từ tháng 6 giảm khoảng 41% so với quý I, và khối ngoại vẫn bán ròng giữa tháng 10.</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115"/>
        <w:gridCol w:w="2186"/>
        <w:gridCol w:w="3714"/>
        <w:gridCol w:w="1339"/>
      </w:tblGrid>
      <w:tr>
        <w:trPr>
          <w:tblHeader w:val="true"/>
        </w:trPr>
        <w:tc>
          <w:tcPr>
            <w:tcW w:type="dxa" w:w="2115"/>
          </w:tcPr>
          <w:p>
            <w:pPr>
              <w:pStyle w:val="Compact"/>
              <w:spacing w:after="0" w:line="240" w:lineRule="auto"/>
              <w:jc w:val="left"/>
            </w:pPr>
            <w:r>
              <w:rPr>
                <w:rFonts w:ascii="Times New Roman" w:hAnsi="Times New Roman" w:eastAsia="Times New Roman" w:cs="Times New Roman"/>
                <w:b/>
                <w:color w:val="000000"/>
                <w:sz w:val="21"/>
              </w:rPr>
              <w:t xml:space="preserve">Kịch bản đến 25/11/2026</w:t>
            </w:r>
          </w:p>
        </w:tc>
        <w:tc>
          <w:tcPr>
            <w:tcW w:type="dxa" w:w="2186"/>
          </w:tcPr>
          <w:p>
            <w:pPr>
              <w:pStyle w:val="Compact"/>
              <w:spacing w:after="0" w:line="240" w:lineRule="auto"/>
              <w:jc w:val="left"/>
            </w:pPr>
            <w:r>
              <w:rPr>
                <w:rFonts w:ascii="Times New Roman" w:hAnsi="Times New Roman" w:eastAsia="Times New Roman" w:cs="Times New Roman"/>
                <w:b/>
                <w:color w:val="000000"/>
                <w:sz w:val="21"/>
              </w:rPr>
              <w:t xml:space="preserve">VN-Index</w:t>
            </w:r>
          </w:p>
        </w:tc>
        <w:tc>
          <w:tcPr>
            <w:tcW w:type="dxa" w:w="3714"/>
          </w:tcPr>
          <w:p>
            <w:pPr>
              <w:pStyle w:val="Compact"/>
              <w:spacing w:after="0" w:line="240" w:lineRule="auto"/>
              <w:jc w:val="left"/>
            </w:pPr>
            <w:r>
              <w:rPr>
                <w:rFonts w:ascii="Times New Roman" w:hAnsi="Times New Roman" w:eastAsia="Times New Roman" w:cs="Times New Roman"/>
                <w:b/>
                <w:color w:val="000000"/>
                <w:sz w:val="21"/>
              </w:rPr>
              <w:t xml:space="preserve">Điều kiện</w:t>
            </w:r>
          </w:p>
        </w:tc>
        <w:tc>
          <w:tcPr>
            <w:tcW w:type="dxa" w:w="1339"/>
          </w:tcPr>
          <w:p>
            <w:pPr>
              <w:pStyle w:val="Compact"/>
              <w:spacing w:after="0" w:line="240" w:lineRule="auto"/>
              <w:jc w:val="left"/>
            </w:pPr>
            <w:r>
              <w:rPr>
                <w:rFonts w:ascii="Times New Roman" w:hAnsi="Times New Roman" w:eastAsia="Times New Roman" w:cs="Times New Roman"/>
                <w:b/>
                <w:color w:val="000000"/>
                <w:sz w:val="21"/>
              </w:rPr>
              <w:t xml:space="preserve">Nhận định của nhóm</w:t>
            </w:r>
          </w:p>
        </w:tc>
      </w:tr>
      <w:tr>
        <w:tc>
          <w:tcPr>
            <w:tcW w:type="dxa" w:w="2115"/>
          </w:tcPr>
          <w:p>
            <w:pPr>
              <w:pStyle w:val="Compact"/>
              <w:spacing w:after="0" w:line="240" w:lineRule="auto"/>
              <w:jc w:val="left"/>
            </w:pPr>
            <w:r>
              <w:rPr>
                <w:rFonts w:ascii="Times New Roman" w:hAnsi="Times New Roman" w:eastAsia="Times New Roman" w:cs="Times New Roman"/>
                <w:color w:val="000000"/>
                <w:sz w:val="21"/>
              </w:rPr>
              <w:t xml:space="preserve">Tích cực</w:t>
            </w:r>
          </w:p>
        </w:tc>
        <w:tc>
          <w:tcPr>
            <w:tcW w:type="dxa" w:w="2186"/>
          </w:tcPr>
          <w:p>
            <w:pPr>
              <w:pStyle w:val="Compact"/>
              <w:spacing w:after="0" w:line="240" w:lineRule="auto"/>
              <w:jc w:val="left"/>
            </w:pPr>
            <w:r>
              <w:rPr>
                <w:rFonts w:ascii="Times New Roman" w:hAnsi="Times New Roman" w:eastAsia="Times New Roman" w:cs="Times New Roman"/>
                <w:color w:val="000000"/>
                <w:sz w:val="21"/>
              </w:rPr>
              <w:t xml:space="preserve">1.850 – 1.900</w:t>
            </w:r>
          </w:p>
        </w:tc>
        <w:tc>
          <w:tcPr>
            <w:tcW w:type="dxa" w:w="3714"/>
          </w:tcPr>
          <w:p>
            <w:pPr>
              <w:pStyle w:val="Compact"/>
              <w:spacing w:after="0" w:line="240" w:lineRule="auto"/>
              <w:jc w:val="left"/>
            </w:pPr>
            <w:r>
              <w:rPr>
                <w:rFonts w:ascii="Times New Roman" w:hAnsi="Times New Roman" w:eastAsia="Times New Roman" w:cs="Times New Roman"/>
                <w:color w:val="000000"/>
                <w:sz w:val="21"/>
              </w:rPr>
              <w:t xml:space="preserve">Kết quả quý III tốt, dòng vốn FTSE giải ngân, giá dầu hạ</w:t>
            </w:r>
          </w:p>
        </w:tc>
        <w:tc>
          <w:tcPr>
            <w:tcW w:type="dxa" w:w="1339"/>
          </w:tcPr>
          <w:p>
            <w:pPr>
              <w:pStyle w:val="Compact"/>
              <w:spacing w:after="0" w:line="240" w:lineRule="auto"/>
              <w:jc w:val="left"/>
            </w:pPr>
            <w:r>
              <w:rPr>
                <w:rFonts w:ascii="Times New Roman" w:hAnsi="Times New Roman" w:eastAsia="Times New Roman" w:cs="Times New Roman"/>
                <w:color w:val="000000"/>
                <w:sz w:val="21"/>
              </w:rPr>
              <w:t xml:space="preserve">30%</w:t>
            </w:r>
          </w:p>
        </w:tc>
      </w:tr>
      <w:tr>
        <w:tc>
          <w:tcPr>
            <w:tcW w:type="dxa" w:w="2115"/>
          </w:tcPr>
          <w:p>
            <w:pPr>
              <w:pStyle w:val="Compact"/>
              <w:spacing w:after="0" w:line="240" w:lineRule="auto"/>
              <w:jc w:val="left"/>
            </w:pPr>
            <w:r>
              <w:rPr>
                <w:rFonts w:ascii="Times New Roman" w:hAnsi="Times New Roman" w:eastAsia="Times New Roman" w:cs="Times New Roman"/>
                <w:color w:val="000000"/>
                <w:sz w:val="21"/>
              </w:rPr>
              <w:t xml:space="preserve">Cơ sở</w:t>
            </w:r>
          </w:p>
        </w:tc>
        <w:tc>
          <w:tcPr>
            <w:tcW w:type="dxa" w:w="2186"/>
          </w:tcPr>
          <w:p>
            <w:pPr>
              <w:pStyle w:val="Compact"/>
              <w:spacing w:after="0" w:line="240" w:lineRule="auto"/>
              <w:jc w:val="left"/>
            </w:pPr>
            <w:r>
              <w:rPr>
                <w:rFonts w:ascii="Times New Roman" w:hAnsi="Times New Roman" w:eastAsia="Times New Roman" w:cs="Times New Roman"/>
                <w:color w:val="000000"/>
                <w:sz w:val="21"/>
              </w:rPr>
              <w:t xml:space="preserve">1.720 – 1.820</w:t>
            </w:r>
          </w:p>
        </w:tc>
        <w:tc>
          <w:tcPr>
            <w:tcW w:type="dxa" w:w="3714"/>
          </w:tcPr>
          <w:p>
            <w:pPr>
              <w:pStyle w:val="Compact"/>
              <w:spacing w:after="0" w:line="240" w:lineRule="auto"/>
              <w:jc w:val="left"/>
            </w:pPr>
            <w:r>
              <w:rPr>
                <w:rFonts w:ascii="Times New Roman" w:hAnsi="Times New Roman" w:eastAsia="Times New Roman" w:cs="Times New Roman"/>
                <w:color w:val="000000"/>
                <w:sz w:val="21"/>
              </w:rPr>
              <w:t xml:space="preserve">Kết quả quý III đúng kỳ vọng, lãi suất đi ngang</w:t>
            </w:r>
          </w:p>
        </w:tc>
        <w:tc>
          <w:tcPr>
            <w:tcW w:type="dxa" w:w="1339"/>
          </w:tcPr>
          <w:p>
            <w:pPr>
              <w:pStyle w:val="Compact"/>
              <w:spacing w:after="0" w:line="240" w:lineRule="auto"/>
              <w:jc w:val="left"/>
            </w:pPr>
            <w:r>
              <w:rPr>
                <w:rFonts w:ascii="Times New Roman" w:hAnsi="Times New Roman" w:eastAsia="Times New Roman" w:cs="Times New Roman"/>
                <w:color w:val="000000"/>
                <w:sz w:val="21"/>
              </w:rPr>
              <w:t xml:space="preserve">50%</w:t>
            </w:r>
          </w:p>
        </w:tc>
      </w:tr>
      <w:tr>
        <w:tc>
          <w:tcPr>
            <w:tcW w:type="dxa" w:w="2115"/>
          </w:tcPr>
          <w:p>
            <w:pPr>
              <w:pStyle w:val="Compact"/>
              <w:spacing w:after="0" w:line="240" w:lineRule="auto"/>
              <w:jc w:val="left"/>
            </w:pPr>
            <w:r>
              <w:rPr>
                <w:rFonts w:ascii="Times New Roman" w:hAnsi="Times New Roman" w:eastAsia="Times New Roman" w:cs="Times New Roman"/>
                <w:color w:val="000000"/>
                <w:sz w:val="21"/>
              </w:rPr>
              <w:t xml:space="preserve">Tiêu cực</w:t>
            </w:r>
          </w:p>
        </w:tc>
        <w:tc>
          <w:tcPr>
            <w:tcW w:type="dxa" w:w="2186"/>
          </w:tcPr>
          <w:p>
            <w:pPr>
              <w:pStyle w:val="Compact"/>
              <w:spacing w:after="0" w:line="240" w:lineRule="auto"/>
              <w:jc w:val="left"/>
            </w:pPr>
            <w:r>
              <w:rPr>
                <w:rFonts w:ascii="Times New Roman" w:hAnsi="Times New Roman" w:eastAsia="Times New Roman" w:cs="Times New Roman"/>
                <w:color w:val="000000"/>
                <w:sz w:val="21"/>
              </w:rPr>
              <w:t xml:space="preserve">1.620 – 1.680</w:t>
            </w:r>
          </w:p>
        </w:tc>
        <w:tc>
          <w:tcPr>
            <w:tcW w:type="dxa" w:w="3714"/>
          </w:tcPr>
          <w:p>
            <w:pPr>
              <w:pStyle w:val="Compact"/>
              <w:spacing w:after="0" w:line="240" w:lineRule="auto"/>
              <w:jc w:val="left"/>
            </w:pPr>
            <w:r>
              <w:rPr>
                <w:rFonts w:ascii="Times New Roman" w:hAnsi="Times New Roman" w:eastAsia="Times New Roman" w:cs="Times New Roman"/>
                <w:color w:val="000000"/>
                <w:sz w:val="21"/>
              </w:rPr>
              <w:t xml:space="preserve">Lạm phát vượt 5,5%, Ngân hàng Nhà nước thắt chặt, xung đột Trung Đông leo thang</w:t>
            </w:r>
          </w:p>
        </w:tc>
        <w:tc>
          <w:tcPr>
            <w:tcW w:type="dxa" w:w="1339"/>
          </w:tcPr>
          <w:p>
            <w:pPr>
              <w:pStyle w:val="Compact"/>
              <w:spacing w:after="0" w:line="240" w:lineRule="auto"/>
              <w:jc w:val="left"/>
            </w:pPr>
            <w:r>
              <w:rPr>
                <w:rFonts w:ascii="Times New Roman" w:hAnsi="Times New Roman" w:eastAsia="Times New Roman" w:cs="Times New Roman"/>
                <w:color w:val="000000"/>
                <w:sz w:val="21"/>
              </w:rPr>
              <w:t xml:space="preserve">20%</w:t>
            </w:r>
          </w:p>
        </w:tc>
      </w:tr>
    </w:tbl>
    <w:p>
      <w:pPr>
        <w:pStyle w:val="BodyText"/>
        <w:spacing w:after="80" w:line="276" w:lineRule="auto"/>
      </w:pPr>
      <w:r>
        <w:rPr>
          <w:bCs/>
          <w:rFonts w:ascii="Times New Roman" w:hAnsi="Times New Roman" w:eastAsia="Times New Roman" w:cs="Times New Roman"/>
          <w:b/>
          <w:color w:val="000000"/>
          <w:sz w:val="24"/>
        </w:rPr>
        <w:t xml:space="preserve">Chất xúc tác trong tháng: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mùa công bố báo cáo tài chính quý III (cuối tháng 10), giải ngân của các quỹ theo chỉ số FTSE (đợt 1: 10% tỷ trọng từ 21/9/2026, các đợt sau đến 9/2027), số liệu CPI tháng 10 (đầu tháng 11). Với kỳ đầu tư chỉ 1 tháng, nhóm ưu tiên cổ phiếu vốn hóa lớn, thanh khoản cao, có kết quả quý III tốt đã hoặc sắp được công bố.</w:t>
      </w:r>
    </w:p>
    <w:bookmarkEnd w:id="22"/>
    <w:bookmarkStart w:id="23" w:name="triển-vọng-ngành"/>
    <w:p>
      <w:pPr>
        <w:pStyle w:val="Heading3"/>
        <w:spacing w:after="80" w:line="276" w:lineRule="auto" w:before="160"/>
      </w:pPr>
      <w:r>
        <w:rPr>
          <w:rFonts w:ascii="Times New Roman" w:hAnsi="Times New Roman" w:eastAsia="Times New Roman" w:cs="Times New Roman"/>
          <w:b/>
          <w:color w:val="000000"/>
          <w:sz w:val="26"/>
        </w:rPr>
        <w:t xml:space="preserve">1.3 Triển vọng ngành</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1385"/>
        <w:gridCol w:w="3606"/>
        <w:gridCol w:w="2994"/>
        <w:gridCol w:w="1369"/>
      </w:tblGrid>
      <w:tr>
        <w:trPr>
          <w:tblHeader w:val="true"/>
        </w:trPr>
        <w:tc>
          <w:tcPr>
            <w:tcW w:type="dxa" w:w="1385"/>
          </w:tcPr>
          <w:p>
            <w:pPr>
              <w:pStyle w:val="Compact"/>
              <w:spacing w:after="0" w:line="240" w:lineRule="auto"/>
              <w:jc w:val="left"/>
            </w:pPr>
            <w:r>
              <w:rPr>
                <w:rFonts w:ascii="Times New Roman" w:hAnsi="Times New Roman" w:eastAsia="Times New Roman" w:cs="Times New Roman"/>
                <w:b/>
                <w:color w:val="000000"/>
                <w:sz w:val="21"/>
              </w:rPr>
              <w:t xml:space="preserve">Ngành</w:t>
            </w:r>
          </w:p>
        </w:tc>
        <w:tc>
          <w:tcPr>
            <w:tcW w:type="dxa" w:w="3606"/>
          </w:tcPr>
          <w:p>
            <w:pPr>
              <w:pStyle w:val="Compact"/>
              <w:spacing w:after="0" w:line="240" w:lineRule="auto"/>
              <w:jc w:val="left"/>
            </w:pPr>
            <w:r>
              <w:rPr>
                <w:rFonts w:ascii="Times New Roman" w:hAnsi="Times New Roman" w:eastAsia="Times New Roman" w:cs="Times New Roman"/>
                <w:b/>
                <w:color w:val="000000"/>
                <w:sz w:val="21"/>
              </w:rPr>
              <w:t xml:space="preserve">Vì sao tăng trưởng trong tương lai</w:t>
            </w:r>
          </w:p>
        </w:tc>
        <w:tc>
          <w:tcPr>
            <w:tcW w:type="dxa" w:w="2994"/>
          </w:tcPr>
          <w:p>
            <w:pPr>
              <w:pStyle w:val="Compact"/>
              <w:spacing w:after="0" w:line="240" w:lineRule="auto"/>
              <w:jc w:val="left"/>
            </w:pPr>
            <w:r>
              <w:rPr>
                <w:rFonts w:ascii="Times New Roman" w:hAnsi="Times New Roman" w:eastAsia="Times New Roman" w:cs="Times New Roman"/>
                <w:b/>
                <w:color w:val="000000"/>
                <w:sz w:val="21"/>
              </w:rPr>
              <w:t xml:space="preserve">Rủi ro chính</w:t>
            </w:r>
          </w:p>
        </w:tc>
        <w:tc>
          <w:tcPr>
            <w:tcW w:type="dxa" w:w="1369"/>
          </w:tcPr>
          <w:p>
            <w:pPr>
              <w:pStyle w:val="Compact"/>
              <w:spacing w:after="0" w:line="240" w:lineRule="auto"/>
              <w:jc w:val="left"/>
            </w:pPr>
            <w:r>
              <w:rPr>
                <w:rFonts w:ascii="Times New Roman" w:hAnsi="Times New Roman" w:eastAsia="Times New Roman" w:cs="Times New Roman"/>
                <w:b/>
                <w:color w:val="000000"/>
                <w:sz w:val="21"/>
              </w:rPr>
              <w:t xml:space="preserve">Kết luận</w:t>
            </w:r>
          </w:p>
        </w:tc>
      </w:tr>
      <w:tr>
        <w:tc>
          <w:tcPr>
            <w:tcW w:type="dxa" w:w="1385"/>
          </w:tcPr>
          <w:p>
            <w:pPr>
              <w:pStyle w:val="Compact"/>
              <w:spacing w:after="0" w:line="240" w:lineRule="auto"/>
              <w:jc w:val="left"/>
            </w:pPr>
            <w:r>
              <w:rPr>
                <w:bCs/>
                <w:rFonts w:ascii="Times New Roman" w:hAnsi="Times New Roman" w:eastAsia="Times New Roman" w:cs="Times New Roman"/>
                <w:b/>
                <w:color w:val="000000"/>
                <w:sz w:val="21"/>
              </w:rPr>
              <w:t xml:space="preserve">Ngân hàng</w:t>
            </w:r>
          </w:p>
        </w:tc>
        <w:tc>
          <w:tcPr>
            <w:tcW w:type="dxa" w:w="3606"/>
          </w:tcPr>
          <w:p>
            <w:pPr>
              <w:pStyle w:val="Compact"/>
              <w:spacing w:after="0" w:line="240" w:lineRule="auto"/>
              <w:jc w:val="left"/>
            </w:pPr>
            <w:r>
              <w:rPr>
                <w:rFonts w:ascii="Times New Roman" w:hAnsi="Times New Roman" w:eastAsia="Times New Roman" w:cs="Times New Roman"/>
                <w:color w:val="000000"/>
                <w:sz w:val="21"/>
              </w:rPr>
              <w:t xml:space="preserve">GDP tăng gần 10% kéo theo nhu cầu vốn; tín dụng cả năm dự kiến 15–18%. Nợ xấu giảm nhờ Nghị quyết 42 được luật hóa. Tỷ trọng lớn nhất trong chỉ số nên hưởng lợi đầu tiên từ dòng vốn FTSE</w:t>
            </w:r>
          </w:p>
        </w:tc>
        <w:tc>
          <w:tcPr>
            <w:tcW w:type="dxa" w:w="2994"/>
          </w:tcPr>
          <w:p>
            <w:pPr>
              <w:pStyle w:val="Compact"/>
              <w:spacing w:after="0" w:line="240" w:lineRule="auto"/>
              <w:jc w:val="left"/>
            </w:pPr>
            <w:r>
              <w:rPr>
                <w:rFonts w:ascii="Times New Roman" w:hAnsi="Times New Roman" w:eastAsia="Times New Roman" w:cs="Times New Roman"/>
                <w:color w:val="000000"/>
                <w:sz w:val="21"/>
              </w:rPr>
              <w:t xml:space="preserve">Chi phí vốn tăng làm biên lãi ròng (NIM) giảm</w:t>
            </w:r>
          </w:p>
        </w:tc>
        <w:tc>
          <w:tcPr>
            <w:tcW w:type="dxa" w:w="1369"/>
          </w:tcPr>
          <w:p>
            <w:pPr>
              <w:pStyle w:val="Compact"/>
              <w:spacing w:after="0" w:line="240" w:lineRule="auto"/>
              <w:jc w:val="left"/>
            </w:pPr>
            <w:r>
              <w:rPr>
                <w:bCs/>
                <w:rFonts w:ascii="Times New Roman" w:hAnsi="Times New Roman" w:eastAsia="Times New Roman" w:cs="Times New Roman"/>
                <w:b/>
                <w:color w:val="000000"/>
                <w:sz w:val="21"/>
              </w:rPr>
              <w:t xml:space="preserve">Chọn</w:t>
            </w:r>
          </w:p>
        </w:tc>
      </w:tr>
      <w:tr>
        <w:tc>
          <w:tcPr>
            <w:tcW w:type="dxa" w:w="1385"/>
          </w:tcPr>
          <w:p>
            <w:pPr>
              <w:pStyle w:val="Compact"/>
              <w:spacing w:after="0" w:line="240" w:lineRule="auto"/>
              <w:jc w:val="left"/>
            </w:pPr>
            <w:r>
              <w:rPr>
                <w:bCs/>
                <w:rFonts w:ascii="Times New Roman" w:hAnsi="Times New Roman" w:eastAsia="Times New Roman" w:cs="Times New Roman"/>
                <w:b/>
                <w:color w:val="000000"/>
                <w:sz w:val="21"/>
              </w:rPr>
              <w:t xml:space="preserve">Bán lẻ tiêu dùng</w:t>
            </w:r>
          </w:p>
        </w:tc>
        <w:tc>
          <w:tcPr>
            <w:tcW w:type="dxa" w:w="3606"/>
          </w:tcPr>
          <w:p>
            <w:pPr>
              <w:pStyle w:val="Compact"/>
              <w:spacing w:after="0" w:line="240" w:lineRule="auto"/>
              <w:jc w:val="left"/>
            </w:pPr>
            <w:r>
              <w:rPr>
                <w:rFonts w:ascii="Times New Roman" w:hAnsi="Times New Roman" w:eastAsia="Times New Roman" w:cs="Times New Roman"/>
                <w:color w:val="000000"/>
                <w:sz w:val="21"/>
              </w:rPr>
              <w:t xml:space="preserve">Dân số trẻ, thu nhập tăng; bán lẻ 9 tháng +13,4%. Chuỗi bán lẻ hiện đại còn chiếm thị phần nhỏ so với chợ truyền thống nên dư địa lớn</w:t>
            </w:r>
          </w:p>
        </w:tc>
        <w:tc>
          <w:tcPr>
            <w:tcW w:type="dxa" w:w="2994"/>
          </w:tcPr>
          <w:p>
            <w:pPr>
              <w:pStyle w:val="Compact"/>
              <w:spacing w:after="0" w:line="240" w:lineRule="auto"/>
              <w:jc w:val="left"/>
            </w:pPr>
            <w:r>
              <w:rPr>
                <w:rFonts w:ascii="Times New Roman" w:hAnsi="Times New Roman" w:eastAsia="Times New Roman" w:cs="Times New Roman"/>
                <w:color w:val="000000"/>
                <w:sz w:val="21"/>
              </w:rPr>
              <w:t xml:space="preserve">Lạm phát làm giảm sức mua thực</w:t>
            </w:r>
          </w:p>
        </w:tc>
        <w:tc>
          <w:tcPr>
            <w:tcW w:type="dxa" w:w="1369"/>
          </w:tcPr>
          <w:p>
            <w:pPr>
              <w:pStyle w:val="Compact"/>
              <w:spacing w:after="0" w:line="240" w:lineRule="auto"/>
              <w:jc w:val="left"/>
            </w:pPr>
            <w:r>
              <w:rPr>
                <w:bCs/>
                <w:rFonts w:ascii="Times New Roman" w:hAnsi="Times New Roman" w:eastAsia="Times New Roman" w:cs="Times New Roman"/>
                <w:b/>
                <w:color w:val="000000"/>
                <w:sz w:val="21"/>
              </w:rPr>
              <w:t xml:space="preserve">Chọn</w:t>
            </w:r>
          </w:p>
        </w:tc>
      </w:tr>
      <w:tr>
        <w:tc>
          <w:tcPr>
            <w:tcW w:type="dxa" w:w="1385"/>
          </w:tcPr>
          <w:p>
            <w:pPr>
              <w:pStyle w:val="Compact"/>
              <w:spacing w:after="0" w:line="240" w:lineRule="auto"/>
              <w:jc w:val="left"/>
            </w:pPr>
            <w:r>
              <w:rPr>
                <w:bCs/>
                <w:rFonts w:ascii="Times New Roman" w:hAnsi="Times New Roman" w:eastAsia="Times New Roman" w:cs="Times New Roman"/>
                <w:b/>
                <w:color w:val="000000"/>
                <w:sz w:val="21"/>
              </w:rPr>
              <w:t xml:space="preserve">Khí đốt, năng lượng</w:t>
            </w:r>
          </w:p>
        </w:tc>
        <w:tc>
          <w:tcPr>
            <w:tcW w:type="dxa" w:w="3606"/>
          </w:tcPr>
          <w:p>
            <w:pPr>
              <w:pStyle w:val="Compact"/>
              <w:spacing w:after="0" w:line="240" w:lineRule="auto"/>
              <w:jc w:val="left"/>
            </w:pPr>
            <w:r>
              <w:rPr>
                <w:rFonts w:ascii="Times New Roman" w:hAnsi="Times New Roman" w:eastAsia="Times New Roman" w:cs="Times New Roman"/>
                <w:color w:val="000000"/>
                <w:sz w:val="21"/>
              </w:rPr>
              <w:t xml:space="preserve">Cầu điện tăng theo kinh tế; điện khí LNG là trụ cột của Quy hoạch điện VIII đến 2030. Giá dầu cao làm tăng giá bán khí</w:t>
            </w:r>
          </w:p>
        </w:tc>
        <w:tc>
          <w:tcPr>
            <w:tcW w:type="dxa" w:w="2994"/>
          </w:tcPr>
          <w:p>
            <w:pPr>
              <w:pStyle w:val="Compact"/>
              <w:spacing w:after="0" w:line="240" w:lineRule="auto"/>
              <w:jc w:val="left"/>
            </w:pPr>
            <w:r>
              <w:rPr>
                <w:rFonts w:ascii="Times New Roman" w:hAnsi="Times New Roman" w:eastAsia="Times New Roman" w:cs="Times New Roman"/>
                <w:color w:val="000000"/>
                <w:sz w:val="21"/>
              </w:rPr>
              <w:t xml:space="preserve">Giá dầu đảo chiều (EIA dự báo 84 USD năm 2027); giá bán bị Nhà nước điều tiết</w:t>
            </w:r>
          </w:p>
        </w:tc>
        <w:tc>
          <w:tcPr>
            <w:tcW w:type="dxa" w:w="1369"/>
          </w:tcPr>
          <w:p>
            <w:pPr>
              <w:pStyle w:val="Compact"/>
              <w:spacing w:after="0" w:line="240" w:lineRule="auto"/>
              <w:jc w:val="left"/>
            </w:pPr>
            <w:r>
              <w:rPr>
                <w:bCs/>
                <w:rFonts w:ascii="Times New Roman" w:hAnsi="Times New Roman" w:eastAsia="Times New Roman" w:cs="Times New Roman"/>
                <w:b/>
                <w:color w:val="000000"/>
                <w:sz w:val="21"/>
              </w:rPr>
              <w:t xml:space="preserve">Chọn</w:t>
            </w:r>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(vai trò phòng thủ)</w:t>
            </w:r>
          </w:p>
        </w:tc>
      </w:tr>
      <w:tr>
        <w:tc>
          <w:tcPr>
            <w:tcW w:type="dxa" w:w="1385"/>
          </w:tcPr>
          <w:p>
            <w:pPr>
              <w:pStyle w:val="Compact"/>
              <w:spacing w:after="0" w:line="240" w:lineRule="auto"/>
              <w:jc w:val="left"/>
            </w:pPr>
            <w:r>
              <w:rPr>
                <w:rFonts w:ascii="Times New Roman" w:hAnsi="Times New Roman" w:eastAsia="Times New Roman" w:cs="Times New Roman"/>
                <w:color w:val="000000"/>
                <w:sz w:val="21"/>
              </w:rPr>
              <w:t xml:space="preserve">Thép</w:t>
            </w:r>
          </w:p>
        </w:tc>
        <w:tc>
          <w:tcPr>
            <w:tcW w:type="dxa" w:w="3606"/>
          </w:tcPr>
          <w:p>
            <w:pPr>
              <w:pStyle w:val="Compact"/>
              <w:spacing w:after="0" w:line="240" w:lineRule="auto"/>
              <w:jc w:val="left"/>
            </w:pPr>
            <w:r>
              <w:rPr>
                <w:rFonts w:ascii="Times New Roman" w:hAnsi="Times New Roman" w:eastAsia="Times New Roman" w:cs="Times New Roman"/>
                <w:color w:val="000000"/>
                <w:sz w:val="21"/>
              </w:rPr>
              <w:t xml:space="preserve">Hưởng lợi đầu tư công, xây dựng +12,5%</w:t>
            </w:r>
          </w:p>
        </w:tc>
        <w:tc>
          <w:tcPr>
            <w:tcW w:type="dxa" w:w="2994"/>
          </w:tcPr>
          <w:p>
            <w:pPr>
              <w:pStyle w:val="Compact"/>
              <w:spacing w:after="0" w:line="240" w:lineRule="auto"/>
              <w:jc w:val="left"/>
            </w:pPr>
            <w:r>
              <w:rPr>
                <w:rFonts w:ascii="Times New Roman" w:hAnsi="Times New Roman" w:eastAsia="Times New Roman" w:cs="Times New Roman"/>
                <w:color w:val="000000"/>
                <w:sz w:val="21"/>
              </w:rPr>
              <w:t xml:space="preserve">Dư cung: VinMetal có thể thêm 4,2 triệu tấn thép xây dựng và 4 triệu tấn thép cuộn cán nóng đến 2029; giá thép giảm</w:t>
            </w:r>
          </w:p>
        </w:tc>
        <w:tc>
          <w:tcPr>
            <w:tcW w:type="dxa" w:w="1369"/>
          </w:tcPr>
          <w:p>
            <w:pPr>
              <w:pStyle w:val="Compact"/>
              <w:spacing w:after="0" w:line="240" w:lineRule="auto"/>
              <w:jc w:val="left"/>
            </w:pPr>
            <w:r>
              <w:rPr>
                <w:rFonts w:ascii="Times New Roman" w:hAnsi="Times New Roman" w:eastAsia="Times New Roman" w:cs="Times New Roman"/>
                <w:color w:val="000000"/>
                <w:sz w:val="21"/>
              </w:rPr>
              <w:t xml:space="preserve">Không chọn</w:t>
            </w:r>
          </w:p>
        </w:tc>
      </w:tr>
      <w:tr>
        <w:tc>
          <w:tcPr>
            <w:tcW w:type="dxa" w:w="1385"/>
          </w:tcPr>
          <w:p>
            <w:pPr>
              <w:pStyle w:val="Compact"/>
              <w:spacing w:after="0" w:line="240" w:lineRule="auto"/>
              <w:jc w:val="left"/>
            </w:pPr>
            <w:r>
              <w:rPr>
                <w:rFonts w:ascii="Times New Roman" w:hAnsi="Times New Roman" w:eastAsia="Times New Roman" w:cs="Times New Roman"/>
                <w:color w:val="000000"/>
                <w:sz w:val="21"/>
              </w:rPr>
              <w:t xml:space="preserve">Công nghệ thông tin</w:t>
            </w:r>
          </w:p>
        </w:tc>
        <w:tc>
          <w:tcPr>
            <w:tcW w:type="dxa" w:w="3606"/>
          </w:tcPr>
          <w:p>
            <w:pPr>
              <w:pStyle w:val="Compact"/>
              <w:spacing w:after="0" w:line="240" w:lineRule="auto"/>
              <w:jc w:val="left"/>
            </w:pPr>
            <w:r>
              <w:rPr>
                <w:rFonts w:ascii="Times New Roman" w:hAnsi="Times New Roman" w:eastAsia="Times New Roman" w:cs="Times New Roman"/>
                <w:color w:val="000000"/>
                <w:sz w:val="21"/>
              </w:rPr>
              <w:t xml:space="preserve">Chuyển đổi số, AI (doanh thu AI của FPT +55%)</w:t>
            </w:r>
          </w:p>
        </w:tc>
        <w:tc>
          <w:tcPr>
            <w:tcW w:type="dxa" w:w="2994"/>
          </w:tcPr>
          <w:p>
            <w:pPr>
              <w:pStyle w:val="Compact"/>
              <w:spacing w:after="0" w:line="240" w:lineRule="auto"/>
              <w:jc w:val="left"/>
            </w:pPr>
            <w:r>
              <w:rPr>
                <w:rFonts w:ascii="Times New Roman" w:hAnsi="Times New Roman" w:eastAsia="Times New Roman" w:cs="Times New Roman"/>
                <w:color w:val="000000"/>
                <w:sz w:val="21"/>
              </w:rPr>
              <w:t xml:space="preserve">Thị trường lo AI làm giảm nhu cầu gia công phần mềm truyền thống; giá cổ phiếu giảm mạnh</w:t>
            </w:r>
          </w:p>
        </w:tc>
        <w:tc>
          <w:tcPr>
            <w:tcW w:type="dxa" w:w="1369"/>
          </w:tcPr>
          <w:p>
            <w:pPr>
              <w:pStyle w:val="Compact"/>
              <w:spacing w:after="0" w:line="240" w:lineRule="auto"/>
              <w:jc w:val="left"/>
            </w:pPr>
            <w:r>
              <w:rPr>
                <w:rFonts w:ascii="Times New Roman" w:hAnsi="Times New Roman" w:eastAsia="Times New Roman" w:cs="Times New Roman"/>
                <w:color w:val="000000"/>
                <w:sz w:val="21"/>
              </w:rPr>
              <w:t xml:space="preserve">Không chọn, theo dõi</w:t>
            </w:r>
          </w:p>
        </w:tc>
      </w:tr>
    </w:tbl>
    <w:bookmarkEnd w:id="23"/>
    <w:bookmarkStart w:id="24" w:name="chiến-lược-đầu-tư-cân-bằng"/>
    <w:p>
      <w:pPr>
        <w:pStyle w:val="Heading3"/>
        <w:spacing w:after="80" w:line="276" w:lineRule="auto" w:before="160"/>
      </w:pPr>
      <w:r>
        <w:rPr>
          <w:rFonts w:ascii="Times New Roman" w:hAnsi="Times New Roman" w:eastAsia="Times New Roman" w:cs="Times New Roman"/>
          <w:b/>
          <w:color w:val="000000"/>
          <w:sz w:val="26"/>
        </w:rPr>
        <w:t xml:space="preserve">1.4 Chiến lược đầu tư: Cân bằng</w:t>
      </w:r>
    </w:p>
    <w:p>
      <w:pPr>
        <w:pStyle w:val="FirstParagraph"/>
        <w:spacing w:after="80" w:line="276" w:lineRule="auto"/>
      </w:pPr>
      <w:r>
        <w:rPr>
          <w:rFonts w:ascii="Times New Roman" w:hAnsi="Times New Roman" w:eastAsia="Times New Roman" w:cs="Times New Roman"/>
          <w:color w:val="000000"/>
          <w:sz w:val="24"/>
        </w:rPr>
        <w:t xml:space="preserve">Nhóm chọn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chiến lược cân bằng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thay vì dồn vào tăng trưởng, vì hai lý do. (1) Vĩ mô có rủi ro hai chiều (tăng trưởng mạnh nhưng lạm phát cao), nên danh mục cần có thành phần chịu được kịch bản tiêu cực. (2) Theo lý thuyết Markowitz (Chương 2), kết hợp các tài sản có tương quan thấp giúp giảm rủi ro danh mục mà không phải hy sinh nhiều lợi tức. Ba ngành được chọn phản ứng khác nhau với cùng một cú sốc: giá dầu tăng gây bất lợi cho bán lẻ (lạm phát) nhưng có lợi cho GAS.</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957"/>
        <w:gridCol w:w="2114"/>
        <w:gridCol w:w="4074"/>
        <w:gridCol w:w="2209"/>
      </w:tblGrid>
      <w:tr>
        <w:trPr>
          <w:tblHeader w:val="true"/>
        </w:trPr>
        <w:tc>
          <w:tcPr>
            <w:tcW w:type="dxa" w:w="957"/>
          </w:tcPr>
          <w:p>
            <w:pPr>
              <w:pStyle w:val="Compact"/>
              <w:spacing w:after="0" w:line="240" w:lineRule="auto"/>
              <w:jc w:val="left"/>
            </w:pPr>
            <w:r>
              <w:rPr>
                <w:rFonts w:ascii="Times New Roman" w:hAnsi="Times New Roman" w:eastAsia="Times New Roman" w:cs="Times New Roman"/>
                <w:b/>
                <w:color w:val="000000"/>
                <w:sz w:val="21"/>
              </w:rPr>
              <w:t xml:space="preserve">Mã</w:t>
            </w:r>
          </w:p>
        </w:tc>
        <w:tc>
          <w:tcPr>
            <w:tcW w:type="dxa" w:w="2114"/>
          </w:tcPr>
          <w:p>
            <w:pPr>
              <w:pStyle w:val="Compact"/>
              <w:spacing w:after="0" w:line="240" w:lineRule="auto"/>
              <w:jc w:val="left"/>
            </w:pPr>
            <w:r>
              <w:rPr>
                <w:rFonts w:ascii="Times New Roman" w:hAnsi="Times New Roman" w:eastAsia="Times New Roman" w:cs="Times New Roman"/>
                <w:b/>
                <w:color w:val="000000"/>
                <w:sz w:val="21"/>
              </w:rPr>
              <w:t xml:space="preserve">Vai trò</w:t>
            </w:r>
          </w:p>
        </w:tc>
        <w:tc>
          <w:tcPr>
            <w:tcW w:type="dxa" w:w="4074"/>
          </w:tcPr>
          <w:p>
            <w:pPr>
              <w:pStyle w:val="Compact"/>
              <w:spacing w:after="0" w:line="240" w:lineRule="auto"/>
              <w:jc w:val="left"/>
            </w:pPr>
            <w:r>
              <w:rPr>
                <w:rFonts w:ascii="Times New Roman" w:hAnsi="Times New Roman" w:eastAsia="Times New Roman" w:cs="Times New Roman"/>
                <w:b/>
                <w:color w:val="000000"/>
                <w:sz w:val="21"/>
              </w:rPr>
              <w:t xml:space="preserve">Lý do phù hợp với bối cảnh</w:t>
            </w:r>
          </w:p>
        </w:tc>
        <w:tc>
          <w:tcPr>
            <w:tcW w:type="dxa" w:w="2209"/>
          </w:tcPr>
          <w:p>
            <w:pPr>
              <w:pStyle w:val="Compact"/>
              <w:spacing w:after="0" w:line="240" w:lineRule="auto"/>
              <w:jc w:val="left"/>
            </w:pPr>
            <w:r>
              <w:rPr>
                <w:rFonts w:ascii="Times New Roman" w:hAnsi="Times New Roman" w:eastAsia="Times New Roman" w:cs="Times New Roman"/>
                <w:b/>
                <w:color w:val="000000"/>
                <w:sz w:val="21"/>
              </w:rPr>
              <w:t xml:space="preserve">Tỷ trọng sơ bộ</w:t>
            </w:r>
          </w:p>
        </w:tc>
      </w:tr>
      <w:tr>
        <w:tc>
          <w:tcPr>
            <w:tcW w:type="dxa" w:w="957"/>
          </w:tcPr>
          <w:p>
            <w:pPr>
              <w:pStyle w:val="Compact"/>
              <w:spacing w:after="0" w:line="240" w:lineRule="auto"/>
              <w:jc w:val="left"/>
            </w:pPr>
            <w:r>
              <w:rPr>
                <w:rFonts w:ascii="Times New Roman" w:hAnsi="Times New Roman" w:eastAsia="Times New Roman" w:cs="Times New Roman"/>
                <w:color w:val="000000"/>
                <w:sz w:val="21"/>
              </w:rPr>
              <w:t xml:space="preserve">MBB</w:t>
            </w:r>
          </w:p>
        </w:tc>
        <w:tc>
          <w:tcPr>
            <w:tcW w:type="dxa" w:w="2114"/>
          </w:tcPr>
          <w:p>
            <w:pPr>
              <w:pStyle w:val="Compact"/>
              <w:spacing w:after="0" w:line="240" w:lineRule="auto"/>
              <w:jc w:val="left"/>
            </w:pPr>
            <w:r>
              <w:rPr>
                <w:rFonts w:ascii="Times New Roman" w:hAnsi="Times New Roman" w:eastAsia="Times New Roman" w:cs="Times New Roman"/>
                <w:color w:val="000000"/>
                <w:sz w:val="21"/>
              </w:rPr>
              <w:t xml:space="preserve">Giá trị</w:t>
            </w:r>
          </w:p>
        </w:tc>
        <w:tc>
          <w:tcPr>
            <w:tcW w:type="dxa" w:w="4074"/>
          </w:tcPr>
          <w:p>
            <w:pPr>
              <w:pStyle w:val="Compact"/>
              <w:spacing w:after="0" w:line="240" w:lineRule="auto"/>
              <w:jc w:val="left"/>
            </w:pPr>
            <w:r>
              <w:rPr>
                <w:rFonts w:ascii="Times New Roman" w:hAnsi="Times New Roman" w:eastAsia="Times New Roman" w:cs="Times New Roman"/>
                <w:color w:val="000000"/>
                <w:sz w:val="21"/>
              </w:rPr>
              <w:t xml:space="preserve">P/B khoảng 1,0 lần trong khi ROE khoảng 20%</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40% (4 tỷ đồng)</w:t>
            </w:r>
          </w:p>
        </w:tc>
      </w:tr>
      <w:tr>
        <w:tc>
          <w:tcPr>
            <w:tcW w:type="dxa" w:w="957"/>
          </w:tcPr>
          <w:p>
            <w:pPr>
              <w:pStyle w:val="Compact"/>
              <w:spacing w:after="0" w:line="240" w:lineRule="auto"/>
              <w:jc w:val="left"/>
            </w:pPr>
            <w:r>
              <w:rPr>
                <w:rFonts w:ascii="Times New Roman" w:hAnsi="Times New Roman" w:eastAsia="Times New Roman" w:cs="Times New Roman"/>
                <w:color w:val="000000"/>
                <w:sz w:val="21"/>
              </w:rPr>
              <w:t xml:space="preserve">MWG</w:t>
            </w:r>
          </w:p>
        </w:tc>
        <w:tc>
          <w:tcPr>
            <w:tcW w:type="dxa" w:w="2114"/>
          </w:tcPr>
          <w:p>
            <w:pPr>
              <w:pStyle w:val="Compact"/>
              <w:spacing w:after="0" w:line="240" w:lineRule="auto"/>
              <w:jc w:val="left"/>
            </w:pPr>
            <w:r>
              <w:rPr>
                <w:rFonts w:ascii="Times New Roman" w:hAnsi="Times New Roman" w:eastAsia="Times New Roman" w:cs="Times New Roman"/>
                <w:color w:val="000000"/>
                <w:sz w:val="21"/>
              </w:rPr>
              <w:t xml:space="preserve">Tăng trưởng</w:t>
            </w:r>
          </w:p>
        </w:tc>
        <w:tc>
          <w:tcPr>
            <w:tcW w:type="dxa" w:w="4074"/>
          </w:tcPr>
          <w:p>
            <w:pPr>
              <w:pStyle w:val="Compact"/>
              <w:spacing w:after="0" w:line="240" w:lineRule="auto"/>
              <w:jc w:val="left"/>
            </w:pPr>
            <w:r>
              <w:rPr>
                <w:rFonts w:ascii="Times New Roman" w:hAnsi="Times New Roman" w:eastAsia="Times New Roman" w:cs="Times New Roman"/>
                <w:color w:val="000000"/>
                <w:sz w:val="21"/>
              </w:rPr>
              <w:t xml:space="preserve">Lợi nhuận 6 tháng +88%, doanh thu 9 tháng +30%</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35% (3,5 tỷ đồng)</w:t>
            </w:r>
          </w:p>
        </w:tc>
      </w:tr>
      <w:tr>
        <w:tc>
          <w:tcPr>
            <w:tcW w:type="dxa" w:w="957"/>
          </w:tcPr>
          <w:p>
            <w:pPr>
              <w:pStyle w:val="Compact"/>
              <w:spacing w:after="0" w:line="240" w:lineRule="auto"/>
              <w:jc w:val="left"/>
            </w:pPr>
            <w:r>
              <w:rPr>
                <w:rFonts w:ascii="Times New Roman" w:hAnsi="Times New Roman" w:eastAsia="Times New Roman" w:cs="Times New Roman"/>
                <w:color w:val="000000"/>
                <w:sz w:val="21"/>
              </w:rPr>
              <w:t xml:space="preserve">GAS</w:t>
            </w:r>
          </w:p>
        </w:tc>
        <w:tc>
          <w:tcPr>
            <w:tcW w:type="dxa" w:w="2114"/>
          </w:tcPr>
          <w:p>
            <w:pPr>
              <w:pStyle w:val="Compact"/>
              <w:spacing w:after="0" w:line="240" w:lineRule="auto"/>
              <w:jc w:val="left"/>
            </w:pPr>
            <w:r>
              <w:rPr>
                <w:rFonts w:ascii="Times New Roman" w:hAnsi="Times New Roman" w:eastAsia="Times New Roman" w:cs="Times New Roman"/>
                <w:color w:val="000000"/>
                <w:sz w:val="21"/>
              </w:rPr>
              <w:t xml:space="preserve">Phòng thủ, thu nhập cổ tức</w:t>
            </w:r>
          </w:p>
        </w:tc>
        <w:tc>
          <w:tcPr>
            <w:tcW w:type="dxa" w:w="4074"/>
          </w:tcPr>
          <w:p>
            <w:pPr>
              <w:pStyle w:val="Compact"/>
              <w:spacing w:after="0" w:line="240" w:lineRule="auto"/>
              <w:jc w:val="left"/>
            </w:pPr>
            <w:r>
              <w:rPr>
                <w:rFonts w:ascii="Times New Roman" w:hAnsi="Times New Roman" w:eastAsia="Times New Roman" w:cs="Times New Roman"/>
                <w:color w:val="000000"/>
                <w:sz w:val="21"/>
              </w:rPr>
              <w:t xml:space="preserve">Lợi nhuận tăng theo giá dầu, nhiều tiền mặt, cổ tức tiền mặt ổn định</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25% (2,5 tỷ đồng)</w:t>
            </w:r>
          </w:p>
        </w:tc>
      </w:tr>
    </w:tbl>
    <w:p>
      <w:pPr>
        <w:pStyle w:val="BodyText"/>
        <w:spacing w:after="80" w:line="276" w:lineRule="auto"/>
      </w:pPr>
      <w:r>
        <w:rPr>
          <w:iCs/>
          <w:rFonts w:ascii="Times New Roman" w:hAnsi="Times New Roman" w:eastAsia="Times New Roman" w:cs="Times New Roman"/>
          <w:i/>
          <w:color w:val="000000"/>
          <w:sz w:val="24"/>
        </w:rPr>
        <w:t xml:space="preserve">Tỷ trọng trên chỉ là định hướng ban đầu. Tỷ trọng cuối cùng sẽ được xác định bằng đường biên hiệu quả và danh mục tối ưu ở Bài tập 2.</w:t>
      </w:r>
    </w:p>
    <w:bookmarkEnd w:id="24"/>
    <w:bookmarkEnd w:id="25"/>
    <w:bookmarkStart w:id="34" w:name="phân-tích-cổ-phiếu"/>
    <w:p>
      <w:pPr>
        <w:pStyle w:val="Heading2"/>
        <w:spacing w:after="80" w:line="276" w:lineRule="auto" w:before="160"/>
      </w:pPr>
      <w:r>
        <w:rPr>
          <w:rFonts w:ascii="Times New Roman" w:hAnsi="Times New Roman" w:eastAsia="Times New Roman" w:cs="Times New Roman"/>
          <w:b/>
          <w:color w:val="000000"/>
          <w:sz w:val="28"/>
        </w:rPr>
        <w:t xml:space="preserve">2. Phân tích cổ phiếu</w:t>
      </w:r>
    </w:p>
    <w:bookmarkStart w:id="26" w:name="tiêu-chí-sàng-lọc"/>
    <w:p>
      <w:pPr>
        <w:pStyle w:val="Heading3"/>
        <w:spacing w:after="80" w:line="276" w:lineRule="auto" w:before="160"/>
      </w:pPr>
      <w:r>
        <w:rPr>
          <w:rFonts w:ascii="Times New Roman" w:hAnsi="Times New Roman" w:eastAsia="Times New Roman" w:cs="Times New Roman"/>
          <w:b/>
          <w:color w:val="000000"/>
          <w:sz w:val="26"/>
        </w:rPr>
        <w:t xml:space="preserve">2.1 Tiêu chí sàng lọc</w:t>
      </w:r>
    </w:p>
    <w:p>
      <w:pPr>
        <w:pStyle w:val="FirstParagraph"/>
        <w:spacing w:after="80" w:line="276" w:lineRule="auto"/>
      </w:pPr>
      <w:r>
        <w:rPr>
          <w:rFonts w:ascii="Times New Roman" w:hAnsi="Times New Roman" w:eastAsia="Times New Roman" w:cs="Times New Roman"/>
          <w:color w:val="000000"/>
          <w:sz w:val="24"/>
        </w:rPr>
        <w:t xml:space="preserve">Từ ba ngành ở mục 1.3, nhóm lọc cổ phiếu theo 5 tiêu chí: (1) niêm yết trên HOSE, thuộc nhóm vốn hóa lớn; (2) lợi nhuận năm 2026 tăng trưởng hai chữ số; (3) giá cổ phiếu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ổn định</w:t>
      </w:r>
      <w:r>
        <w:rPr>
          <w:rFonts w:ascii="Times New Roman" w:hAnsi="Times New Roman" w:eastAsia="Times New Roman" w:cs="Times New Roman"/>
          <w:color w:val="000000"/>
          <w:sz w:val="24"/>
        </w:rPr>
        <w:t xml:space="preserve">, không trong xu hướng giảm kéo dài; (4) định giá không cao hơn mức lịch sử; (5) có lịch sử giá dài để ước lượng lợi tức và phương sai ở Bài tập 2.</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1104"/>
        <w:gridCol w:w="2191"/>
        <w:gridCol w:w="4550"/>
        <w:gridCol w:w="1509"/>
      </w:tblGrid>
      <w:tr>
        <w:trPr>
          <w:tblHeader w:val="true"/>
        </w:trPr>
        <w:tc>
          <w:tcPr>
            <w:tcW w:type="dxa" w:w="1104"/>
          </w:tcPr>
          <w:p>
            <w:pPr>
              <w:pStyle w:val="Compact"/>
              <w:spacing w:after="0" w:line="240" w:lineRule="auto"/>
              <w:jc w:val="left"/>
            </w:pPr>
            <w:r>
              <w:rPr>
                <w:rFonts w:ascii="Times New Roman" w:hAnsi="Times New Roman" w:eastAsia="Times New Roman" w:cs="Times New Roman"/>
                <w:b/>
                <w:color w:val="000000"/>
                <w:sz w:val="21"/>
              </w:rPr>
              <w:t xml:space="preserve">Ứng viên</w:t>
            </w:r>
          </w:p>
        </w:tc>
        <w:tc>
          <w:tcPr>
            <w:tcW w:type="dxa" w:w="2191"/>
          </w:tcPr>
          <w:p>
            <w:pPr>
              <w:pStyle w:val="Compact"/>
              <w:spacing w:after="0" w:line="240" w:lineRule="auto"/>
              <w:jc w:val="left"/>
            </w:pPr>
            <w:r>
              <w:rPr>
                <w:rFonts w:ascii="Times New Roman" w:hAnsi="Times New Roman" w:eastAsia="Times New Roman" w:cs="Times New Roman"/>
                <w:b/>
                <w:color w:val="000000"/>
                <w:sz w:val="21"/>
              </w:rPr>
              <w:t xml:space="preserve">Lợi nhuận gần nhất</w:t>
            </w:r>
          </w:p>
        </w:tc>
        <w:tc>
          <w:tcPr>
            <w:tcW w:type="dxa" w:w="4550"/>
          </w:tcPr>
          <w:p>
            <w:pPr>
              <w:pStyle w:val="Compact"/>
              <w:spacing w:after="0" w:line="240" w:lineRule="auto"/>
              <w:jc w:val="left"/>
            </w:pPr>
            <w:r>
              <w:rPr>
                <w:rFonts w:ascii="Times New Roman" w:hAnsi="Times New Roman" w:eastAsia="Times New Roman" w:cs="Times New Roman"/>
                <w:b/>
                <w:color w:val="000000"/>
                <w:sz w:val="21"/>
              </w:rPr>
              <w:t xml:space="preserve">Diễn biến giá</w:t>
            </w:r>
          </w:p>
        </w:tc>
        <w:tc>
          <w:tcPr>
            <w:tcW w:type="dxa" w:w="1509"/>
          </w:tcPr>
          <w:p>
            <w:pPr>
              <w:pStyle w:val="Compact"/>
              <w:spacing w:after="0" w:line="240" w:lineRule="auto"/>
              <w:jc w:val="left"/>
            </w:pPr>
            <w:r>
              <w:rPr>
                <w:rFonts w:ascii="Times New Roman" w:hAnsi="Times New Roman" w:eastAsia="Times New Roman" w:cs="Times New Roman"/>
                <w:b/>
                <w:color w:val="000000"/>
                <w:sz w:val="21"/>
              </w:rPr>
              <w:t xml:space="preserve">Kết quả</w:t>
            </w:r>
          </w:p>
        </w:tc>
      </w:tr>
      <w:tr>
        <w:tc>
          <w:tcPr>
            <w:tcW w:type="dxa" w:w="1104"/>
          </w:tcPr>
          <w:p>
            <w:pPr>
              <w:pStyle w:val="Compact"/>
              <w:spacing w:after="0" w:line="240" w:lineRule="auto"/>
              <w:jc w:val="left"/>
            </w:pPr>
            <w:r>
              <w:rPr>
                <w:rFonts w:ascii="Times New Roman" w:hAnsi="Times New Roman" w:eastAsia="Times New Roman" w:cs="Times New Roman"/>
                <w:color w:val="000000"/>
                <w:sz w:val="21"/>
              </w:rPr>
              <w:t xml:space="preserve">MBB</w:t>
            </w:r>
          </w:p>
        </w:tc>
        <w:tc>
          <w:tcPr>
            <w:tcW w:type="dxa" w:w="2191"/>
          </w:tcPr>
          <w:p>
            <w:pPr>
              <w:pStyle w:val="Compact"/>
              <w:spacing w:after="0" w:line="240" w:lineRule="auto"/>
              <w:jc w:val="left"/>
            </w:pPr>
            <w:r>
              <w:rPr>
                <w:rFonts w:ascii="Times New Roman" w:hAnsi="Times New Roman" w:eastAsia="Times New Roman" w:cs="Times New Roman"/>
                <w:color w:val="000000"/>
                <w:sz w:val="21"/>
              </w:rPr>
              <w:t xml:space="preserve">LNTT 6 tháng +27,1%</w:t>
            </w:r>
          </w:p>
        </w:tc>
        <w:tc>
          <w:tcPr>
            <w:tcW w:type="dxa" w:w="4550"/>
          </w:tcPr>
          <w:p>
            <w:pPr>
              <w:pStyle w:val="Compact"/>
              <w:spacing w:after="0" w:line="240" w:lineRule="auto"/>
              <w:jc w:val="left"/>
            </w:pPr>
            <w:r>
              <w:rPr>
                <w:rFonts w:ascii="Times New Roman" w:hAnsi="Times New Roman" w:eastAsia="Times New Roman" w:cs="Times New Roman"/>
                <w:color w:val="000000"/>
                <w:sz w:val="21"/>
              </w:rPr>
              <w:t xml:space="preserve">Đi ngang so với đầu năm đến phiên 4/8 (+0,09%); giá thấp hơn sau đó chủ yếu do điều chỉnh kỹ thuật khi chia cổ tức 15% bằng cổ phiếu tháng 8</w:t>
            </w:r>
          </w:p>
        </w:tc>
        <w:tc>
          <w:tcPr>
            <w:tcW w:type="dxa" w:w="1509"/>
          </w:tcPr>
          <w:p>
            <w:pPr>
              <w:pStyle w:val="Compact"/>
              <w:spacing w:after="0" w:line="240" w:lineRule="auto"/>
              <w:jc w:val="left"/>
            </w:pPr>
            <w:r>
              <w:rPr>
                <w:rFonts w:ascii="Times New Roman" w:hAnsi="Times New Roman" w:eastAsia="Times New Roman" w:cs="Times New Roman"/>
                <w:color w:val="000000"/>
                <w:sz w:val="21"/>
              </w:rPr>
              <w:t xml:space="preserve">Đạt</w:t>
            </w:r>
          </w:p>
        </w:tc>
      </w:tr>
      <w:tr>
        <w:tc>
          <w:tcPr>
            <w:tcW w:type="dxa" w:w="1104"/>
          </w:tcPr>
          <w:p>
            <w:pPr>
              <w:pStyle w:val="Compact"/>
              <w:spacing w:after="0" w:line="240" w:lineRule="auto"/>
              <w:jc w:val="left"/>
            </w:pPr>
            <w:r>
              <w:rPr>
                <w:rFonts w:ascii="Times New Roman" w:hAnsi="Times New Roman" w:eastAsia="Times New Roman" w:cs="Times New Roman"/>
                <w:color w:val="000000"/>
                <w:sz w:val="21"/>
              </w:rPr>
              <w:t xml:space="preserve">MWG</w:t>
            </w:r>
          </w:p>
        </w:tc>
        <w:tc>
          <w:tcPr>
            <w:tcW w:type="dxa" w:w="2191"/>
          </w:tcPr>
          <w:p>
            <w:pPr>
              <w:pStyle w:val="Compact"/>
              <w:spacing w:after="0" w:line="240" w:lineRule="auto"/>
              <w:jc w:val="left"/>
            </w:pPr>
            <w:r>
              <w:rPr>
                <w:rFonts w:ascii="Times New Roman" w:hAnsi="Times New Roman" w:eastAsia="Times New Roman" w:cs="Times New Roman"/>
                <w:color w:val="000000"/>
                <w:sz w:val="21"/>
              </w:rPr>
              <w:t xml:space="preserve">LNST 6 tháng +88%</w:t>
            </w:r>
          </w:p>
        </w:tc>
        <w:tc>
          <w:tcPr>
            <w:tcW w:type="dxa" w:w="4550"/>
          </w:tcPr>
          <w:p>
            <w:pPr>
              <w:pStyle w:val="Compact"/>
              <w:spacing w:after="0" w:line="240" w:lineRule="auto"/>
              <w:jc w:val="left"/>
            </w:pPr>
            <w:r>
              <w:rPr>
                <w:rFonts w:ascii="Times New Roman" w:hAnsi="Times New Roman" w:eastAsia="Times New Roman" w:cs="Times New Roman"/>
                <w:color w:val="000000"/>
                <w:sz w:val="21"/>
              </w:rPr>
              <w:t xml:space="preserve">Thấp hơn đỉnh 52 tuần khoảng 21%; đang hồi lại (73.900 đ ngày 16/10 lên 75.200 đ ngày 22/10)</w:t>
            </w:r>
          </w:p>
        </w:tc>
        <w:tc>
          <w:tcPr>
            <w:tcW w:type="dxa" w:w="1509"/>
          </w:tcPr>
          <w:p>
            <w:pPr>
              <w:pStyle w:val="Compact"/>
              <w:spacing w:after="0" w:line="240" w:lineRule="auto"/>
              <w:jc w:val="left"/>
            </w:pPr>
            <w:r>
              <w:rPr>
                <w:rFonts w:ascii="Times New Roman" w:hAnsi="Times New Roman" w:eastAsia="Times New Roman" w:cs="Times New Roman"/>
                <w:color w:val="000000"/>
                <w:sz w:val="21"/>
              </w:rPr>
              <w:t xml:space="preserve">Đạt</w:t>
            </w:r>
          </w:p>
        </w:tc>
      </w:tr>
      <w:tr>
        <w:tc>
          <w:tcPr>
            <w:tcW w:type="dxa" w:w="1104"/>
          </w:tcPr>
          <w:p>
            <w:pPr>
              <w:pStyle w:val="Compact"/>
              <w:spacing w:after="0" w:line="240" w:lineRule="auto"/>
              <w:jc w:val="left"/>
            </w:pPr>
            <w:r>
              <w:rPr>
                <w:rFonts w:ascii="Times New Roman" w:hAnsi="Times New Roman" w:eastAsia="Times New Roman" w:cs="Times New Roman"/>
                <w:color w:val="000000"/>
                <w:sz w:val="21"/>
              </w:rPr>
              <w:t xml:space="preserve">GAS</w:t>
            </w:r>
          </w:p>
        </w:tc>
        <w:tc>
          <w:tcPr>
            <w:tcW w:type="dxa" w:w="2191"/>
          </w:tcPr>
          <w:p>
            <w:pPr>
              <w:pStyle w:val="Compact"/>
              <w:spacing w:after="0" w:line="240" w:lineRule="auto"/>
              <w:jc w:val="left"/>
            </w:pPr>
            <w:r>
              <w:rPr>
                <w:rFonts w:ascii="Times New Roman" w:hAnsi="Times New Roman" w:eastAsia="Times New Roman" w:cs="Times New Roman"/>
                <w:color w:val="000000"/>
                <w:sz w:val="21"/>
              </w:rPr>
              <w:t xml:space="preserve">LNTT 9 tháng +31%</w:t>
            </w:r>
          </w:p>
        </w:tc>
        <w:tc>
          <w:tcPr>
            <w:tcW w:type="dxa" w:w="4550"/>
          </w:tcPr>
          <w:p>
            <w:pPr>
              <w:pStyle w:val="Compact"/>
              <w:spacing w:after="0" w:line="240" w:lineRule="auto"/>
              <w:jc w:val="left"/>
            </w:pPr>
            <w:r>
              <w:rPr>
                <w:rFonts w:ascii="Times New Roman" w:hAnsi="Times New Roman" w:eastAsia="Times New Roman" w:cs="Times New Roman"/>
                <w:color w:val="000000"/>
                <w:sz w:val="21"/>
              </w:rPr>
              <w:t xml:space="preserve">Dao động 76.000–82.000 đ trong tháng 10</w:t>
            </w:r>
          </w:p>
        </w:tc>
        <w:tc>
          <w:tcPr>
            <w:tcW w:type="dxa" w:w="1509"/>
          </w:tcPr>
          <w:p>
            <w:pPr>
              <w:pStyle w:val="Compact"/>
              <w:spacing w:after="0" w:line="240" w:lineRule="auto"/>
              <w:jc w:val="left"/>
            </w:pPr>
            <w:r>
              <w:rPr>
                <w:rFonts w:ascii="Times New Roman" w:hAnsi="Times New Roman" w:eastAsia="Times New Roman" w:cs="Times New Roman"/>
                <w:color w:val="000000"/>
                <w:sz w:val="21"/>
              </w:rPr>
              <w:t xml:space="preserve">Đạt</w:t>
            </w:r>
          </w:p>
        </w:tc>
      </w:tr>
      <w:tr>
        <w:tc>
          <w:tcPr>
            <w:tcW w:type="dxa" w:w="1104"/>
          </w:tcPr>
          <w:p>
            <w:pPr>
              <w:pStyle w:val="Compact"/>
              <w:spacing w:after="0" w:line="240" w:lineRule="auto"/>
              <w:jc w:val="left"/>
            </w:pPr>
            <w:r>
              <w:rPr>
                <w:rFonts w:ascii="Times New Roman" w:hAnsi="Times New Roman" w:eastAsia="Times New Roman" w:cs="Times New Roman"/>
                <w:color w:val="000000"/>
                <w:sz w:val="21"/>
              </w:rPr>
              <w:t xml:space="preserve">HPG</w:t>
            </w:r>
          </w:p>
        </w:tc>
        <w:tc>
          <w:tcPr>
            <w:tcW w:type="dxa" w:w="2191"/>
          </w:tcPr>
          <w:p>
            <w:pPr>
              <w:pStyle w:val="Compact"/>
              <w:spacing w:after="0" w:line="240" w:lineRule="auto"/>
              <w:jc w:val="left"/>
            </w:pPr>
            <w:r>
              <w:rPr>
                <w:rFonts w:ascii="Times New Roman" w:hAnsi="Times New Roman" w:eastAsia="Times New Roman" w:cs="Times New Roman"/>
                <w:color w:val="000000"/>
                <w:sz w:val="21"/>
              </w:rPr>
              <w:t xml:space="preserve">LNST quý II +51%</w:t>
            </w:r>
          </w:p>
        </w:tc>
        <w:tc>
          <w:tcPr>
            <w:tcW w:type="dxa" w:w="4550"/>
          </w:tcPr>
          <w:p>
            <w:pPr>
              <w:pStyle w:val="Compact"/>
              <w:spacing w:after="0" w:line="240" w:lineRule="auto"/>
              <w:jc w:val="left"/>
            </w:pPr>
            <w:r>
              <w:rPr>
                <w:rFonts w:ascii="Times New Roman" w:hAnsi="Times New Roman" w:eastAsia="Times New Roman" w:cs="Times New Roman"/>
                <w:color w:val="000000"/>
                <w:sz w:val="21"/>
              </w:rPr>
              <w:t xml:space="preserve">−12,2% từ đầu năm, dưới đường MA200 gần 5 tháng, 16 quỹ bán ròng 4 tháng liên tiếp</w:t>
            </w:r>
          </w:p>
        </w:tc>
        <w:tc>
          <w:tcPr>
            <w:tcW w:type="dxa" w:w="1509"/>
          </w:tcPr>
          <w:p>
            <w:pPr>
              <w:pStyle w:val="Compact"/>
              <w:spacing w:after="0" w:line="240" w:lineRule="auto"/>
              <w:jc w:val="left"/>
            </w:pPr>
            <w:r>
              <w:rPr>
                <w:rFonts w:ascii="Times New Roman" w:hAnsi="Times New Roman" w:eastAsia="Times New Roman" w:cs="Times New Roman"/>
                <w:color w:val="000000"/>
                <w:sz w:val="21"/>
              </w:rPr>
              <w:t xml:space="preserve">Loại (tiêu chí 3)</w:t>
            </w:r>
          </w:p>
        </w:tc>
      </w:tr>
      <w:tr>
        <w:tc>
          <w:tcPr>
            <w:tcW w:type="dxa" w:w="1104"/>
          </w:tcPr>
          <w:p>
            <w:pPr>
              <w:pStyle w:val="Compact"/>
              <w:spacing w:after="0" w:line="240" w:lineRule="auto"/>
              <w:jc w:val="left"/>
            </w:pPr>
            <w:r>
              <w:rPr>
                <w:rFonts w:ascii="Times New Roman" w:hAnsi="Times New Roman" w:eastAsia="Times New Roman" w:cs="Times New Roman"/>
                <w:color w:val="000000"/>
                <w:sz w:val="21"/>
              </w:rPr>
              <w:t xml:space="preserve">FPT</w:t>
            </w:r>
          </w:p>
        </w:tc>
        <w:tc>
          <w:tcPr>
            <w:tcW w:type="dxa" w:w="2191"/>
          </w:tcPr>
          <w:p>
            <w:pPr>
              <w:pStyle w:val="Compact"/>
              <w:spacing w:after="0" w:line="240" w:lineRule="auto"/>
              <w:jc w:val="left"/>
            </w:pPr>
            <w:r>
              <w:rPr>
                <w:rFonts w:ascii="Times New Roman" w:hAnsi="Times New Roman" w:eastAsia="Times New Roman" w:cs="Times New Roman"/>
                <w:color w:val="000000"/>
                <w:sz w:val="21"/>
              </w:rPr>
              <w:t xml:space="preserve">LNST 9 tháng +13,3%</w:t>
            </w:r>
          </w:p>
        </w:tc>
        <w:tc>
          <w:tcPr>
            <w:tcW w:type="dxa" w:w="4550"/>
          </w:tcPr>
          <w:p>
            <w:pPr>
              <w:pStyle w:val="Compact"/>
              <w:spacing w:after="0" w:line="240" w:lineRule="auto"/>
              <w:jc w:val="left"/>
            </w:pPr>
            <w:r>
              <w:rPr>
                <w:rFonts w:ascii="Times New Roman" w:hAnsi="Times New Roman" w:eastAsia="Times New Roman" w:cs="Times New Roman"/>
                <w:color w:val="000000"/>
                <w:sz w:val="21"/>
              </w:rPr>
              <w:t xml:space="preserve">Từ khoảng 98.000 đ đầu năm còn 57.400 đ (22/10)</w:t>
            </w:r>
          </w:p>
        </w:tc>
        <w:tc>
          <w:tcPr>
            <w:tcW w:type="dxa" w:w="1509"/>
          </w:tcPr>
          <w:p>
            <w:pPr>
              <w:pStyle w:val="Compact"/>
              <w:spacing w:after="0" w:line="240" w:lineRule="auto"/>
              <w:jc w:val="left"/>
            </w:pPr>
            <w:r>
              <w:rPr>
                <w:rFonts w:ascii="Times New Roman" w:hAnsi="Times New Roman" w:eastAsia="Times New Roman" w:cs="Times New Roman"/>
                <w:color w:val="000000"/>
                <w:sz w:val="21"/>
              </w:rPr>
              <w:t xml:space="preserve">Loại (tiêu chí 3)</w:t>
            </w:r>
          </w:p>
        </w:tc>
      </w:tr>
    </w:tbl>
    <w:p>
      <w:pPr>
        <w:pStyle w:val="BodyText"/>
        <w:spacing w:after="80" w:line="276" w:lineRule="auto"/>
      </w:pPr>
      <w:r>
        <w:rPr>
          <w:bCs/>
          <w:rFonts w:ascii="Times New Roman" w:hAnsi="Times New Roman" w:eastAsia="Times New Roman" w:cs="Times New Roman"/>
          <w:b/>
          <w:color w:val="000000"/>
          <w:sz w:val="24"/>
        </w:rPr>
        <w:t xml:space="preserve">Nhận xét.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HPG và FPT là ví dụ của</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lợi nhuận tăng nhưng giá giảm</w:t>
      </w:r>
      <w:r>
        <w:rPr>
          <w:rFonts w:ascii="Times New Roman" w:hAnsi="Times New Roman" w:eastAsia="Times New Roman" w:cs="Times New Roman"/>
          <w:color w:val="000000"/>
          <w:sz w:val="24"/>
        </w:rPr>
        <w:t xml:space="preserve">. Một nhà quản lý quỹ chỉ nên mua cổ phiếu đang giảm khi có lý do rõ ràng để tin xu hướng sẽ đảo chiều trong kỳ đầu tư. Với kỳ hạn 1 tháng, nhóm không có lý do đó. Ngoài ra, với dữ liệu giá lịch sử, hai mã này nhiều khả năng có lợi tức kỳ vọng thấp và độ lệch chuẩn cao, tức bị các mã khác thống trị trên đồ thị lợi tức – rủi ro.</w:t>
      </w:r>
    </w:p>
    <w:p>
      <w:pPr>
        <w:pStyle w:val="BodyText"/>
        <w:spacing w:after="80" w:line="276" w:lineRule="auto"/>
      </w:pPr>
      <w:r>
        <w:rPr>
          <w:bCs/>
          <w:rFonts w:ascii="Times New Roman" w:hAnsi="Times New Roman" w:eastAsia="Times New Roman" w:cs="Times New Roman"/>
          <w:b/>
          <w:color w:val="000000"/>
          <w:sz w:val="24"/>
        </w:rPr>
        <w:t xml:space="preserve">Giả định chung khi định giá (Chương 3, Chương 4).</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Tỷ suất lợi tức yêu cầu được tính theo CAPM: k = Rf + β × [E(RM) − Rf], với Rf = 4,36% (lợi suất trái phiếu Chính phủ 10 năm) và phần bù rủi ro thị trường giả định 8%. Hệ số β tạm giả định theo đặc điểm ngành: MBB 1,1; MWG 1,2; GAS 0,8. Ở Bài tập 2, các hệ số này sẽ được thay bằng β ước lượng từ dữ liệu giá ngày, theo công thức β = Cov(Ri, RM)/σ²M.</w:t>
      </w:r>
    </w:p>
    <w:bookmarkEnd w:id="26"/>
    <w:bookmarkStart w:id="27" w:name="mbb-ngân-hàng-tmcp-quân-đội-hose"/>
    <w:p>
      <w:pPr>
        <w:pStyle w:val="Heading3"/>
        <w:spacing w:after="80" w:line="276" w:lineRule="auto" w:before="160"/>
      </w:pPr>
      <w:r>
        <w:rPr>
          <w:rFonts w:ascii="Times New Roman" w:hAnsi="Times New Roman" w:eastAsia="Times New Roman" w:cs="Times New Roman"/>
          <w:b/>
          <w:color w:val="000000"/>
          <w:sz w:val="26"/>
        </w:rPr>
        <w:t xml:space="preserve">2.2 MBB – Ngân hàng TMCP Quân đội (HOSE)</w:t>
      </w:r>
    </w:p>
    <w:p>
      <w:pPr>
        <w:pStyle w:val="FirstParagraph"/>
        <w:spacing w:after="80" w:line="276" w:lineRule="auto"/>
      </w:pPr>
      <w:r>
        <w:rPr>
          <w:bCs/>
          <w:rFonts w:ascii="Times New Roman" w:hAnsi="Times New Roman" w:eastAsia="Times New Roman" w:cs="Times New Roman"/>
          <w:b/>
          <w:color w:val="000000"/>
          <w:sz w:val="24"/>
        </w:rPr>
        <w:t xml:space="preserve">Mô hình kinh doanh.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MB là ngân hàng thương mại cổ phần có cổ đông lớn là các đơn vị thuộc Bộ Quốc phòng. Nguồn thu chính là</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chênh lệch lãi suất</w:t>
      </w:r>
      <w:r>
        <w:rPr>
          <w:rFonts w:ascii="Times New Roman" w:hAnsi="Times New Roman" w:eastAsia="Times New Roman" w:cs="Times New Roman"/>
          <w:color w:val="000000"/>
          <w:sz w:val="24"/>
        </w:rPr>
        <w:t xml:space="preserve">: huy động tiền gửi (đặc biệt tiền gửi không kỳ hạn, CASA, nhờ hệ sinh thái ngân hàng số với gần 40 triệu khách hàng) rồi cho vay với lãi suất cao hơn. MB có hệ sinh thái tài chính gồm chứng khoán MBS (sở hữu 76,35%), tài chính tiêu dùng MCredit (50%), bảo hiểm và ngân hàng MBV (100%, nhận chuyển giao bắt buộc).</w:t>
      </w:r>
    </w:p>
    <w:p>
      <w:pPr>
        <w:pStyle w:val="BodyText"/>
        <w:spacing w:after="80" w:line="276" w:lineRule="auto"/>
      </w:pPr>
      <w:r>
        <w:rPr>
          <w:bCs/>
          <w:rFonts w:ascii="Times New Roman" w:hAnsi="Times New Roman" w:eastAsia="Times New Roman" w:cs="Times New Roman"/>
          <w:b/>
          <w:color w:val="000000"/>
          <w:sz w:val="24"/>
        </w:rPr>
        <w:t xml:space="preserve">Kết quả kinh doanh và tình hình tài chính</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645"/>
        <w:gridCol w:w="1669"/>
        <w:gridCol w:w="2287"/>
        <w:gridCol w:w="2753"/>
      </w:tblGrid>
      <w:tr>
        <w:trPr>
          <w:tblHeader w:val="true"/>
        </w:trPr>
        <w:tc>
          <w:tcPr>
            <w:tcW w:type="dxa" w:w="2645"/>
          </w:tcPr>
          <w:p>
            <w:pPr>
              <w:pStyle w:val="Compact"/>
              <w:spacing w:after="0" w:line="240" w:lineRule="auto"/>
              <w:jc w:val="left"/>
            </w:pPr>
            <w:r>
              <w:rPr>
                <w:rFonts w:ascii="Times New Roman" w:hAnsi="Times New Roman" w:eastAsia="Times New Roman" w:cs="Times New Roman"/>
                <w:b/>
                <w:color w:val="000000"/>
                <w:sz w:val="21"/>
              </w:rPr>
              <w:t xml:space="preserve">Chỉ tiêu</w:t>
            </w:r>
          </w:p>
        </w:tc>
        <w:tc>
          <w:tcPr>
            <w:tcW w:type="dxa" w:w="1669"/>
          </w:tcPr>
          <w:p>
            <w:pPr>
              <w:pStyle w:val="Compact"/>
              <w:spacing w:after="0" w:line="240" w:lineRule="auto"/>
              <w:jc w:val="left"/>
            </w:pPr>
            <w:r>
              <w:rPr>
                <w:rFonts w:ascii="Times New Roman" w:hAnsi="Times New Roman" w:eastAsia="Times New Roman" w:cs="Times New Roman"/>
                <w:b/>
                <w:color w:val="000000"/>
                <w:sz w:val="21"/>
              </w:rPr>
              <w:t xml:space="preserve">2025</w:t>
            </w:r>
          </w:p>
        </w:tc>
        <w:tc>
          <w:tcPr>
            <w:tcW w:type="dxa" w:w="2287"/>
          </w:tcPr>
          <w:p>
            <w:pPr>
              <w:pStyle w:val="Compact"/>
              <w:spacing w:after="0" w:line="240" w:lineRule="auto"/>
              <w:jc w:val="left"/>
            </w:pPr>
            <w:r>
              <w:rPr>
                <w:rFonts w:ascii="Times New Roman" w:hAnsi="Times New Roman" w:eastAsia="Times New Roman" w:cs="Times New Roman"/>
                <w:b/>
                <w:color w:val="000000"/>
                <w:sz w:val="21"/>
              </w:rPr>
              <w:t xml:space="preserve">6 tháng 2026</w:t>
            </w:r>
          </w:p>
        </w:tc>
        <w:tc>
          <w:tcPr>
            <w:tcW w:type="dxa" w:w="2753"/>
          </w:tcPr>
          <w:p>
            <w:pPr>
              <w:pStyle w:val="Compact"/>
              <w:spacing w:after="0" w:line="240" w:lineRule="auto"/>
              <w:jc w:val="left"/>
            </w:pPr>
            <w:r>
              <w:rPr>
                <w:rFonts w:ascii="Times New Roman" w:hAnsi="Times New Roman" w:eastAsia="Times New Roman" w:cs="Times New Roman"/>
                <w:b/>
                <w:color w:val="000000"/>
                <w:sz w:val="21"/>
              </w:rPr>
              <w:t xml:space="preserve">Thay đổi</w:t>
            </w:r>
          </w:p>
        </w:tc>
      </w:tr>
      <w:tr>
        <w:tc>
          <w:tcPr>
            <w:tcW w:type="dxa" w:w="2645"/>
          </w:tcPr>
          <w:p>
            <w:pPr>
              <w:pStyle w:val="Compact"/>
              <w:spacing w:after="0" w:line="240" w:lineRule="auto"/>
              <w:jc w:val="left"/>
            </w:pPr>
            <w:r>
              <w:rPr>
                <w:rFonts w:ascii="Times New Roman" w:hAnsi="Times New Roman" w:eastAsia="Times New Roman" w:cs="Times New Roman"/>
                <w:color w:val="000000"/>
                <w:sz w:val="21"/>
              </w:rPr>
              <w:t xml:space="preserve">Lợi nhuận trước thuế hợp nhất</w:t>
            </w:r>
          </w:p>
        </w:tc>
        <w:tc>
          <w:tcPr>
            <w:tcW w:type="dxa" w:w="1669"/>
          </w:tcPr>
          <w:p>
            <w:pPr>
              <w:pStyle w:val="Compact"/>
              <w:spacing w:after="0" w:line="240" w:lineRule="auto"/>
              <w:jc w:val="left"/>
            </w:pPr>
            <w:r>
              <w:rPr>
                <w:rFonts w:ascii="Times New Roman" w:hAnsi="Times New Roman" w:eastAsia="Times New Roman" w:cs="Times New Roman"/>
                <w:color w:val="000000"/>
                <w:sz w:val="21"/>
              </w:rPr>
              <w:t xml:space="preserve">34.268 tỷ đ</w:t>
            </w:r>
          </w:p>
        </w:tc>
        <w:tc>
          <w:tcPr>
            <w:tcW w:type="dxa" w:w="2287"/>
          </w:tcPr>
          <w:p>
            <w:pPr>
              <w:pStyle w:val="Compact"/>
              <w:spacing w:after="0" w:line="240" w:lineRule="auto"/>
              <w:jc w:val="left"/>
            </w:pPr>
            <w:r>
              <w:rPr>
                <w:rFonts w:ascii="Times New Roman" w:hAnsi="Times New Roman" w:eastAsia="Times New Roman" w:cs="Times New Roman"/>
                <w:color w:val="000000"/>
                <w:sz w:val="21"/>
              </w:rPr>
              <w:t xml:space="preserve">20.188 tỷ đ</w:t>
            </w:r>
          </w:p>
        </w:tc>
        <w:tc>
          <w:tcPr>
            <w:tcW w:type="dxa" w:w="2753"/>
          </w:tcPr>
          <w:p>
            <w:pPr>
              <w:pStyle w:val="Compact"/>
              <w:spacing w:after="0" w:line="240" w:lineRule="auto"/>
              <w:jc w:val="left"/>
            </w:pPr>
            <w:r>
              <w:rPr>
                <w:rFonts w:ascii="Times New Roman" w:hAnsi="Times New Roman" w:eastAsia="Times New Roman" w:cs="Times New Roman"/>
                <w:color w:val="000000"/>
                <w:sz w:val="21"/>
              </w:rPr>
              <w:t xml:space="preserve">+18,9% / +27,1%</w:t>
            </w:r>
          </w:p>
        </w:tc>
      </w:tr>
      <w:tr>
        <w:tc>
          <w:tcPr>
            <w:tcW w:type="dxa" w:w="2645"/>
          </w:tcPr>
          <w:p>
            <w:pPr>
              <w:pStyle w:val="Compact"/>
              <w:spacing w:after="0" w:line="240" w:lineRule="auto"/>
              <w:jc w:val="left"/>
            </w:pPr>
            <w:r>
              <w:rPr>
                <w:rFonts w:ascii="Times New Roman" w:hAnsi="Times New Roman" w:eastAsia="Times New Roman" w:cs="Times New Roman"/>
                <w:color w:val="000000"/>
                <w:sz w:val="21"/>
              </w:rPr>
              <w:t xml:space="preserve">Thu nhập lãi thuần</w:t>
            </w:r>
          </w:p>
        </w:tc>
        <w:tc>
          <w:tcPr>
            <w:tcW w:type="dxa" w:w="1669"/>
          </w:tcPr>
          <w:p>
            <w:pPr>
              <w:pStyle w:val="Compact"/>
              <w:spacing w:after="0" w:line="240" w:lineRule="auto"/>
              <w:jc w:val="left"/>
            </w:pPr>
            <w:r>
              <w:rPr>
                <w:rFonts w:ascii="Times New Roman" w:hAnsi="Times New Roman" w:eastAsia="Times New Roman" w:cs="Times New Roman"/>
                <w:color w:val="000000"/>
                <w:sz w:val="21"/>
              </w:rPr>
              <w:t xml:space="preserve">–</w:t>
            </w:r>
          </w:p>
        </w:tc>
        <w:tc>
          <w:tcPr>
            <w:tcW w:type="dxa" w:w="2287"/>
          </w:tcPr>
          <w:p>
            <w:pPr>
              <w:pStyle w:val="Compact"/>
              <w:spacing w:after="0" w:line="240" w:lineRule="auto"/>
              <w:jc w:val="left"/>
            </w:pPr>
            <w:r>
              <w:rPr>
                <w:rFonts w:ascii="Times New Roman" w:hAnsi="Times New Roman" w:eastAsia="Times New Roman" w:cs="Times New Roman"/>
                <w:color w:val="000000"/>
                <w:sz w:val="21"/>
              </w:rPr>
              <w:t xml:space="preserve">31.807 tỷ đ</w:t>
            </w:r>
          </w:p>
        </w:tc>
        <w:tc>
          <w:tcPr>
            <w:tcW w:type="dxa" w:w="2753"/>
          </w:tcPr>
          <w:p>
            <w:pPr>
              <w:pStyle w:val="Compact"/>
              <w:spacing w:after="0" w:line="240" w:lineRule="auto"/>
              <w:jc w:val="left"/>
            </w:pPr>
            <w:r>
              <w:rPr>
                <w:rFonts w:ascii="Times New Roman" w:hAnsi="Times New Roman" w:eastAsia="Times New Roman" w:cs="Times New Roman"/>
                <w:color w:val="000000"/>
                <w:sz w:val="21"/>
              </w:rPr>
              <w:t xml:space="preserve">+32,2%</w:t>
            </w:r>
          </w:p>
        </w:tc>
      </w:tr>
      <w:tr>
        <w:tc>
          <w:tcPr>
            <w:tcW w:type="dxa" w:w="2645"/>
          </w:tcPr>
          <w:p>
            <w:pPr>
              <w:pStyle w:val="Compact"/>
              <w:spacing w:after="0" w:line="240" w:lineRule="auto"/>
              <w:jc w:val="left"/>
            </w:pPr>
            <w:r>
              <w:rPr>
                <w:rFonts w:ascii="Times New Roman" w:hAnsi="Times New Roman" w:eastAsia="Times New Roman" w:cs="Times New Roman"/>
                <w:color w:val="000000"/>
                <w:sz w:val="21"/>
              </w:rPr>
              <w:t xml:space="preserve">Dư nợ tín dụng</w:t>
            </w:r>
          </w:p>
        </w:tc>
        <w:tc>
          <w:tcPr>
            <w:tcW w:type="dxa" w:w="1669"/>
          </w:tcPr>
          <w:p>
            <w:pPr>
              <w:pStyle w:val="Compact"/>
              <w:spacing w:after="0" w:line="240" w:lineRule="auto"/>
              <w:jc w:val="left"/>
            </w:pPr>
            <w:r>
              <w:rPr>
                <w:rFonts w:ascii="Times New Roman" w:hAnsi="Times New Roman" w:eastAsia="Times New Roman" w:cs="Times New Roman"/>
                <w:color w:val="000000"/>
                <w:sz w:val="21"/>
              </w:rPr>
              <w:t xml:space="preserve">–</w:t>
            </w:r>
          </w:p>
        </w:tc>
        <w:tc>
          <w:tcPr>
            <w:tcW w:type="dxa" w:w="2287"/>
          </w:tcPr>
          <w:p>
            <w:pPr>
              <w:pStyle w:val="Compact"/>
              <w:spacing w:after="0" w:line="240" w:lineRule="auto"/>
              <w:jc w:val="left"/>
            </w:pPr>
            <w:r>
              <w:rPr>
                <w:rFonts w:ascii="Times New Roman" w:hAnsi="Times New Roman" w:eastAsia="Times New Roman" w:cs="Times New Roman"/>
                <w:color w:val="000000"/>
                <w:sz w:val="21"/>
              </w:rPr>
              <w:t xml:space="preserve">1,256 triệu tỷ đ</w:t>
            </w:r>
          </w:p>
        </w:tc>
        <w:tc>
          <w:tcPr>
            <w:tcW w:type="dxa" w:w="2753"/>
          </w:tcPr>
          <w:p>
            <w:pPr>
              <w:pStyle w:val="Compact"/>
              <w:spacing w:after="0" w:line="240" w:lineRule="auto"/>
              <w:jc w:val="left"/>
            </w:pPr>
            <w:r>
              <w:rPr>
                <w:rFonts w:ascii="Times New Roman" w:hAnsi="Times New Roman" w:eastAsia="Times New Roman" w:cs="Times New Roman"/>
                <w:color w:val="000000"/>
                <w:sz w:val="21"/>
              </w:rPr>
              <w:t xml:space="preserve">+13% so với đầu năm</w:t>
            </w:r>
          </w:p>
        </w:tc>
      </w:tr>
      <w:tr>
        <w:tc>
          <w:tcPr>
            <w:tcW w:type="dxa" w:w="2645"/>
          </w:tcPr>
          <w:p>
            <w:pPr>
              <w:pStyle w:val="Compact"/>
              <w:spacing w:after="0" w:line="240" w:lineRule="auto"/>
              <w:jc w:val="left"/>
            </w:pPr>
            <w:r>
              <w:rPr>
                <w:rFonts w:ascii="Times New Roman" w:hAnsi="Times New Roman" w:eastAsia="Times New Roman" w:cs="Times New Roman"/>
                <w:color w:val="000000"/>
                <w:sz w:val="21"/>
              </w:rPr>
              <w:t xml:space="preserve">Tỷ lệ nợ xấu</w:t>
            </w:r>
          </w:p>
        </w:tc>
        <w:tc>
          <w:tcPr>
            <w:tcW w:type="dxa" w:w="1669"/>
          </w:tcPr>
          <w:p>
            <w:pPr>
              <w:pStyle w:val="Compact"/>
              <w:spacing w:after="0" w:line="240" w:lineRule="auto"/>
              <w:jc w:val="left"/>
            </w:pPr>
            <w:r>
              <w:rPr>
                <w:rFonts w:ascii="Times New Roman" w:hAnsi="Times New Roman" w:eastAsia="Times New Roman" w:cs="Times New Roman"/>
                <w:color w:val="000000"/>
                <w:sz w:val="21"/>
              </w:rPr>
              <w:t xml:space="preserve">1,29% (quý IV)</w:t>
            </w:r>
          </w:p>
        </w:tc>
        <w:tc>
          <w:tcPr>
            <w:tcW w:type="dxa" w:w="2287"/>
          </w:tcPr>
          <w:p>
            <w:pPr>
              <w:pStyle w:val="Compact"/>
              <w:spacing w:after="0" w:line="240" w:lineRule="auto"/>
              <w:jc w:val="left"/>
            </w:pPr>
            <w:r>
              <w:rPr>
                <w:rFonts w:ascii="Times New Roman" w:hAnsi="Times New Roman" w:eastAsia="Times New Roman" w:cs="Times New Roman"/>
                <w:color w:val="000000"/>
                <w:sz w:val="21"/>
              </w:rPr>
              <w:t xml:space="preserve">1,4%</w:t>
            </w:r>
          </w:p>
        </w:tc>
        <w:tc>
          <w:tcPr>
            <w:tcW w:type="dxa" w:w="2753"/>
          </w:tcPr>
          <w:p>
            <w:pPr>
              <w:pStyle w:val="Compact"/>
              <w:spacing w:after="0" w:line="240" w:lineRule="auto"/>
              <w:jc w:val="left"/>
            </w:pPr>
            <w:r>
              <w:rPr>
                <w:rFonts w:ascii="Times New Roman" w:hAnsi="Times New Roman" w:eastAsia="Times New Roman" w:cs="Times New Roman"/>
                <w:color w:val="000000"/>
                <w:sz w:val="21"/>
              </w:rPr>
              <w:t xml:space="preserve">Bao phủ nợ xấu 93,6%</w:t>
            </w:r>
          </w:p>
        </w:tc>
      </w:tr>
      <w:tr>
        <w:tc>
          <w:tcPr>
            <w:tcW w:type="dxa" w:w="2645"/>
          </w:tcPr>
          <w:p>
            <w:pPr>
              <w:pStyle w:val="Compact"/>
              <w:spacing w:after="0" w:line="240" w:lineRule="auto"/>
              <w:jc w:val="left"/>
            </w:pPr>
            <w:r>
              <w:rPr>
                <w:rFonts w:ascii="Times New Roman" w:hAnsi="Times New Roman" w:eastAsia="Times New Roman" w:cs="Times New Roman"/>
                <w:color w:val="000000"/>
                <w:sz w:val="21"/>
              </w:rPr>
              <w:t xml:space="preserve">Kế hoạch LNTT 2026</w:t>
            </w:r>
          </w:p>
        </w:tc>
        <w:tc>
          <w:tcPr>
            <w:tcW w:type="dxa" w:w="1669"/>
          </w:tcPr>
          <w:p>
            <w:pPr>
              <w:pStyle w:val="Compact"/>
              <w:spacing w:after="0" w:line="240" w:lineRule="auto"/>
            </w:pPr>
          </w:p>
        </w:tc>
        <w:tc>
          <w:tcPr>
            <w:tcW w:type="dxa" w:w="2287"/>
          </w:tcPr>
          <w:p>
            <w:pPr>
              <w:pStyle w:val="Compact"/>
              <w:spacing w:after="0" w:line="240" w:lineRule="auto"/>
              <w:jc w:val="left"/>
            </w:pPr>
            <w:r>
              <w:rPr>
                <w:rFonts w:ascii="Times New Roman" w:hAnsi="Times New Roman" w:eastAsia="Times New Roman" w:cs="Times New Roman"/>
                <w:color w:val="000000"/>
                <w:sz w:val="21"/>
              </w:rPr>
              <w:t xml:space="preserve">39.500 tỷ đ</w:t>
            </w:r>
          </w:p>
        </w:tc>
        <w:tc>
          <w:tcPr>
            <w:tcW w:type="dxa" w:w="2753"/>
          </w:tcPr>
          <w:p>
            <w:pPr>
              <w:pStyle w:val="Compact"/>
              <w:spacing w:after="0" w:line="240" w:lineRule="auto"/>
              <w:jc w:val="left"/>
            </w:pPr>
            <w:r>
              <w:rPr>
                <w:rFonts w:ascii="Times New Roman" w:hAnsi="Times New Roman" w:eastAsia="Times New Roman" w:cs="Times New Roman"/>
                <w:color w:val="000000"/>
                <w:sz w:val="21"/>
              </w:rPr>
              <w:t xml:space="preserve">+15%; đã đạt 51,1% sau 6 tháng</w:t>
            </w:r>
          </w:p>
        </w:tc>
      </w:tr>
    </w:tbl>
    <w:p>
      <w:pPr>
        <w:pStyle w:val="BodyText"/>
        <w:spacing w:after="80" w:line="276" w:lineRule="auto"/>
      </w:pPr>
      <w:r>
        <w:rPr>
          <w:bCs/>
          <w:rFonts w:ascii="Times New Roman" w:hAnsi="Times New Roman" w:eastAsia="Times New Roman" w:cs="Times New Roman"/>
          <w:b/>
          <w:color w:val="000000"/>
          <w:sz w:val="24"/>
        </w:rPr>
        <w:t xml:space="preserve">Cổ tức.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Kế hoạch 2026 chia 25% (10% tiền mặt, 15% cổ phiếu). Phần tiền mặt tương đương 1.000 đ/cp, tức</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tỷ suất cổ tức khoảng 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tại giá 19.850 đ.</w:t>
      </w:r>
    </w:p>
    <w:p>
      <w:pPr>
        <w:pStyle w:val="BodyText"/>
        <w:spacing w:after="80" w:line="276" w:lineRule="auto"/>
      </w:pPr>
      <w:r>
        <w:rPr>
          <w:bCs/>
          <w:rFonts w:ascii="Times New Roman" w:hAnsi="Times New Roman" w:eastAsia="Times New Roman" w:cs="Times New Roman"/>
          <w:b/>
          <w:color w:val="000000"/>
          <w:sz w:val="24"/>
        </w:rPr>
        <w:t xml:space="preserve">Rủi ro.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 NIM bị thu hẹp: dự phóng 3,95% năm 2026, giảm 0,1 điểm %, vì cho vay tăng nhanh hơn huy động và tỷ lệ CASA giảm. (2) Chất lượng tài sản: Kiểm toán Nhà nước ghi nhận nợ nhóm 5 (có khả năng mất vốn) năm 2025 tăng 39,4%, lên 6.421 tỷ đ. (3) Pha loãng do chia cổ tức bằng cổ phiếu.</w:t>
      </w:r>
    </w:p>
    <w:p>
      <w:pPr>
        <w:pStyle w:val="BodyText"/>
        <w:spacing w:after="80" w:line="276" w:lineRule="auto"/>
      </w:pPr>
      <w:r>
        <w:rPr>
          <w:bCs/>
          <w:rFonts w:ascii="Times New Roman" w:hAnsi="Times New Roman" w:eastAsia="Times New Roman" w:cs="Times New Roman"/>
          <w:b/>
          <w:color w:val="000000"/>
          <w:sz w:val="24"/>
        </w:rPr>
        <w:t xml:space="preserve">Định giá (phương pháp P/B hợp lý, suy ra từ mô hình cổ tức tăng trưởng đều).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Từ V₀ = D₁/(k − g), D₁ = E₁ × (1 − b), E₁ = ROE × B₀ và g = ROE × b, ta được</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P/B hợp lý = (ROE − g)/(k − g)</w:t>
      </w:r>
      <w:r>
        <w:rPr>
          <w:rFonts w:ascii="Times New Roman" w:hAnsi="Times New Roman" w:eastAsia="Times New Roman" w:cs="Times New Roman"/>
          <w:color w:val="000000"/>
          <w:sz w:val="24"/>
        </w:rPr>
        <w:t xml:space="preserve">. Với β = 1,1: k = 4,36% + 1,1 × 8% = 13,16%. Giá trị sổ sách mỗi cổ phiếu (BVPS) là 19.462 đ.</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209"/>
        <w:gridCol w:w="1694"/>
        <w:gridCol w:w="1335"/>
        <w:gridCol w:w="1750"/>
        <w:gridCol w:w="2367"/>
      </w:tblGrid>
      <w:tr>
        <w:trPr>
          <w:tblHeader w:val="true"/>
        </w:trPr>
        <w:tc>
          <w:tcPr>
            <w:tcW w:type="dxa" w:w="2209"/>
          </w:tcPr>
          <w:p>
            <w:pPr>
              <w:pStyle w:val="Compact"/>
              <w:spacing w:after="0" w:line="240" w:lineRule="auto"/>
              <w:jc w:val="left"/>
            </w:pPr>
            <w:r>
              <w:rPr>
                <w:rFonts w:ascii="Times New Roman" w:hAnsi="Times New Roman" w:eastAsia="Times New Roman" w:cs="Times New Roman"/>
                <w:b/>
                <w:color w:val="000000"/>
                <w:sz w:val="21"/>
              </w:rPr>
              <w:t xml:space="preserve">Kịch bản</w:t>
            </w:r>
          </w:p>
        </w:tc>
        <w:tc>
          <w:tcPr>
            <w:tcW w:type="dxa" w:w="1694"/>
          </w:tcPr>
          <w:p>
            <w:pPr>
              <w:pStyle w:val="Compact"/>
              <w:spacing w:after="0" w:line="240" w:lineRule="auto"/>
              <w:jc w:val="left"/>
            </w:pPr>
            <w:r>
              <w:rPr>
                <w:rFonts w:ascii="Times New Roman" w:hAnsi="Times New Roman" w:eastAsia="Times New Roman" w:cs="Times New Roman"/>
                <w:b/>
                <w:color w:val="000000"/>
                <w:sz w:val="21"/>
              </w:rPr>
              <w:t xml:space="preserve">ROE bền vững</w:t>
            </w:r>
          </w:p>
        </w:tc>
        <w:tc>
          <w:tcPr>
            <w:tcW w:type="dxa" w:w="1335"/>
          </w:tcPr>
          <w:p>
            <w:pPr>
              <w:pStyle w:val="Compact"/>
              <w:spacing w:after="0" w:line="240" w:lineRule="auto"/>
              <w:jc w:val="left"/>
            </w:pPr>
            <w:r>
              <w:rPr>
                <w:rFonts w:ascii="Times New Roman" w:hAnsi="Times New Roman" w:eastAsia="Times New Roman" w:cs="Times New Roman"/>
                <w:b/>
                <w:color w:val="000000"/>
                <w:sz w:val="21"/>
              </w:rPr>
              <w:t xml:space="preserve">g dài hạn</w:t>
            </w:r>
          </w:p>
        </w:tc>
        <w:tc>
          <w:tcPr>
            <w:tcW w:type="dxa" w:w="1750"/>
          </w:tcPr>
          <w:p>
            <w:pPr>
              <w:pStyle w:val="Compact"/>
              <w:spacing w:after="0" w:line="240" w:lineRule="auto"/>
              <w:jc w:val="left"/>
            </w:pPr>
            <w:r>
              <w:rPr>
                <w:rFonts w:ascii="Times New Roman" w:hAnsi="Times New Roman" w:eastAsia="Times New Roman" w:cs="Times New Roman"/>
                <w:b/>
                <w:color w:val="000000"/>
                <w:sz w:val="21"/>
              </w:rPr>
              <w:t xml:space="preserve">P/B hợp lý</w:t>
            </w:r>
          </w:p>
        </w:tc>
        <w:tc>
          <w:tcPr>
            <w:tcW w:type="dxa" w:w="2367"/>
          </w:tcPr>
          <w:p>
            <w:pPr>
              <w:pStyle w:val="Compact"/>
              <w:spacing w:after="0" w:line="240" w:lineRule="auto"/>
              <w:jc w:val="left"/>
            </w:pPr>
            <w:r>
              <w:rPr>
                <w:rFonts w:ascii="Times New Roman" w:hAnsi="Times New Roman" w:eastAsia="Times New Roman" w:cs="Times New Roman"/>
                <w:b/>
                <w:color w:val="000000"/>
                <w:sz w:val="21"/>
              </w:rPr>
              <w:t xml:space="preserve">Giá trị (đ/cp)</w:t>
            </w:r>
          </w:p>
        </w:tc>
      </w:tr>
      <w:tr>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Thận trọng</w:t>
            </w:r>
          </w:p>
        </w:tc>
        <w:tc>
          <w:tcPr>
            <w:tcW w:type="dxa" w:w="1694"/>
          </w:tcPr>
          <w:p>
            <w:pPr>
              <w:pStyle w:val="Compact"/>
              <w:spacing w:after="0" w:line="240" w:lineRule="auto"/>
              <w:jc w:val="left"/>
            </w:pPr>
            <w:r>
              <w:rPr>
                <w:rFonts w:ascii="Times New Roman" w:hAnsi="Times New Roman" w:eastAsia="Times New Roman" w:cs="Times New Roman"/>
                <w:color w:val="000000"/>
                <w:sz w:val="21"/>
              </w:rPr>
              <w:t xml:space="preserve">15%</w:t>
            </w:r>
          </w:p>
        </w:tc>
        <w:tc>
          <w:tcPr>
            <w:tcW w:type="dxa" w:w="1335"/>
          </w:tcPr>
          <w:p>
            <w:pPr>
              <w:pStyle w:val="Compact"/>
              <w:spacing w:after="0" w:line="240" w:lineRule="auto"/>
              <w:jc w:val="left"/>
            </w:pPr>
            <w:r>
              <w:rPr>
                <w:rFonts w:ascii="Times New Roman" w:hAnsi="Times New Roman" w:eastAsia="Times New Roman" w:cs="Times New Roman"/>
                <w:color w:val="000000"/>
                <w:sz w:val="21"/>
              </w:rPr>
              <w:t xml:space="preserve">6%</w:t>
            </w:r>
          </w:p>
        </w:tc>
        <w:tc>
          <w:tcPr>
            <w:tcW w:type="dxa" w:w="1750"/>
          </w:tcPr>
          <w:p>
            <w:pPr>
              <w:pStyle w:val="Compact"/>
              <w:spacing w:after="0" w:line="240" w:lineRule="auto"/>
              <w:jc w:val="left"/>
            </w:pPr>
            <w:r>
              <w:rPr>
                <w:rFonts w:ascii="Times New Roman" w:hAnsi="Times New Roman" w:eastAsia="Times New Roman" w:cs="Times New Roman"/>
                <w:color w:val="000000"/>
                <w:sz w:val="21"/>
              </w:rPr>
              <w:t xml:space="preserve">1,26</w:t>
            </w:r>
          </w:p>
        </w:tc>
        <w:tc>
          <w:tcPr>
            <w:tcW w:type="dxa" w:w="2367"/>
          </w:tcPr>
          <w:p>
            <w:pPr>
              <w:pStyle w:val="Compact"/>
              <w:spacing w:after="0" w:line="240" w:lineRule="auto"/>
              <w:jc w:val="left"/>
            </w:pPr>
            <w:r>
              <w:rPr>
                <w:rFonts w:ascii="Times New Roman" w:hAnsi="Times New Roman" w:eastAsia="Times New Roman" w:cs="Times New Roman"/>
                <w:color w:val="000000"/>
                <w:sz w:val="21"/>
              </w:rPr>
              <w:t xml:space="preserve">24.500</w:t>
            </w:r>
          </w:p>
        </w:tc>
      </w:tr>
      <w:tr>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Cơ sở</w:t>
            </w:r>
          </w:p>
        </w:tc>
        <w:tc>
          <w:tcPr>
            <w:tcW w:type="dxa" w:w="1694"/>
          </w:tcPr>
          <w:p>
            <w:pPr>
              <w:pStyle w:val="Compact"/>
              <w:spacing w:after="0" w:line="240" w:lineRule="auto"/>
              <w:jc w:val="left"/>
            </w:pPr>
            <w:r>
              <w:rPr>
                <w:rFonts w:ascii="Times New Roman" w:hAnsi="Times New Roman" w:eastAsia="Times New Roman" w:cs="Times New Roman"/>
                <w:color w:val="000000"/>
                <w:sz w:val="21"/>
              </w:rPr>
              <w:t xml:space="preserve">17%</w:t>
            </w:r>
          </w:p>
        </w:tc>
        <w:tc>
          <w:tcPr>
            <w:tcW w:type="dxa" w:w="1335"/>
          </w:tcPr>
          <w:p>
            <w:pPr>
              <w:pStyle w:val="Compact"/>
              <w:spacing w:after="0" w:line="240" w:lineRule="auto"/>
              <w:jc w:val="left"/>
            </w:pPr>
            <w:r>
              <w:rPr>
                <w:rFonts w:ascii="Times New Roman" w:hAnsi="Times New Roman" w:eastAsia="Times New Roman" w:cs="Times New Roman"/>
                <w:color w:val="000000"/>
                <w:sz w:val="21"/>
              </w:rPr>
              <w:t xml:space="preserve">6%</w:t>
            </w:r>
          </w:p>
        </w:tc>
        <w:tc>
          <w:tcPr>
            <w:tcW w:type="dxa" w:w="1750"/>
          </w:tcPr>
          <w:p>
            <w:pPr>
              <w:pStyle w:val="Compact"/>
              <w:spacing w:after="0" w:line="240" w:lineRule="auto"/>
              <w:jc w:val="left"/>
            </w:pPr>
            <w:r>
              <w:rPr>
                <w:rFonts w:ascii="Times New Roman" w:hAnsi="Times New Roman" w:eastAsia="Times New Roman" w:cs="Times New Roman"/>
                <w:color w:val="000000"/>
                <w:sz w:val="21"/>
              </w:rPr>
              <w:t xml:space="preserve">1,54</w:t>
            </w:r>
          </w:p>
        </w:tc>
        <w:tc>
          <w:tcPr>
            <w:tcW w:type="dxa" w:w="2367"/>
          </w:tcPr>
          <w:p>
            <w:pPr>
              <w:pStyle w:val="Compact"/>
              <w:spacing w:after="0" w:line="240" w:lineRule="auto"/>
              <w:jc w:val="left"/>
            </w:pPr>
            <w:r>
              <w:rPr>
                <w:rFonts w:ascii="Times New Roman" w:hAnsi="Times New Roman" w:eastAsia="Times New Roman" w:cs="Times New Roman"/>
                <w:color w:val="000000"/>
                <w:sz w:val="21"/>
              </w:rPr>
              <w:t xml:space="preserve">29.900</w:t>
            </w:r>
          </w:p>
        </w:tc>
      </w:tr>
      <w:tr>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Lạc quan</w:t>
            </w:r>
          </w:p>
        </w:tc>
        <w:tc>
          <w:tcPr>
            <w:tcW w:type="dxa" w:w="1694"/>
          </w:tcPr>
          <w:p>
            <w:pPr>
              <w:pStyle w:val="Compact"/>
              <w:spacing w:after="0" w:line="240" w:lineRule="auto"/>
              <w:jc w:val="left"/>
            </w:pPr>
            <w:r>
              <w:rPr>
                <w:rFonts w:ascii="Times New Roman" w:hAnsi="Times New Roman" w:eastAsia="Times New Roman" w:cs="Times New Roman"/>
                <w:color w:val="000000"/>
                <w:sz w:val="21"/>
              </w:rPr>
              <w:t xml:space="preserve">20%</w:t>
            </w:r>
          </w:p>
        </w:tc>
        <w:tc>
          <w:tcPr>
            <w:tcW w:type="dxa" w:w="1335"/>
          </w:tcPr>
          <w:p>
            <w:pPr>
              <w:pStyle w:val="Compact"/>
              <w:spacing w:after="0" w:line="240" w:lineRule="auto"/>
              <w:jc w:val="left"/>
            </w:pPr>
            <w:r>
              <w:rPr>
                <w:rFonts w:ascii="Times New Roman" w:hAnsi="Times New Roman" w:eastAsia="Times New Roman" w:cs="Times New Roman"/>
                <w:color w:val="000000"/>
                <w:sz w:val="21"/>
              </w:rPr>
              <w:t xml:space="preserve">7%</w:t>
            </w:r>
          </w:p>
        </w:tc>
        <w:tc>
          <w:tcPr>
            <w:tcW w:type="dxa" w:w="1750"/>
          </w:tcPr>
          <w:p>
            <w:pPr>
              <w:pStyle w:val="Compact"/>
              <w:spacing w:after="0" w:line="240" w:lineRule="auto"/>
              <w:jc w:val="left"/>
            </w:pPr>
            <w:r>
              <w:rPr>
                <w:rFonts w:ascii="Times New Roman" w:hAnsi="Times New Roman" w:eastAsia="Times New Roman" w:cs="Times New Roman"/>
                <w:color w:val="000000"/>
                <w:sz w:val="21"/>
              </w:rPr>
              <w:t xml:space="preserve">2,11</w:t>
            </w:r>
          </w:p>
        </w:tc>
        <w:tc>
          <w:tcPr>
            <w:tcW w:type="dxa" w:w="2367"/>
          </w:tcPr>
          <w:p>
            <w:pPr>
              <w:pStyle w:val="Compact"/>
              <w:spacing w:after="0" w:line="240" w:lineRule="auto"/>
              <w:jc w:val="left"/>
            </w:pPr>
            <w:r>
              <w:rPr>
                <w:rFonts w:ascii="Times New Roman" w:hAnsi="Times New Roman" w:eastAsia="Times New Roman" w:cs="Times New Roman"/>
                <w:color w:val="000000"/>
                <w:sz w:val="21"/>
              </w:rPr>
              <w:t xml:space="preserve">41.000</w:t>
            </w:r>
          </w:p>
        </w:tc>
      </w:tr>
    </w:tbl>
    <w:p>
      <w:pPr>
        <w:pStyle w:val="BodyText"/>
        <w:spacing w:after="80" w:line="276" w:lineRule="auto"/>
      </w:pPr>
      <w:r>
        <w:rPr>
          <w:bCs/>
          <w:rFonts w:ascii="Times New Roman" w:hAnsi="Times New Roman" w:eastAsia="Times New Roman" w:cs="Times New Roman"/>
          <w:b/>
          <w:color w:val="000000"/>
          <w:sz w:val="24"/>
        </w:rPr>
        <w:t xml:space="preserve">Nhận định.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Ở mức P/B 1,02 hiện tại, thị trường đang ngầm định ROE bền vững của MB chỉ khoảng 13%, thấp hơn nhiều so với mức khoảng 20% đang đạt được. Như vậy, rủi ro nợ xấu và NIM đã được phản ánh khá đầy đủ vào giá. Nhóm chọn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giá hợp lý 25.000 đ/cp (+26%)</w:t>
      </w:r>
      <w:r>
        <w:rPr>
          <w:rFonts w:ascii="Times New Roman" w:hAnsi="Times New Roman" w:eastAsia="Times New Roman" w:cs="Times New Roman"/>
          <w:color w:val="000000"/>
          <w:sz w:val="24"/>
        </w:rPr>
        <w:t xml:space="preserve">, gần kịch bản thận trọng và mức 26.700 đ của FUNAN, vì nhóm chưa loại trừ được rủi ro nợ nhóm 5.</w:t>
      </w:r>
    </w:p>
    <w:bookmarkEnd w:id="27"/>
    <w:bookmarkStart w:id="28" w:name="mwg-ctcp-đầu-tư-thế-giới-di-động-hose"/>
    <w:p>
      <w:pPr>
        <w:pStyle w:val="Heading3"/>
        <w:spacing w:after="80" w:line="276" w:lineRule="auto" w:before="160"/>
      </w:pPr>
      <w:r>
        <w:rPr>
          <w:rFonts w:ascii="Times New Roman" w:hAnsi="Times New Roman" w:eastAsia="Times New Roman" w:cs="Times New Roman"/>
          <w:b/>
          <w:color w:val="000000"/>
          <w:sz w:val="26"/>
        </w:rPr>
        <w:t xml:space="preserve">2.3 MWG – CTCP Đầu tư Thế Giới Di Động (HOSE)</w:t>
      </w:r>
    </w:p>
    <w:p>
      <w:pPr>
        <w:pStyle w:val="FirstParagraph"/>
        <w:spacing w:after="80" w:line="276" w:lineRule="auto"/>
      </w:pPr>
      <w:r>
        <w:rPr>
          <w:bCs/>
          <w:rFonts w:ascii="Times New Roman" w:hAnsi="Times New Roman" w:eastAsia="Times New Roman" w:cs="Times New Roman"/>
          <w:b/>
          <w:color w:val="000000"/>
          <w:sz w:val="24"/>
        </w:rPr>
        <w:t xml:space="preserve">Mô hình kinh doanh.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MWG là nhà bán lẻ lớn nhất Việt Nam, với ba trụ cột: (1)</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Thế Giới Di Động và Điện Máy Xanh</w:t>
      </w:r>
      <w:r>
        <w:rPr>
          <w:rFonts w:ascii="Times New Roman" w:hAnsi="Times New Roman" w:eastAsia="Times New Roman" w:cs="Times New Roman"/>
          <w:color w:val="000000"/>
          <w:sz w:val="24"/>
        </w:rPr>
        <w:t xml:space="preserve">: điện thoại, điện máy, khoảng 3.000 cửa hàng (số liệu 4/2025), dòng tiền ổn định, đang chuẩn bị IPO Điện Máy Xanh; (2)</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Bách Hóa Xanh</w:t>
      </w:r>
      <w:r>
        <w:rPr>
          <w:rFonts w:ascii="Times New Roman" w:hAnsi="Times New Roman" w:eastAsia="Times New Roman" w:cs="Times New Roman"/>
          <w:color w:val="000000"/>
          <w:sz w:val="24"/>
        </w:rPr>
        <w:t xml:space="preserve">: chuỗi thực phẩm, hàng tiêu dùng với hơn 2.100 cửa hàng (5/2025), đã có lãi từ 2025 và là động lực tăng trưởng chính; (3)</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EraBlue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tại Indonesia (thị trường nước ngoài). Lợi thế cạnh tranh nằm ở quy mô mua hàng, hệ thống logistics và dữ liệu khách hàng.</w:t>
      </w:r>
    </w:p>
    <w:p>
      <w:pPr>
        <w:pStyle w:val="BodyText"/>
        <w:spacing w:after="80" w:line="276" w:lineRule="auto"/>
      </w:pPr>
      <w:r>
        <w:rPr>
          <w:bCs/>
          <w:rFonts w:ascii="Times New Roman" w:hAnsi="Times New Roman" w:eastAsia="Times New Roman" w:cs="Times New Roman"/>
          <w:b/>
          <w:color w:val="000000"/>
          <w:sz w:val="24"/>
        </w:rPr>
        <w:t xml:space="preserve">Kết quả kinh doanh và tình hình tài chính</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069"/>
        <w:gridCol w:w="1786"/>
        <w:gridCol w:w="2158"/>
        <w:gridCol w:w="3342"/>
      </w:tblGrid>
      <w:tr>
        <w:trPr>
          <w:tblHeader w:val="true"/>
        </w:trPr>
        <w:tc>
          <w:tcPr>
            <w:tcW w:type="dxa" w:w="2069"/>
          </w:tcPr>
          <w:p>
            <w:pPr>
              <w:pStyle w:val="Compact"/>
              <w:spacing w:after="0" w:line="240" w:lineRule="auto"/>
              <w:jc w:val="left"/>
            </w:pPr>
            <w:r>
              <w:rPr>
                <w:rFonts w:ascii="Times New Roman" w:hAnsi="Times New Roman" w:eastAsia="Times New Roman" w:cs="Times New Roman"/>
                <w:b/>
                <w:color w:val="000000"/>
                <w:sz w:val="21"/>
              </w:rPr>
              <w:t xml:space="preserve">Chỉ tiêu</w:t>
            </w:r>
          </w:p>
        </w:tc>
        <w:tc>
          <w:tcPr>
            <w:tcW w:type="dxa" w:w="1786"/>
          </w:tcPr>
          <w:p>
            <w:pPr>
              <w:pStyle w:val="Compact"/>
              <w:spacing w:after="0" w:line="240" w:lineRule="auto"/>
              <w:jc w:val="left"/>
            </w:pPr>
            <w:r>
              <w:rPr>
                <w:rFonts w:ascii="Times New Roman" w:hAnsi="Times New Roman" w:eastAsia="Times New Roman" w:cs="Times New Roman"/>
                <w:b/>
                <w:color w:val="000000"/>
                <w:sz w:val="21"/>
              </w:rPr>
              <w:t xml:space="preserve">2024</w:t>
            </w:r>
          </w:p>
        </w:tc>
        <w:tc>
          <w:tcPr>
            <w:tcW w:type="dxa" w:w="2158"/>
          </w:tcPr>
          <w:p>
            <w:pPr>
              <w:pStyle w:val="Compact"/>
              <w:spacing w:after="0" w:line="240" w:lineRule="auto"/>
              <w:jc w:val="left"/>
            </w:pPr>
            <w:r>
              <w:rPr>
                <w:rFonts w:ascii="Times New Roman" w:hAnsi="Times New Roman" w:eastAsia="Times New Roman" w:cs="Times New Roman"/>
                <w:b/>
                <w:color w:val="000000"/>
                <w:sz w:val="21"/>
              </w:rPr>
              <w:t xml:space="preserve">2025</w:t>
            </w:r>
          </w:p>
        </w:tc>
        <w:tc>
          <w:tcPr>
            <w:tcW w:type="dxa" w:w="3342"/>
          </w:tcPr>
          <w:p>
            <w:pPr>
              <w:pStyle w:val="Compact"/>
              <w:spacing w:after="0" w:line="240" w:lineRule="auto"/>
              <w:jc w:val="left"/>
            </w:pPr>
            <w:r>
              <w:rPr>
                <w:rFonts w:ascii="Times New Roman" w:hAnsi="Times New Roman" w:eastAsia="Times New Roman" w:cs="Times New Roman"/>
                <w:b/>
                <w:color w:val="000000"/>
                <w:sz w:val="21"/>
              </w:rPr>
              <w:t xml:space="preserve">2026</w:t>
            </w:r>
          </w:p>
        </w:tc>
      </w:tr>
      <w:tr>
        <w:tc>
          <w:tcPr>
            <w:tcW w:type="dxa" w:w="2069"/>
          </w:tcPr>
          <w:p>
            <w:pPr>
              <w:pStyle w:val="Compact"/>
              <w:spacing w:after="0" w:line="240" w:lineRule="auto"/>
              <w:jc w:val="left"/>
            </w:pPr>
            <w:r>
              <w:rPr>
                <w:rFonts w:ascii="Times New Roman" w:hAnsi="Times New Roman" w:eastAsia="Times New Roman" w:cs="Times New Roman"/>
                <w:color w:val="000000"/>
                <w:sz w:val="21"/>
              </w:rPr>
              <w:t xml:space="preserve">Doanh thu thuần</w:t>
            </w:r>
          </w:p>
        </w:tc>
        <w:tc>
          <w:tcPr>
            <w:tcW w:type="dxa" w:w="1786"/>
          </w:tcPr>
          <w:p>
            <w:pPr>
              <w:pStyle w:val="Compact"/>
              <w:spacing w:after="0" w:line="240" w:lineRule="auto"/>
              <w:jc w:val="left"/>
            </w:pPr>
            <w:r>
              <w:rPr>
                <w:rFonts w:ascii="Times New Roman" w:hAnsi="Times New Roman" w:eastAsia="Times New Roman" w:cs="Times New Roman"/>
                <w:color w:val="000000"/>
                <w:sz w:val="21"/>
              </w:rPr>
              <w:t xml:space="preserve">134.341 tỷ đ</w:t>
            </w:r>
          </w:p>
        </w:tc>
        <w:tc>
          <w:tcPr>
            <w:tcW w:type="dxa" w:w="2158"/>
          </w:tcPr>
          <w:p>
            <w:pPr>
              <w:pStyle w:val="Compact"/>
              <w:spacing w:after="0" w:line="240" w:lineRule="auto"/>
              <w:jc w:val="left"/>
            </w:pPr>
            <w:r>
              <w:rPr>
                <w:rFonts w:ascii="Times New Roman" w:hAnsi="Times New Roman" w:eastAsia="Times New Roman" w:cs="Times New Roman"/>
                <w:color w:val="000000"/>
                <w:sz w:val="21"/>
              </w:rPr>
              <w:t xml:space="preserve">156.457 tỷ đ (+16,4%)</w:t>
            </w:r>
          </w:p>
        </w:tc>
        <w:tc>
          <w:tcPr>
            <w:tcW w:type="dxa" w:w="3342"/>
          </w:tcPr>
          <w:p>
            <w:pPr>
              <w:pStyle w:val="Compact"/>
              <w:spacing w:after="0" w:line="240" w:lineRule="auto"/>
              <w:jc w:val="left"/>
            </w:pPr>
            <w:r>
              <w:rPr>
                <w:rFonts w:ascii="Times New Roman" w:hAnsi="Times New Roman" w:eastAsia="Times New Roman" w:cs="Times New Roman"/>
                <w:color w:val="000000"/>
                <w:sz w:val="21"/>
              </w:rPr>
              <w:t xml:space="preserve">9 tháng: 147.953 tỷ đ (+30%), đạt 80% kế hoạch</w:t>
            </w:r>
          </w:p>
        </w:tc>
      </w:tr>
      <w:tr>
        <w:tc>
          <w:tcPr>
            <w:tcW w:type="dxa" w:w="2069"/>
          </w:tcPr>
          <w:p>
            <w:pPr>
              <w:pStyle w:val="Compact"/>
              <w:spacing w:after="0" w:line="240" w:lineRule="auto"/>
              <w:jc w:val="left"/>
            </w:pPr>
            <w:r>
              <w:rPr>
                <w:rFonts w:ascii="Times New Roman" w:hAnsi="Times New Roman" w:eastAsia="Times New Roman" w:cs="Times New Roman"/>
                <w:color w:val="000000"/>
                <w:sz w:val="21"/>
              </w:rPr>
              <w:t xml:space="preserve">Lợi nhuận sau thuế</w:t>
            </w:r>
          </w:p>
        </w:tc>
        <w:tc>
          <w:tcPr>
            <w:tcW w:type="dxa" w:w="1786"/>
          </w:tcPr>
          <w:p>
            <w:pPr>
              <w:pStyle w:val="Compact"/>
              <w:spacing w:after="0" w:line="240" w:lineRule="auto"/>
              <w:jc w:val="left"/>
            </w:pPr>
            <w:r>
              <w:rPr>
                <w:rFonts w:ascii="Times New Roman" w:hAnsi="Times New Roman" w:eastAsia="Times New Roman" w:cs="Times New Roman"/>
                <w:color w:val="000000"/>
                <w:sz w:val="21"/>
              </w:rPr>
              <w:t xml:space="preserve">3.733 tỷ đ</w:t>
            </w:r>
          </w:p>
        </w:tc>
        <w:tc>
          <w:tcPr>
            <w:tcW w:type="dxa" w:w="2158"/>
          </w:tcPr>
          <w:p>
            <w:pPr>
              <w:pStyle w:val="Compact"/>
              <w:spacing w:after="0" w:line="240" w:lineRule="auto"/>
              <w:jc w:val="left"/>
            </w:pPr>
            <w:r>
              <w:rPr>
                <w:rFonts w:ascii="Times New Roman" w:hAnsi="Times New Roman" w:eastAsia="Times New Roman" w:cs="Times New Roman"/>
                <w:color w:val="000000"/>
                <w:sz w:val="21"/>
              </w:rPr>
              <w:t xml:space="preserve">7.075 tỷ đ (+89,5%)</w:t>
            </w:r>
          </w:p>
        </w:tc>
        <w:tc>
          <w:tcPr>
            <w:tcW w:type="dxa" w:w="3342"/>
          </w:tcPr>
          <w:p>
            <w:pPr>
              <w:pStyle w:val="Compact"/>
              <w:spacing w:after="0" w:line="240" w:lineRule="auto"/>
              <w:jc w:val="left"/>
            </w:pPr>
            <w:r>
              <w:rPr>
                <w:rFonts w:ascii="Times New Roman" w:hAnsi="Times New Roman" w:eastAsia="Times New Roman" w:cs="Times New Roman"/>
                <w:color w:val="000000"/>
                <w:sz w:val="21"/>
              </w:rPr>
              <w:t xml:space="preserve">6 tháng: 6.017 tỷ đ (+88%)</w:t>
            </w:r>
          </w:p>
        </w:tc>
      </w:tr>
      <w:tr>
        <w:tc>
          <w:tcPr>
            <w:tcW w:type="dxa" w:w="2069"/>
          </w:tcPr>
          <w:p>
            <w:pPr>
              <w:pStyle w:val="Compact"/>
              <w:spacing w:after="0" w:line="240" w:lineRule="auto"/>
              <w:jc w:val="left"/>
            </w:pPr>
            <w:r>
              <w:rPr>
                <w:rFonts w:ascii="Times New Roman" w:hAnsi="Times New Roman" w:eastAsia="Times New Roman" w:cs="Times New Roman"/>
                <w:color w:val="000000"/>
                <w:sz w:val="21"/>
              </w:rPr>
              <w:t xml:space="preserve">Kế hoạch 2026</w:t>
            </w:r>
          </w:p>
        </w:tc>
        <w:tc>
          <w:tcPr>
            <w:tcW w:type="dxa" w:w="1786"/>
          </w:tcPr>
          <w:p>
            <w:pPr>
              <w:pStyle w:val="Compact"/>
              <w:spacing w:after="0" w:line="240" w:lineRule="auto"/>
            </w:pPr>
          </w:p>
        </w:tc>
        <w:tc>
          <w:tcPr>
            <w:tcW w:type="dxa" w:w="2158"/>
          </w:tcPr>
          <w:p>
            <w:pPr>
              <w:pStyle w:val="Compact"/>
              <w:spacing w:after="0" w:line="240" w:lineRule="auto"/>
            </w:pPr>
          </w:p>
        </w:tc>
        <w:tc>
          <w:tcPr>
            <w:tcW w:type="dxa" w:w="3342"/>
          </w:tcPr>
          <w:p>
            <w:pPr>
              <w:pStyle w:val="Compact"/>
              <w:spacing w:after="0" w:line="240" w:lineRule="auto"/>
              <w:jc w:val="left"/>
            </w:pPr>
            <w:r>
              <w:rPr>
                <w:rFonts w:ascii="Times New Roman" w:hAnsi="Times New Roman" w:eastAsia="Times New Roman" w:cs="Times New Roman"/>
                <w:color w:val="000000"/>
                <w:sz w:val="21"/>
              </w:rPr>
              <w:t xml:space="preserve">Doanh thu 185.000 tỷ đ, LNST 9.200 tỷ đ (+30%)</w:t>
            </w:r>
          </w:p>
        </w:tc>
      </w:tr>
    </w:tbl>
    <w:p>
      <w:pPr>
        <w:pStyle w:val="BodyText"/>
        <w:spacing w:after="80" w:line="276" w:lineRule="auto"/>
      </w:pPr>
      <w:r>
        <w:rPr>
          <w:rFonts w:ascii="Times New Roman" w:hAnsi="Times New Roman" w:eastAsia="Times New Roman" w:cs="Times New Roman"/>
          <w:color w:val="000000"/>
          <w:sz w:val="24"/>
        </w:rPr>
        <w:t xml:space="preserve">Doanh thu riêng quý III/2026 ước 52.648 tỷ đ (+32%), Bách Hóa Xanh tăng 34%. Lợi nhuận quý III được các công ty chứng khoán dự phóng 2.529–3.456 tỷ đ, tăng 43–95% so với cùng kỳ.</w:t>
      </w:r>
    </w:p>
    <w:p>
      <w:pPr>
        <w:pStyle w:val="BodyText"/>
        <w:spacing w:after="80" w:line="276" w:lineRule="auto"/>
      </w:pPr>
      <w:r>
        <w:rPr>
          <w:bCs/>
          <w:rFonts w:ascii="Times New Roman" w:hAnsi="Times New Roman" w:eastAsia="Times New Roman" w:cs="Times New Roman"/>
          <w:b/>
          <w:color w:val="000000"/>
          <w:sz w:val="24"/>
        </w:rPr>
        <w:t xml:space="preserve">Cổ tức.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Năm 2026 MWG dự kiến chi khoảng 3.000 tỷ đ cổ tức tiền mặt (khoảng 2.000 đ/cp theo ước tính của nhóm,</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tỷ suất khoảng 2,7%</w:t>
      </w:r>
      <w:r>
        <w:rPr>
          <w:rFonts w:ascii="Times New Roman" w:hAnsi="Times New Roman" w:eastAsia="Times New Roman" w:cs="Times New Roman"/>
          <w:color w:val="000000"/>
          <w:sz w:val="24"/>
        </w:rPr>
        <w:t xml:space="preserve">), mức cao nhất từ trước đến nay, cho thấy dòng tiền dồi dào.</w:t>
      </w:r>
    </w:p>
    <w:p>
      <w:pPr>
        <w:pStyle w:val="BodyText"/>
        <w:spacing w:after="80" w:line="276" w:lineRule="auto"/>
      </w:pPr>
      <w:r>
        <w:rPr>
          <w:bCs/>
          <w:rFonts w:ascii="Times New Roman" w:hAnsi="Times New Roman" w:eastAsia="Times New Roman" w:cs="Times New Roman"/>
          <w:b/>
          <w:color w:val="000000"/>
          <w:sz w:val="24"/>
        </w:rPr>
        <w:t xml:space="preserve">Rủi ro.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 Từ quý III, MWG phải chia khoảng 14% lợi nhuận Điện Máy Xanh cho cổ đông thiểu số, nên lợi nhuận thuộc cổ đông công ty mẹ giảm so với quý II. (2) Một số công ty chứng khoán dự báo lợi nhuận 2027 đi ngang. (3) Lạm phát làm giảm sức mua hàng không thiết yếu. (4) Cạnh tranh trong mảng bách hóa.</w:t>
      </w:r>
    </w:p>
    <w:p>
      <w:pPr>
        <w:pStyle w:val="BodyText"/>
        <w:spacing w:after="80" w:line="276" w:lineRule="auto"/>
      </w:pPr>
      <w:r>
        <w:rPr>
          <w:bCs/>
          <w:rFonts w:ascii="Times New Roman" w:hAnsi="Times New Roman" w:eastAsia="Times New Roman" w:cs="Times New Roman"/>
          <w:b/>
          <w:color w:val="000000"/>
          <w:sz w:val="24"/>
        </w:rPr>
        <w:t xml:space="preserve">Định giá (phương pháp P/E, Chương 4).</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EPS 2026 ước khoảng 6.000 đ, tính từ kế hoạch LNST sau khi trừ phần của cổ đông thiểu số Điện Máy Xanh. Giá hiện tại 75.200 đ tương ứng P/E dự phóng khoảng 12,5 lần, thấp hơn mức bình quân lịch sử khoảng 17 lần. Nhóm chọn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P/E chuẩn 15 lần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(thấp hơn mức lịch sử để trừ hao rủi ro lợi nhuận 2027 chững lại): giá hợp lý = 15 × 6.000 =</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90.000 đ/cp (+20%)</w:t>
      </w:r>
      <w:r>
        <w:rPr>
          <w:rFonts w:ascii="Times New Roman" w:hAnsi="Times New Roman" w:eastAsia="Times New Roman" w:cs="Times New Roman"/>
          <w:color w:val="000000"/>
          <w:sz w:val="24"/>
        </w:rPr>
        <w:t xml:space="preserve">. Kiểm tra bằng công thức P/E = (D₁/E₁)/(k − g) với k = 4,36% + 1,2 × 8% = 13,96% và tỷ lệ chi trả khoảng 33%: P/E 15 lần tương ứng tăng trưởng dài hạn g khoảng 11,7%/năm. Mức này hợp lý so với tốc độ tăng của bán lẻ (13,4%). Giá mục tiêu của các công ty chứng khoán: Kafi 94.400 đ, SSI 106.000 đ, MBS 109.000 đ.</w:t>
      </w:r>
    </w:p>
    <w:bookmarkEnd w:id="28"/>
    <w:bookmarkStart w:id="29" w:name="Xa6ef76ff2f0334df9c9b727840f29e4b060b13a"/>
    <w:p>
      <w:pPr>
        <w:pStyle w:val="Heading3"/>
        <w:spacing w:after="80" w:line="276" w:lineRule="auto" w:before="160"/>
      </w:pPr>
      <w:r>
        <w:rPr>
          <w:rFonts w:ascii="Times New Roman" w:hAnsi="Times New Roman" w:eastAsia="Times New Roman" w:cs="Times New Roman"/>
          <w:b/>
          <w:color w:val="000000"/>
          <w:sz w:val="26"/>
        </w:rPr>
        <w:t xml:space="preserve">2.4 GAS – Tổng Công ty Khí Việt Nam (PV GAS, HOSE)</w:t>
      </w:r>
    </w:p>
    <w:p>
      <w:pPr>
        <w:pStyle w:val="FirstParagraph"/>
        <w:spacing w:after="80" w:line="276" w:lineRule="auto"/>
      </w:pPr>
      <w:r>
        <w:rPr>
          <w:bCs/>
          <w:rFonts w:ascii="Times New Roman" w:hAnsi="Times New Roman" w:eastAsia="Times New Roman" w:cs="Times New Roman"/>
          <w:b/>
          <w:color w:val="000000"/>
          <w:sz w:val="24"/>
        </w:rPr>
        <w:t xml:space="preserve">Mô hình kinh doanh.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PV GAS nắm gần như toàn bộ chuỗi giá trị khí trong nước: thu gom, vận chuyển bằng đường ống, xử lý và phân phối</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khí khô</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cho nhà máy điện, đạm và khu công nghiệp; kinh doanh</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LPG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(khí hóa lỏng) và nhập khẩu, phân phối</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LNG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(khí thiên nhiên hóa lỏng). Quý I/2026, khí khô và LNG chiếm khoảng 55% doanh thu, LPG hơn 40%. Đây là mô hình gần độc quyền, giá bán gắn với giá dầu, nên lợi nhuận tăng khi giá dầu tăng.</w:t>
      </w:r>
    </w:p>
    <w:p>
      <w:pPr>
        <w:pStyle w:val="BodyText"/>
        <w:spacing w:after="80" w:line="276" w:lineRule="auto"/>
      </w:pPr>
      <w:r>
        <w:rPr>
          <w:bCs/>
          <w:rFonts w:ascii="Times New Roman" w:hAnsi="Times New Roman" w:eastAsia="Times New Roman" w:cs="Times New Roman"/>
          <w:b/>
          <w:color w:val="000000"/>
          <w:sz w:val="24"/>
        </w:rPr>
        <w:t xml:space="preserve">Kết quả kinh doanh và tình hình tài chính</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332"/>
        <w:gridCol w:w="2310"/>
        <w:gridCol w:w="2567"/>
        <w:gridCol w:w="2146"/>
      </w:tblGrid>
      <w:tr>
        <w:trPr>
          <w:tblHeader w:val="true"/>
        </w:trPr>
        <w:tc>
          <w:tcPr>
            <w:tcW w:type="dxa" w:w="2332"/>
          </w:tcPr>
          <w:p>
            <w:pPr>
              <w:pStyle w:val="Compact"/>
              <w:spacing w:after="0" w:line="240" w:lineRule="auto"/>
              <w:jc w:val="left"/>
            </w:pPr>
            <w:r>
              <w:rPr>
                <w:rFonts w:ascii="Times New Roman" w:hAnsi="Times New Roman" w:eastAsia="Times New Roman" w:cs="Times New Roman"/>
                <w:b/>
                <w:color w:val="000000"/>
                <w:sz w:val="21"/>
              </w:rPr>
              <w:t xml:space="preserve">Chỉ tiêu</w:t>
            </w:r>
          </w:p>
        </w:tc>
        <w:tc>
          <w:tcPr>
            <w:tcW w:type="dxa" w:w="2310"/>
          </w:tcPr>
          <w:p>
            <w:pPr>
              <w:pStyle w:val="Compact"/>
              <w:spacing w:after="0" w:line="240" w:lineRule="auto"/>
              <w:jc w:val="left"/>
            </w:pPr>
            <w:r>
              <w:rPr>
                <w:rFonts w:ascii="Times New Roman" w:hAnsi="Times New Roman" w:eastAsia="Times New Roman" w:cs="Times New Roman"/>
                <w:b/>
                <w:color w:val="000000"/>
                <w:sz w:val="21"/>
              </w:rPr>
              <w:t xml:space="preserve">2025</w:t>
            </w:r>
          </w:p>
        </w:tc>
        <w:tc>
          <w:tcPr>
            <w:tcW w:type="dxa" w:w="2567"/>
          </w:tcPr>
          <w:p>
            <w:pPr>
              <w:pStyle w:val="Compact"/>
              <w:spacing w:after="0" w:line="240" w:lineRule="auto"/>
              <w:jc w:val="left"/>
            </w:pPr>
            <w:r>
              <w:rPr>
                <w:rFonts w:ascii="Times New Roman" w:hAnsi="Times New Roman" w:eastAsia="Times New Roman" w:cs="Times New Roman"/>
                <w:b/>
                <w:color w:val="000000"/>
                <w:sz w:val="21"/>
              </w:rPr>
              <w:t xml:space="preserve">9 tháng 2026</w:t>
            </w:r>
          </w:p>
        </w:tc>
        <w:tc>
          <w:tcPr>
            <w:tcW w:type="dxa" w:w="2146"/>
          </w:tcPr>
          <w:p>
            <w:pPr>
              <w:pStyle w:val="Compact"/>
              <w:spacing w:after="0" w:line="240" w:lineRule="auto"/>
              <w:jc w:val="left"/>
            </w:pPr>
            <w:r>
              <w:rPr>
                <w:rFonts w:ascii="Times New Roman" w:hAnsi="Times New Roman" w:eastAsia="Times New Roman" w:cs="Times New Roman"/>
                <w:b/>
                <w:color w:val="000000"/>
                <w:sz w:val="21"/>
              </w:rPr>
              <w:t xml:space="preserve">Thay đổi</w:t>
            </w:r>
          </w:p>
        </w:tc>
      </w:tr>
      <w:tr>
        <w:tc>
          <w:tcPr>
            <w:tcW w:type="dxa" w:w="2332"/>
          </w:tcPr>
          <w:p>
            <w:pPr>
              <w:pStyle w:val="Compact"/>
              <w:spacing w:after="0" w:line="240" w:lineRule="auto"/>
              <w:jc w:val="left"/>
            </w:pPr>
            <w:r>
              <w:rPr>
                <w:rFonts w:ascii="Times New Roman" w:hAnsi="Times New Roman" w:eastAsia="Times New Roman" w:cs="Times New Roman"/>
                <w:color w:val="000000"/>
                <w:sz w:val="21"/>
              </w:rPr>
              <w:t xml:space="preserve">Doanh thu hợp nhất</w:t>
            </w:r>
          </w:p>
        </w:tc>
        <w:tc>
          <w:tcPr>
            <w:tcW w:type="dxa" w:w="2310"/>
          </w:tcPr>
          <w:p>
            <w:pPr>
              <w:pStyle w:val="Compact"/>
              <w:spacing w:after="0" w:line="240" w:lineRule="auto"/>
              <w:jc w:val="left"/>
            </w:pPr>
            <w:r>
              <w:rPr>
                <w:rFonts w:ascii="Times New Roman" w:hAnsi="Times New Roman" w:eastAsia="Times New Roman" w:cs="Times New Roman"/>
                <w:color w:val="000000"/>
                <w:sz w:val="21"/>
              </w:rPr>
              <w:t xml:space="preserve">135.129 tỷ đ (+30%)</w:t>
            </w:r>
          </w:p>
        </w:tc>
        <w:tc>
          <w:tcPr>
            <w:tcW w:type="dxa" w:w="2567"/>
          </w:tcPr>
          <w:p>
            <w:pPr>
              <w:pStyle w:val="Compact"/>
              <w:spacing w:after="0" w:line="240" w:lineRule="auto"/>
              <w:jc w:val="left"/>
            </w:pPr>
            <w:r>
              <w:rPr>
                <w:rFonts w:ascii="Times New Roman" w:hAnsi="Times New Roman" w:eastAsia="Times New Roman" w:cs="Times New Roman"/>
                <w:color w:val="000000"/>
                <w:sz w:val="21"/>
              </w:rPr>
              <w:t xml:space="preserve">trên 120.900 tỷ đ</w:t>
            </w:r>
          </w:p>
        </w:tc>
        <w:tc>
          <w:tcPr>
            <w:tcW w:type="dxa" w:w="2146"/>
          </w:tcPr>
          <w:p>
            <w:pPr>
              <w:pStyle w:val="Compact"/>
              <w:spacing w:after="0" w:line="240" w:lineRule="auto"/>
              <w:jc w:val="left"/>
            </w:pPr>
            <w:r>
              <w:rPr>
                <w:rFonts w:ascii="Times New Roman" w:hAnsi="Times New Roman" w:eastAsia="Times New Roman" w:cs="Times New Roman"/>
                <w:color w:val="000000"/>
                <w:sz w:val="21"/>
              </w:rPr>
              <w:t xml:space="preserve">+30%</w:t>
            </w:r>
          </w:p>
        </w:tc>
      </w:tr>
      <w:tr>
        <w:tc>
          <w:tcPr>
            <w:tcW w:type="dxa" w:w="2332"/>
          </w:tcPr>
          <w:p>
            <w:pPr>
              <w:pStyle w:val="Compact"/>
              <w:spacing w:after="0" w:line="240" w:lineRule="auto"/>
              <w:jc w:val="left"/>
            </w:pPr>
            <w:r>
              <w:rPr>
                <w:rFonts w:ascii="Times New Roman" w:hAnsi="Times New Roman" w:eastAsia="Times New Roman" w:cs="Times New Roman"/>
                <w:color w:val="000000"/>
                <w:sz w:val="21"/>
              </w:rPr>
              <w:t xml:space="preserve">Lợi nhuận</w:t>
            </w:r>
          </w:p>
        </w:tc>
        <w:tc>
          <w:tcPr>
            <w:tcW w:type="dxa" w:w="2310"/>
          </w:tcPr>
          <w:p>
            <w:pPr>
              <w:pStyle w:val="Compact"/>
              <w:spacing w:after="0" w:line="240" w:lineRule="auto"/>
              <w:jc w:val="left"/>
            </w:pPr>
            <w:r>
              <w:rPr>
                <w:rFonts w:ascii="Times New Roman" w:hAnsi="Times New Roman" w:eastAsia="Times New Roman" w:cs="Times New Roman"/>
                <w:color w:val="000000"/>
                <w:sz w:val="21"/>
              </w:rPr>
              <w:t xml:space="preserve">LNST 11.571 tỷ đ (+9%)</w:t>
            </w:r>
          </w:p>
        </w:tc>
        <w:tc>
          <w:tcPr>
            <w:tcW w:type="dxa" w:w="2567"/>
          </w:tcPr>
          <w:p>
            <w:pPr>
              <w:pStyle w:val="Compact"/>
              <w:spacing w:after="0" w:line="240" w:lineRule="auto"/>
              <w:jc w:val="left"/>
            </w:pPr>
            <w:r>
              <w:rPr>
                <w:rFonts w:ascii="Times New Roman" w:hAnsi="Times New Roman" w:eastAsia="Times New Roman" w:cs="Times New Roman"/>
                <w:color w:val="000000"/>
                <w:sz w:val="21"/>
              </w:rPr>
              <w:t xml:space="preserve">LNTT trên 16.600 tỷ đ</w:t>
            </w:r>
          </w:p>
        </w:tc>
        <w:tc>
          <w:tcPr>
            <w:tcW w:type="dxa" w:w="2146"/>
          </w:tcPr>
          <w:p>
            <w:pPr>
              <w:pStyle w:val="Compact"/>
              <w:spacing w:after="0" w:line="240" w:lineRule="auto"/>
              <w:jc w:val="left"/>
            </w:pPr>
            <w:r>
              <w:rPr>
                <w:rFonts w:ascii="Times New Roman" w:hAnsi="Times New Roman" w:eastAsia="Times New Roman" w:cs="Times New Roman"/>
                <w:color w:val="000000"/>
                <w:sz w:val="21"/>
              </w:rPr>
              <w:t xml:space="preserve">+31%; riêng quý III +68%</w:t>
            </w:r>
          </w:p>
        </w:tc>
      </w:tr>
      <w:tr>
        <w:tc>
          <w:tcPr>
            <w:tcW w:type="dxa" w:w="2332"/>
          </w:tcPr>
          <w:p>
            <w:pPr>
              <w:pStyle w:val="Compact"/>
              <w:spacing w:after="0" w:line="240" w:lineRule="auto"/>
              <w:jc w:val="left"/>
            </w:pPr>
            <w:r>
              <w:rPr>
                <w:rFonts w:ascii="Times New Roman" w:hAnsi="Times New Roman" w:eastAsia="Times New Roman" w:cs="Times New Roman"/>
                <w:color w:val="000000"/>
                <w:sz w:val="21"/>
              </w:rPr>
              <w:t xml:space="preserve">So với kế hoạch</w:t>
            </w:r>
          </w:p>
        </w:tc>
        <w:tc>
          <w:tcPr>
            <w:tcW w:type="dxa" w:w="2310"/>
          </w:tcPr>
          <w:p>
            <w:pPr>
              <w:pStyle w:val="Compact"/>
              <w:spacing w:after="0" w:line="240" w:lineRule="auto"/>
            </w:pPr>
          </w:p>
        </w:tc>
        <w:tc>
          <w:tcPr>
            <w:tcW w:type="dxa" w:w="2567"/>
          </w:tcPr>
          <w:p>
            <w:pPr>
              <w:pStyle w:val="Compact"/>
              <w:spacing w:after="0" w:line="240" w:lineRule="auto"/>
              <w:jc w:val="left"/>
            </w:pPr>
            <w:r>
              <w:rPr>
                <w:rFonts w:ascii="Times New Roman" w:hAnsi="Times New Roman" w:eastAsia="Times New Roman" w:cs="Times New Roman"/>
                <w:color w:val="000000"/>
                <w:sz w:val="21"/>
              </w:rPr>
              <w:t xml:space="preserve">LNTT đạt 197% kế hoạch năm</w:t>
            </w:r>
          </w:p>
        </w:tc>
        <w:tc>
          <w:tcPr>
            <w:tcW w:type="dxa" w:w="2146"/>
          </w:tcPr>
          <w:p>
            <w:pPr>
              <w:pStyle w:val="Compact"/>
              <w:spacing w:after="0" w:line="240" w:lineRule="auto"/>
            </w:pPr>
          </w:p>
        </w:tc>
      </w:tr>
      <w:tr>
        <w:tc>
          <w:tcPr>
            <w:tcW w:type="dxa" w:w="2332"/>
          </w:tcPr>
          <w:p>
            <w:pPr>
              <w:pStyle w:val="Compact"/>
              <w:spacing w:after="0" w:line="240" w:lineRule="auto"/>
              <w:jc w:val="left"/>
            </w:pPr>
            <w:r>
              <w:rPr>
                <w:rFonts w:ascii="Times New Roman" w:hAnsi="Times New Roman" w:eastAsia="Times New Roman" w:cs="Times New Roman"/>
                <w:color w:val="000000"/>
                <w:sz w:val="21"/>
              </w:rPr>
              <w:t xml:space="preserve">Tiền mặt, đầu tư ngắn hạn</w:t>
            </w:r>
          </w:p>
        </w:tc>
        <w:tc>
          <w:tcPr>
            <w:tcW w:type="dxa" w:w="2310"/>
          </w:tcPr>
          <w:p>
            <w:pPr>
              <w:pStyle w:val="Compact"/>
              <w:spacing w:after="0" w:line="240" w:lineRule="auto"/>
              <w:jc w:val="left"/>
            </w:pPr>
            <w:r>
              <w:rPr>
                <w:rFonts w:ascii="Times New Roman" w:hAnsi="Times New Roman" w:eastAsia="Times New Roman" w:cs="Times New Roman"/>
                <w:color w:val="000000"/>
                <w:sz w:val="21"/>
              </w:rPr>
              <w:t xml:space="preserve">gần 40.000 tỷ đ</w:t>
            </w:r>
          </w:p>
        </w:tc>
        <w:tc>
          <w:tcPr>
            <w:tcW w:type="dxa" w:w="2567"/>
          </w:tcPr>
          <w:p>
            <w:pPr>
              <w:pStyle w:val="Compact"/>
              <w:spacing w:after="0" w:line="240" w:lineRule="auto"/>
            </w:pPr>
          </w:p>
        </w:tc>
        <w:tc>
          <w:tcPr>
            <w:tcW w:type="dxa" w:w="2146"/>
          </w:tcPr>
          <w:p>
            <w:pPr>
              <w:pStyle w:val="Compact"/>
              <w:spacing w:after="0" w:line="240" w:lineRule="auto"/>
              <w:jc w:val="left"/>
            </w:pPr>
            <w:r>
              <w:rPr>
                <w:rFonts w:ascii="Times New Roman" w:hAnsi="Times New Roman" w:eastAsia="Times New Roman" w:cs="Times New Roman"/>
                <w:color w:val="000000"/>
                <w:sz w:val="21"/>
              </w:rPr>
              <w:t xml:space="preserve">Gần như không có rủi ro tài chính</w:t>
            </w:r>
          </w:p>
        </w:tc>
      </w:tr>
    </w:tbl>
    <w:p>
      <w:pPr>
        <w:pStyle w:val="BodyText"/>
        <w:spacing w:after="80" w:line="276" w:lineRule="auto"/>
      </w:pPr>
      <w:r>
        <w:rPr>
          <w:bCs/>
          <w:rFonts w:ascii="Times New Roman" w:hAnsi="Times New Roman" w:eastAsia="Times New Roman" w:cs="Times New Roman"/>
          <w:b/>
          <w:color w:val="000000"/>
          <w:sz w:val="24"/>
        </w:rPr>
        <w:t xml:space="preserve">Cổ tức.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Cổ tức tiền mặt năm 2025 là 25% (2.500 đ/cp, tổng hơn 6.000 tỷ đ, chốt quyền 23/9/2026),</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tỷ suất khoảng 3,3%</w:t>
      </w:r>
      <w:r>
        <w:rPr>
          <w:rFonts w:ascii="Times New Roman" w:hAnsi="Times New Roman" w:eastAsia="Times New Roman" w:cs="Times New Roman"/>
          <w:color w:val="000000"/>
          <w:sz w:val="24"/>
        </w:rPr>
        <w:t xml:space="preserve">. GAS duy trì chia cổ tức tiền mặt cao nhiều năm liền.</w:t>
      </w:r>
    </w:p>
    <w:p>
      <w:pPr>
        <w:pStyle w:val="BodyText"/>
        <w:spacing w:after="80" w:line="276" w:lineRule="auto"/>
      </w:pPr>
      <w:r>
        <w:rPr>
          <w:bCs/>
          <w:rFonts w:ascii="Times New Roman" w:hAnsi="Times New Roman" w:eastAsia="Times New Roman" w:cs="Times New Roman"/>
          <w:b/>
          <w:color w:val="000000"/>
          <w:sz w:val="24"/>
        </w:rPr>
        <w:t xml:space="preserve">Rủi ro.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Rủi ro giá dầu đảo chiều</w:t>
      </w:r>
      <w:r>
        <w:rPr>
          <w:rFonts w:ascii="Times New Roman" w:hAnsi="Times New Roman" w:eastAsia="Times New Roman" w:cs="Times New Roman"/>
          <w:color w:val="000000"/>
          <w:sz w:val="24"/>
        </w:rPr>
        <w:t xml:space="preserve">: EIA dự báo Brent giảm về 84 USD năm 2027. (2) Biên lợi nhuận LPG bị thu hẹp do giá nhập khẩu tăng (biên gộp quý I giảm từ 7,5% xuống 5,3%). (3)</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Rủi ro tư cách công ty đại chúng</w:t>
      </w:r>
      <w:r>
        <w:rPr>
          <w:rFonts w:ascii="Times New Roman" w:hAnsi="Times New Roman" w:eastAsia="Times New Roman" w:cs="Times New Roman"/>
          <w:color w:val="000000"/>
          <w:sz w:val="24"/>
        </w:rPr>
        <w:t xml:space="preserve">: Tập đoàn Dầu khí (PVN) nắm 95,76% cổ phần, nhà đầu tư nhỏ chỉ giữ 4,24%. Ngày 14/8/2026, PV GAS xác nhận không còn đáp ứng điều kiện công ty đại chúng (cần tối thiểu 10% do cổ đông nhỏ nắm giữ) và có 1 năm để khắc phục. Chính phủ đang chỉ đạo tìm giải pháp để GAS ở lại HOSE. Trong kỳ đầu tư 1 tháng, nguy cơ hủy niêm yết thấp, nhưng tỷ lệ cổ phiếu tự do chuyển nhượng thấp khiến các quỹ ngoại khó mua nhiều.</w:t>
      </w:r>
    </w:p>
    <w:p>
      <w:pPr>
        <w:pStyle w:val="BodyText"/>
        <w:spacing w:after="80" w:line="276" w:lineRule="auto"/>
      </w:pPr>
      <w:r>
        <w:rPr>
          <w:bCs/>
          <w:rFonts w:ascii="Times New Roman" w:hAnsi="Times New Roman" w:eastAsia="Times New Roman" w:cs="Times New Roman"/>
          <w:b/>
          <w:color w:val="000000"/>
          <w:sz w:val="24"/>
        </w:rPr>
        <w:t xml:space="preserve">Định giá (kết hợp DDM và P/E).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Với β = 0,8: k = 4,36% + 0,8 × 8% = 10,76%.</w:t>
      </w:r>
    </w:p>
    <w:p>
      <w:pPr>
        <w:numPr>
          <w:ilvl w:val="0"/>
          <w:numId w:val="1002"/>
        </w:numPr>
        <w:pStyle w:val="Compact"/>
        <w:spacing w:after="80" w:line="276" w:lineRule="auto"/>
      </w:pPr>
      <w:r>
        <w:rPr>
          <w:bCs/>
          <w:rFonts w:ascii="Times New Roman" w:hAnsi="Times New Roman" w:eastAsia="Times New Roman" w:cs="Times New Roman"/>
          <w:b/>
          <w:color w:val="000000"/>
          <w:sz w:val="24"/>
        </w:rPr>
        <w:t xml:space="preserve">Mô hình cổ tức tăng trưởng đều (DDM):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D₀ = 2.500 đ, g = 7% (theo tăng trưởng dài hạn của nhu cầu khí). V₀ = 2.500 × 1,07/(0,1076 − 0,07) =</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71.100 đ</w:t>
      </w:r>
      <w:r>
        <w:rPr>
          <w:rFonts w:ascii="Times New Roman" w:hAnsi="Times New Roman" w:eastAsia="Times New Roman" w:cs="Times New Roman"/>
          <w:color w:val="000000"/>
          <w:sz w:val="24"/>
        </w:rPr>
        <w:t xml:space="preserve">. Kết quả rất nhạy với g: nếu g = 6% thì V₀ chỉ còn 55.700 đ, vì k − g quá nhỏ.</w:t>
      </w:r>
    </w:p>
    <w:p>
      <w:pPr>
        <w:numPr>
          <w:ilvl w:val="0"/>
          <w:numId w:val="1002"/>
        </w:numPr>
        <w:pStyle w:val="Compact"/>
        <w:spacing w:after="80" w:line="276" w:lineRule="auto"/>
      </w:pPr>
      <w:r>
        <w:rPr>
          <w:bCs/>
          <w:rFonts w:ascii="Times New Roman" w:hAnsi="Times New Roman" w:eastAsia="Times New Roman" w:cs="Times New Roman"/>
          <w:b/>
          <w:color w:val="000000"/>
          <w:sz w:val="24"/>
        </w:rPr>
        <w:t xml:space="preserve">P/E: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EPS 4 quý gần nhất khoảng 5.350 đ; P/E chuẩn 16 lần (bằng mức SSI sử dụng) cho</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85.600 đ</w:t>
      </w:r>
      <w:r>
        <w:rPr>
          <w:rFonts w:ascii="Times New Roman" w:hAnsi="Times New Roman" w:eastAsia="Times New Roman" w:cs="Times New Roman"/>
          <w:color w:val="000000"/>
          <w:sz w:val="24"/>
        </w:rPr>
        <w:t xml:space="preserve">.</w:t>
      </w:r>
    </w:p>
    <w:p>
      <w:pPr>
        <w:pStyle w:val="FirstParagraph"/>
        <w:spacing w:after="80" w:line="276" w:lineRule="auto"/>
      </w:pPr>
      <w:r>
        <w:rPr>
          <w:rFonts w:ascii="Times New Roman" w:hAnsi="Times New Roman" w:eastAsia="Times New Roman" w:cs="Times New Roman"/>
          <w:color w:val="000000"/>
          <w:sz w:val="24"/>
        </w:rPr>
        <w:t xml:space="preserve">Giá hợp lý = bình quân hai phương pháp =</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78.400 đ/cp (+2%)</w:t>
      </w:r>
      <w:r>
        <w:rPr>
          <w:rFonts w:ascii="Times New Roman" w:hAnsi="Times New Roman" w:eastAsia="Times New Roman" w:cs="Times New Roman"/>
          <w:color w:val="000000"/>
          <w:sz w:val="24"/>
        </w:rPr>
        <w:t xml:space="preserve">. Giá mục tiêu bình quân của 7 công ty chứng khoán là 87.308 đ.</w:t>
      </w:r>
    </w:p>
    <w:p>
      <w:pPr>
        <w:pStyle w:val="BodyText"/>
        <w:spacing w:after="80" w:line="276" w:lineRule="auto"/>
      </w:pPr>
      <w:r>
        <w:rPr>
          <w:bCs/>
          <w:rFonts w:ascii="Times New Roman" w:hAnsi="Times New Roman" w:eastAsia="Times New Roman" w:cs="Times New Roman"/>
          <w:b/>
          <w:color w:val="000000"/>
          <w:sz w:val="24"/>
        </w:rPr>
        <w:t xml:space="preserve">Nhận định.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GAS đang được định giá gần mức hợp lý, nên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không phải mã để kỳ vọng tăng giá mạnh</w:t>
      </w:r>
      <w:r>
        <w:rPr>
          <w:rFonts w:ascii="Times New Roman" w:hAnsi="Times New Roman" w:eastAsia="Times New Roman" w:cs="Times New Roman"/>
          <w:color w:val="000000"/>
          <w:sz w:val="24"/>
        </w:rPr>
        <w:t xml:space="preserve">. Lý do nhóm vẫn chọn GAS: (1) β thấp và lợi nhuận đi ngược chiều với bán lẻ khi giá dầu tăng, giúp giảm phương sai danh mục; (2) cổ tức tiền mặt cùng gần 40.000 tỷ đ tiền mặt tạo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đệm an toàn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trong kịch bản tiêu cực. Nếu ở Bài tập 2 dữ liệu cho thấy GAS bị thống trị (lợi tức thấp hơn nhưng rủi ro cao hơn một mã khác), nhóm sẽ thay bằng</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POW</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(PV Power: LNTT 9 tháng gấp 2,3 lần cùng kỳ, sản lượng điện +44%).</w:t>
      </w:r>
    </w:p>
    <w:bookmarkEnd w:id="29"/>
    <w:bookmarkStart w:id="33" w:name="so-sánh-ba-cổ-phiếu-và-kết-luận"/>
    <w:p>
      <w:pPr>
        <w:pStyle w:val="Heading3"/>
        <w:spacing w:after="80" w:line="276" w:lineRule="auto" w:before="160"/>
      </w:pPr>
      <w:r>
        <w:rPr>
          <w:rFonts w:ascii="Times New Roman" w:hAnsi="Times New Roman" w:eastAsia="Times New Roman" w:cs="Times New Roman"/>
          <w:b/>
          <w:color w:val="000000"/>
          <w:sz w:val="26"/>
        </w:rPr>
        <w:t xml:space="preserve">2.5 So sánh ba cổ phiếu và kết luận</w:t>
      </w:r>
    </w:p>
    <w:p>
      <w:pPr>
        <w:pStyle w:val="FirstParagraph"/>
        <w:spacing w:after="80" w:line="276" w:lineRule="auto"/>
      </w:pPr>
      <w:r>
        <w:rPr>
          <w:rFonts w:ascii="Times New Roman" w:hAnsi="Times New Roman" w:eastAsia="Times New Roman" w:cs="Times New Roman"/>
          <w:color w:val="000000"/>
          <w:sz w:val="24"/>
        </w:rPr>
        <w:drawing>
          <wp:inline>
            <wp:extent cx="4860000" cy="2366999"/>
            <wp:effectExtent b="0" l="0" r="0" t="0"/>
            <wp:docPr descr="" title="" id="31" name="Picture"/>
            <a:graphic>
              <a:graphicData uri="http://schemas.openxmlformats.org/drawingml/2006/picture">
                <pic:pic>
                  <pic:nvPicPr>
                    <pic:cNvPr descr="figures/01_vung_gia_hop_ly.png" id="32" name="Picture"/>
                    <pic:cNvPicPr>
                      <a:picLocks noChangeArrowheads="1" noChangeAspect="1"/>
                    </pic:cNvPicPr>
                  </pic:nvPicPr>
                  <pic:blipFill>
                    <a:blip r:embed="rId30"/>
                    <a:stretch>
                      <a:fillRect/>
                    </a:stretch>
                  </pic:blipFill>
                  <pic:spPr bwMode="auto">
                    <a:xfrm>
                      <a:off x="0" y="0"/>
                      <a:ext cx="4860000" cy="2366999"/>
                    </a:xfrm>
                    <a:prstGeom prst="rect">
                      <a:avLst/>
                    </a:prstGeom>
                    <a:noFill/>
                    <a:ln w="9525">
                      <a:noFill/>
                      <a:headEnd/>
                      <a:tailEnd/>
                    </a:ln>
                  </pic:spPr>
                </pic:pic>
              </a:graphicData>
            </a:graphic>
          </wp:inline>
        </w:drawing>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2630"/>
        <w:gridCol w:w="2075"/>
        <w:gridCol w:w="2147"/>
        <w:gridCol w:w="2503"/>
      </w:tblGrid>
      <w:tr>
        <w:trPr>
          <w:tblHeader w:val="true"/>
        </w:trPr>
        <w:tc>
          <w:tcPr>
            <w:tcW w:type="dxa" w:w="2630"/>
          </w:tcPr>
          <w:p>
            <w:pPr>
              <w:pStyle w:val="Compact"/>
              <w:spacing w:after="0" w:line="240" w:lineRule="auto"/>
              <w:jc w:val="left"/>
            </w:pPr>
            <w:r>
              <w:rPr>
                <w:rFonts w:ascii="Times New Roman" w:hAnsi="Times New Roman" w:eastAsia="Times New Roman" w:cs="Times New Roman"/>
                <w:b/>
                <w:color w:val="000000"/>
                <w:sz w:val="21"/>
              </w:rPr>
              <w:t xml:space="preserve">Tiêu chí</w:t>
            </w:r>
          </w:p>
        </w:tc>
        <w:tc>
          <w:tcPr>
            <w:tcW w:type="dxa" w:w="2075"/>
          </w:tcPr>
          <w:p>
            <w:pPr>
              <w:pStyle w:val="Compact"/>
              <w:spacing w:after="0" w:line="240" w:lineRule="auto"/>
              <w:jc w:val="left"/>
            </w:pPr>
            <w:r>
              <w:rPr>
                <w:rFonts w:ascii="Times New Roman" w:hAnsi="Times New Roman" w:eastAsia="Times New Roman" w:cs="Times New Roman"/>
                <w:b/>
                <w:color w:val="000000"/>
                <w:sz w:val="21"/>
              </w:rPr>
              <w:t xml:space="preserve">MBB</w:t>
            </w:r>
          </w:p>
        </w:tc>
        <w:tc>
          <w:tcPr>
            <w:tcW w:type="dxa" w:w="2147"/>
          </w:tcPr>
          <w:p>
            <w:pPr>
              <w:pStyle w:val="Compact"/>
              <w:spacing w:after="0" w:line="240" w:lineRule="auto"/>
              <w:jc w:val="left"/>
            </w:pPr>
            <w:r>
              <w:rPr>
                <w:rFonts w:ascii="Times New Roman" w:hAnsi="Times New Roman" w:eastAsia="Times New Roman" w:cs="Times New Roman"/>
                <w:b/>
                <w:color w:val="000000"/>
                <w:sz w:val="21"/>
              </w:rPr>
              <w:t xml:space="preserve">MWG</w:t>
            </w:r>
          </w:p>
        </w:tc>
        <w:tc>
          <w:tcPr>
            <w:tcW w:type="dxa" w:w="2503"/>
          </w:tcPr>
          <w:p>
            <w:pPr>
              <w:pStyle w:val="Compact"/>
              <w:spacing w:after="0" w:line="240" w:lineRule="auto"/>
              <w:jc w:val="left"/>
            </w:pPr>
            <w:r>
              <w:rPr>
                <w:rFonts w:ascii="Times New Roman" w:hAnsi="Times New Roman" w:eastAsia="Times New Roman" w:cs="Times New Roman"/>
                <w:b/>
                <w:color w:val="000000"/>
                <w:sz w:val="21"/>
              </w:rPr>
              <w:t xml:space="preserve">GAS</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Ngành</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Ngân hàng</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Bán lẻ</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Khí đốt, năng lượng</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Giá 21–22/10/2026</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19.850 đ</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75.200 đ</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76.500 đ</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Tăng trưởng lợi nhuận gần nhất</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+27,1% (LNTT 6 tháng)</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+88% (LNST 6 tháng)</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+31% (LNTT 9 tháng)</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Định giá hiện tại</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P/B 1,02; P/E khoảng 5–6</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P/E 2026 dự phóng khoảng 12,5</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P/E khoảng 14,3; P/B khoảng 2,3–2,9</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Tỷ suất cổ tức tiền mặt</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khoảng 5%</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khoảng 2,7%</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khoảng 3,3%</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k theo CAPM (β giả định)</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13,16% (β 1,1)</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13,96% (β 1,2)</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10,76% (β 0,8)</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Giá hợp lý / tiềm năng</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25.000 đ / +26%</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90.000 đ / +20%</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78.400 đ / +2%</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Vai trò trong danh mục</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Giá trị</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Tăng trưởng</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Phòng thủ, cổ tức</w:t>
            </w:r>
          </w:p>
        </w:tc>
      </w:tr>
      <w:tr>
        <w:tc>
          <w:tcPr>
            <w:tcW w:type="dxa" w:w="2630"/>
          </w:tcPr>
          <w:p>
            <w:pPr>
              <w:pStyle w:val="Compact"/>
              <w:spacing w:after="0" w:line="240" w:lineRule="auto"/>
              <w:jc w:val="left"/>
            </w:pPr>
            <w:r>
              <w:rPr>
                <w:rFonts w:ascii="Times New Roman" w:hAnsi="Times New Roman" w:eastAsia="Times New Roman" w:cs="Times New Roman"/>
                <w:color w:val="000000"/>
                <w:sz w:val="21"/>
              </w:rPr>
              <w:t xml:space="preserve">Rủi ro lớn nhất</w:t>
            </w:r>
          </w:p>
        </w:tc>
        <w:tc>
          <w:tcPr>
            <w:tcW w:type="dxa" w:w="2075"/>
          </w:tcPr>
          <w:p>
            <w:pPr>
              <w:pStyle w:val="Compact"/>
              <w:spacing w:after="0" w:line="240" w:lineRule="auto"/>
              <w:jc w:val="left"/>
            </w:pPr>
            <w:r>
              <w:rPr>
                <w:rFonts w:ascii="Times New Roman" w:hAnsi="Times New Roman" w:eastAsia="Times New Roman" w:cs="Times New Roman"/>
                <w:color w:val="000000"/>
                <w:sz w:val="21"/>
              </w:rPr>
              <w:t xml:space="preserve">Nợ xấu nhóm 5, NIM</w:t>
            </w:r>
          </w:p>
        </w:tc>
        <w:tc>
          <w:tcPr>
            <w:tcW w:type="dxa" w:w="2147"/>
          </w:tcPr>
          <w:p>
            <w:pPr>
              <w:pStyle w:val="Compact"/>
              <w:spacing w:after="0" w:line="240" w:lineRule="auto"/>
              <w:jc w:val="left"/>
            </w:pPr>
            <w:r>
              <w:rPr>
                <w:rFonts w:ascii="Times New Roman" w:hAnsi="Times New Roman" w:eastAsia="Times New Roman" w:cs="Times New Roman"/>
                <w:color w:val="000000"/>
                <w:sz w:val="21"/>
              </w:rPr>
              <w:t xml:space="preserve">Lợi nhuận 2027 chững lại</w:t>
            </w:r>
          </w:p>
        </w:tc>
        <w:tc>
          <w:tcPr>
            <w:tcW w:type="dxa" w:w="2503"/>
          </w:tcPr>
          <w:p>
            <w:pPr>
              <w:pStyle w:val="Compact"/>
              <w:spacing w:after="0" w:line="240" w:lineRule="auto"/>
              <w:jc w:val="left"/>
            </w:pPr>
            <w:r>
              <w:rPr>
                <w:rFonts w:ascii="Times New Roman" w:hAnsi="Times New Roman" w:eastAsia="Times New Roman" w:cs="Times New Roman"/>
                <w:color w:val="000000"/>
                <w:sz w:val="21"/>
              </w:rPr>
              <w:t xml:space="preserve">Giá dầu đảo chiều, tư cách đại chúng</w:t>
            </w:r>
          </w:p>
        </w:tc>
      </w:tr>
    </w:tbl>
    <w:p>
      <w:pPr>
        <w:pStyle w:val="BodyText"/>
        <w:spacing w:after="80" w:line="276" w:lineRule="auto"/>
      </w:pPr>
      <w:r>
        <w:rPr>
          <w:bCs/>
          <w:rFonts w:ascii="Times New Roman" w:hAnsi="Times New Roman" w:eastAsia="Times New Roman" w:cs="Times New Roman"/>
          <w:b/>
          <w:color w:val="000000"/>
          <w:sz w:val="24"/>
        </w:rPr>
        <w:t xml:space="preserve">Kết luận.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Ba cổ phiếu thuộc ba ngành khác nhau, đều có lợi nhuận 2026 tăng trưởng hai chữ số và giá không trong xu hướng giảm kéo dài. MBB và MWG mang lại tiềm năng tăng giá; GAS giữ vai trò giảm rủi ro. Theo CAPM, một cổ phiếu có lợi tức kỳ vọng cao hơn k của nó (α &gt; 0) là đang bị định giá thấp. Với kỳ hạn 1 tháng, nhóm không kỳ vọng giá về hẳn mức hợp lý, mà kỳ vọng thu hẹp một phần khoảng cách nhờ các chất xúc tác ở mục 1.2.</w:t>
      </w:r>
    </w:p>
    <w:bookmarkEnd w:id="33"/>
    <w:bookmarkEnd w:id="34"/>
    <w:bookmarkStart w:id="35" w:name="khuyến-nghị-tổng-hợp"/>
    <w:p>
      <w:pPr>
        <w:pStyle w:val="Heading2"/>
        <w:spacing w:after="80" w:line="276" w:lineRule="auto" w:before="160"/>
      </w:pPr>
      <w:r>
        <w:rPr>
          <w:rFonts w:ascii="Times New Roman" w:hAnsi="Times New Roman" w:eastAsia="Times New Roman" w:cs="Times New Roman"/>
          <w:b/>
          <w:color w:val="000000"/>
          <w:sz w:val="28"/>
        </w:rPr>
        <w:t xml:space="preserve">Khuyến nghị tổng hợp</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9354" w:type="dxa"/>
        <w:tblLayout w:type="fixed"/>
      </w:tblPr>
      <w:tblGrid>
        <w:gridCol w:w="615"/>
        <w:gridCol w:w="5210"/>
        <w:gridCol w:w="2209"/>
        <w:gridCol w:w="1320"/>
      </w:tblGrid>
      <w:tr>
        <w:trPr>
          <w:tblHeader w:val="true"/>
        </w:trPr>
        <w:tc>
          <w:tcPr>
            <w:tcW w:type="dxa" w:w="615"/>
          </w:tcPr>
          <w:p>
            <w:pPr>
              <w:pStyle w:val="Compact"/>
              <w:spacing w:after="0" w:line="240" w:lineRule="auto"/>
              <w:jc w:val="left"/>
            </w:pPr>
            <w:r>
              <w:rPr>
                <w:rFonts w:ascii="Times New Roman" w:hAnsi="Times New Roman" w:eastAsia="Times New Roman" w:cs="Times New Roman"/>
                <w:b/>
                <w:color w:val="000000"/>
                <w:sz w:val="21"/>
              </w:rPr>
              <w:t xml:space="preserve">#</w:t>
            </w:r>
          </w:p>
        </w:tc>
        <w:tc>
          <w:tcPr>
            <w:tcW w:type="dxa" w:w="5210"/>
          </w:tcPr>
          <w:p>
            <w:pPr>
              <w:pStyle w:val="Compact"/>
              <w:spacing w:after="0" w:line="240" w:lineRule="auto"/>
              <w:jc w:val="left"/>
            </w:pPr>
            <w:r>
              <w:rPr>
                <w:rFonts w:ascii="Times New Roman" w:hAnsi="Times New Roman" w:eastAsia="Times New Roman" w:cs="Times New Roman"/>
                <w:b/>
                <w:color w:val="000000"/>
                <w:sz w:val="21"/>
              </w:rPr>
              <w:t xml:space="preserve">Khuyến nghị</w:t>
            </w:r>
          </w:p>
        </w:tc>
        <w:tc>
          <w:tcPr>
            <w:tcW w:type="dxa" w:w="2209"/>
          </w:tcPr>
          <w:p>
            <w:pPr>
              <w:pStyle w:val="Compact"/>
              <w:spacing w:after="0" w:line="240" w:lineRule="auto"/>
              <w:jc w:val="left"/>
            </w:pPr>
            <w:r>
              <w:rPr>
                <w:rFonts w:ascii="Times New Roman" w:hAnsi="Times New Roman" w:eastAsia="Times New Roman" w:cs="Times New Roman"/>
                <w:b/>
                <w:color w:val="000000"/>
                <w:sz w:val="21"/>
              </w:rPr>
              <w:t xml:space="preserve">Căn cứ</w:t>
            </w:r>
          </w:p>
        </w:tc>
        <w:tc>
          <w:tcPr>
            <w:tcW w:type="dxa" w:w="1320"/>
          </w:tcPr>
          <w:p>
            <w:pPr>
              <w:pStyle w:val="Compact"/>
              <w:spacing w:after="0" w:line="240" w:lineRule="auto"/>
              <w:jc w:val="left"/>
            </w:pPr>
            <w:r>
              <w:rPr>
                <w:rFonts w:ascii="Times New Roman" w:hAnsi="Times New Roman" w:eastAsia="Times New Roman" w:cs="Times New Roman"/>
                <w:b/>
                <w:color w:val="000000"/>
                <w:sz w:val="21"/>
              </w:rPr>
              <w:t xml:space="preserve">Ưu tiên</w:t>
            </w:r>
          </w:p>
        </w:tc>
      </w:tr>
      <w:tr>
        <w:tc>
          <w:tcPr>
            <w:tcW w:type="dxa" w:w="615"/>
          </w:tcPr>
          <w:p>
            <w:pPr>
              <w:pStyle w:val="Compact"/>
              <w:spacing w:after="0" w:line="240" w:lineRule="auto"/>
              <w:jc w:val="left"/>
            </w:pPr>
            <w:r>
              <w:rPr>
                <w:rFonts w:ascii="Times New Roman" w:hAnsi="Times New Roman" w:eastAsia="Times New Roman" w:cs="Times New Roman"/>
                <w:color w:val="000000"/>
                <w:sz w:val="21"/>
              </w:rPr>
              <w:t xml:space="preserve">1</w:t>
            </w:r>
          </w:p>
        </w:tc>
        <w:tc>
          <w:tcPr>
            <w:tcW w:type="dxa" w:w="5210"/>
          </w:tcPr>
          <w:p>
            <w:pPr>
              <w:pStyle w:val="Compact"/>
              <w:spacing w:after="0" w:line="240" w:lineRule="auto"/>
              <w:jc w:val="left"/>
            </w:pPr>
            <w:r>
              <w:rPr>
                <w:rFonts w:ascii="Times New Roman" w:hAnsi="Times New Roman" w:eastAsia="Times New Roman" w:cs="Times New Roman"/>
                <w:color w:val="000000"/>
                <w:sz w:val="21"/>
              </w:rPr>
              <w:t xml:space="preserve">Giải ngân vào MBB, MWG, GAS theo tỷ trọng sơ bộ 40/35/25, điều chỉnh lại theo danh mục tối ưu ở Bài tập 2</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Mục 1.4, 2.5</w:t>
            </w:r>
          </w:p>
        </w:tc>
        <w:tc>
          <w:tcPr>
            <w:tcW w:type="dxa" w:w="1320"/>
          </w:tcPr>
          <w:p>
            <w:pPr>
              <w:pStyle w:val="Compact"/>
              <w:spacing w:after="0" w:line="240" w:lineRule="auto"/>
              <w:jc w:val="left"/>
            </w:pPr>
            <w:r>
              <w:rPr>
                <w:rFonts w:ascii="Times New Roman" w:hAnsi="Times New Roman" w:eastAsia="Times New Roman" w:cs="Times New Roman"/>
                <w:color w:val="000000"/>
                <w:sz w:val="21"/>
              </w:rPr>
              <w:t xml:space="preserve">Cao</w:t>
            </w:r>
          </w:p>
        </w:tc>
      </w:tr>
      <w:tr>
        <w:tc>
          <w:tcPr>
            <w:tcW w:type="dxa" w:w="615"/>
          </w:tcPr>
          <w:p>
            <w:pPr>
              <w:pStyle w:val="Compact"/>
              <w:spacing w:after="0" w:line="240" w:lineRule="auto"/>
              <w:jc w:val="left"/>
            </w:pPr>
            <w:r>
              <w:rPr>
                <w:rFonts w:ascii="Times New Roman" w:hAnsi="Times New Roman" w:eastAsia="Times New Roman" w:cs="Times New Roman"/>
                <w:color w:val="000000"/>
                <w:sz w:val="21"/>
              </w:rPr>
              <w:t xml:space="preserve">2</w:t>
            </w:r>
          </w:p>
        </w:tc>
        <w:tc>
          <w:tcPr>
            <w:tcW w:type="dxa" w:w="5210"/>
          </w:tcPr>
          <w:p>
            <w:pPr>
              <w:pStyle w:val="Compact"/>
              <w:spacing w:after="0" w:line="240" w:lineRule="auto"/>
              <w:jc w:val="left"/>
            </w:pPr>
            <w:r>
              <w:rPr>
                <w:rFonts w:ascii="Times New Roman" w:hAnsi="Times New Roman" w:eastAsia="Times New Roman" w:cs="Times New Roman"/>
                <w:color w:val="000000"/>
                <w:sz w:val="21"/>
              </w:rPr>
              <w:t xml:space="preserve">Giải ngân 2 lần (60% ngay đầu kỳ, 40% sau khi các ngân hàng và MWG công bố báo cáo tài chính quý III), không mua đuổi trong phiên tăng mạnh</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Thị trường biến động mạnh, mục 1.2</w:t>
            </w:r>
          </w:p>
        </w:tc>
        <w:tc>
          <w:tcPr>
            <w:tcW w:type="dxa" w:w="1320"/>
          </w:tcPr>
          <w:p>
            <w:pPr>
              <w:pStyle w:val="Compact"/>
              <w:spacing w:after="0" w:line="240" w:lineRule="auto"/>
              <w:jc w:val="left"/>
            </w:pPr>
            <w:r>
              <w:rPr>
                <w:rFonts w:ascii="Times New Roman" w:hAnsi="Times New Roman" w:eastAsia="Times New Roman" w:cs="Times New Roman"/>
                <w:color w:val="000000"/>
                <w:sz w:val="21"/>
              </w:rPr>
              <w:t xml:space="preserve">Cao</w:t>
            </w:r>
          </w:p>
        </w:tc>
      </w:tr>
      <w:tr>
        <w:tc>
          <w:tcPr>
            <w:tcW w:type="dxa" w:w="615"/>
          </w:tcPr>
          <w:p>
            <w:pPr>
              <w:pStyle w:val="Compact"/>
              <w:spacing w:after="0" w:line="240" w:lineRule="auto"/>
              <w:jc w:val="left"/>
            </w:pPr>
            <w:r>
              <w:rPr>
                <w:rFonts w:ascii="Times New Roman" w:hAnsi="Times New Roman" w:eastAsia="Times New Roman" w:cs="Times New Roman"/>
                <w:color w:val="000000"/>
                <w:sz w:val="21"/>
              </w:rPr>
              <w:t xml:space="preserve">3</w:t>
            </w:r>
          </w:p>
        </w:tc>
        <w:tc>
          <w:tcPr>
            <w:tcW w:type="dxa" w:w="5210"/>
          </w:tcPr>
          <w:p>
            <w:pPr>
              <w:pStyle w:val="Compact"/>
              <w:spacing w:after="0" w:line="240" w:lineRule="auto"/>
              <w:jc w:val="left"/>
            </w:pPr>
            <w:r>
              <w:rPr>
                <w:rFonts w:ascii="Times New Roman" w:hAnsi="Times New Roman" w:eastAsia="Times New Roman" w:cs="Times New Roman"/>
                <w:color w:val="000000"/>
                <w:sz w:val="21"/>
              </w:rPr>
              <w:t xml:space="preserve">Cắt lỗ một mã nếu giảm quá 8% so với giá mua; bán GAS ngay nếu có quyết định hủy tư cách công ty đại chúng</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Rủi ro ở mục 2.2–2.4</w:t>
            </w:r>
          </w:p>
        </w:tc>
        <w:tc>
          <w:tcPr>
            <w:tcW w:type="dxa" w:w="1320"/>
          </w:tcPr>
          <w:p>
            <w:pPr>
              <w:pStyle w:val="Compact"/>
              <w:spacing w:after="0" w:line="240" w:lineRule="auto"/>
              <w:jc w:val="left"/>
            </w:pPr>
            <w:r>
              <w:rPr>
                <w:rFonts w:ascii="Times New Roman" w:hAnsi="Times New Roman" w:eastAsia="Times New Roman" w:cs="Times New Roman"/>
                <w:color w:val="000000"/>
                <w:sz w:val="21"/>
              </w:rPr>
              <w:t xml:space="preserve">Cao</w:t>
            </w:r>
          </w:p>
        </w:tc>
      </w:tr>
      <w:tr>
        <w:tc>
          <w:tcPr>
            <w:tcW w:type="dxa" w:w="615"/>
          </w:tcPr>
          <w:p>
            <w:pPr>
              <w:pStyle w:val="Compact"/>
              <w:spacing w:after="0" w:line="240" w:lineRule="auto"/>
              <w:jc w:val="left"/>
            </w:pPr>
            <w:r>
              <w:rPr>
                <w:rFonts w:ascii="Times New Roman" w:hAnsi="Times New Roman" w:eastAsia="Times New Roman" w:cs="Times New Roman"/>
                <w:color w:val="000000"/>
                <w:sz w:val="21"/>
              </w:rPr>
              <w:t xml:space="preserve">4</w:t>
            </w:r>
          </w:p>
        </w:tc>
        <w:tc>
          <w:tcPr>
            <w:tcW w:type="dxa" w:w="5210"/>
          </w:tcPr>
          <w:p>
            <w:pPr>
              <w:pStyle w:val="Compact"/>
              <w:spacing w:after="0" w:line="240" w:lineRule="auto"/>
              <w:jc w:val="left"/>
            </w:pPr>
            <w:r>
              <w:rPr>
                <w:rFonts w:ascii="Times New Roman" w:hAnsi="Times New Roman" w:eastAsia="Times New Roman" w:cs="Times New Roman"/>
                <w:color w:val="000000"/>
                <w:sz w:val="21"/>
              </w:rPr>
              <w:t xml:space="preserve">Theo dõi CPI tháng 10 và giá dầu Brent. Nếu CPI vượt 5,5%, giảm tỷ trọng MWG và tăng GAS</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Mục 1.1</w:t>
            </w:r>
          </w:p>
        </w:tc>
        <w:tc>
          <w:tcPr>
            <w:tcW w:type="dxa" w:w="1320"/>
          </w:tcPr>
          <w:p>
            <w:pPr>
              <w:pStyle w:val="Compact"/>
              <w:spacing w:after="0" w:line="240" w:lineRule="auto"/>
              <w:jc w:val="left"/>
            </w:pPr>
            <w:r>
              <w:rPr>
                <w:rFonts w:ascii="Times New Roman" w:hAnsi="Times New Roman" w:eastAsia="Times New Roman" w:cs="Times New Roman"/>
                <w:color w:val="000000"/>
                <w:sz w:val="21"/>
              </w:rPr>
              <w:t xml:space="preserve">Trung bình</w:t>
            </w:r>
          </w:p>
        </w:tc>
      </w:tr>
      <w:tr>
        <w:tc>
          <w:tcPr>
            <w:tcW w:type="dxa" w:w="615"/>
          </w:tcPr>
          <w:p>
            <w:pPr>
              <w:pStyle w:val="Compact"/>
              <w:spacing w:after="0" w:line="240" w:lineRule="auto"/>
              <w:jc w:val="left"/>
            </w:pPr>
            <w:r>
              <w:rPr>
                <w:rFonts w:ascii="Times New Roman" w:hAnsi="Times New Roman" w:eastAsia="Times New Roman" w:cs="Times New Roman"/>
                <w:color w:val="000000"/>
                <w:sz w:val="21"/>
              </w:rPr>
              <w:t xml:space="preserve">5</w:t>
            </w:r>
          </w:p>
        </w:tc>
        <w:tc>
          <w:tcPr>
            <w:tcW w:type="dxa" w:w="5210"/>
          </w:tcPr>
          <w:p>
            <w:pPr>
              <w:pStyle w:val="Compact"/>
              <w:spacing w:after="0" w:line="240" w:lineRule="auto"/>
              <w:jc w:val="left"/>
            </w:pPr>
            <w:r>
              <w:rPr>
                <w:rFonts w:ascii="Times New Roman" w:hAnsi="Times New Roman" w:eastAsia="Times New Roman" w:cs="Times New Roman"/>
                <w:color w:val="000000"/>
                <w:sz w:val="21"/>
              </w:rPr>
              <w:t xml:space="preserve">Ở Bài tập 2, tải giá ngày của MBB, MWG, GAS và VN-Index tối thiểu 3 năm để ước lượng β, lợi tức kỳ vọng, ma trận hiệp phương sai</w:t>
            </w:r>
          </w:p>
        </w:tc>
        <w:tc>
          <w:tcPr>
            <w:tcW w:type="dxa" w:w="2209"/>
          </w:tcPr>
          <w:p>
            <w:pPr>
              <w:pStyle w:val="Compact"/>
              <w:spacing w:after="0" w:line="240" w:lineRule="auto"/>
              <w:jc w:val="left"/>
            </w:pPr>
            <w:r>
              <w:rPr>
                <w:rFonts w:ascii="Times New Roman" w:hAnsi="Times New Roman" w:eastAsia="Times New Roman" w:cs="Times New Roman"/>
                <w:color w:val="000000"/>
                <w:sz w:val="21"/>
              </w:rPr>
              <w:t xml:space="preserve">Thay các giả định β ở mục 2.1</w:t>
            </w:r>
          </w:p>
        </w:tc>
        <w:tc>
          <w:tcPr>
            <w:tcW w:type="dxa" w:w="1320"/>
          </w:tcPr>
          <w:p>
            <w:pPr>
              <w:pStyle w:val="Compact"/>
              <w:spacing w:after="0" w:line="240" w:lineRule="auto"/>
              <w:jc w:val="left"/>
            </w:pPr>
            <w:r>
              <w:rPr>
                <w:rFonts w:ascii="Times New Roman" w:hAnsi="Times New Roman" w:eastAsia="Times New Roman" w:cs="Times New Roman"/>
                <w:color w:val="000000"/>
                <w:sz w:val="21"/>
              </w:rPr>
              <w:t xml:space="preserve">Bắt buộc</w:t>
            </w:r>
          </w:p>
        </w:tc>
      </w:tr>
    </w:tbl>
    <w:bookmarkEnd w:id="35"/>
    <w:bookmarkStart w:id="36" w:name="giới-hạn-của-phân-tích"/>
    <w:p>
      <w:pPr>
        <w:pStyle w:val="Heading2"/>
        <w:spacing w:after="80" w:line="276" w:lineRule="auto" w:before="160"/>
      </w:pPr>
      <w:r>
        <w:rPr>
          <w:rFonts w:ascii="Times New Roman" w:hAnsi="Times New Roman" w:eastAsia="Times New Roman" w:cs="Times New Roman"/>
          <w:b/>
          <w:color w:val="000000"/>
          <w:sz w:val="28"/>
        </w:rPr>
        <w:t xml:space="preserve">Giới hạn của phân tích</w:t>
      </w:r>
    </w:p>
    <w:p>
      <w:pPr>
        <w:pStyle w:val="FirstParagraph"/>
        <w:spacing w:after="80" w:line="276" w:lineRule="auto"/>
      </w:pPr>
      <w:r>
        <w:rPr>
          <w:rFonts w:ascii="Times New Roman" w:hAnsi="Times New Roman" w:eastAsia="Times New Roman" w:cs="Times New Roman"/>
          <w:color w:val="000000"/>
          <w:sz w:val="24"/>
        </w:rPr>
        <w:t xml:space="preserve">Nhiều số liệu quý III/2026 là</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số ước tính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công bố trước báo cáo tài chính chính thức, cần cập nhật khi có báo cáo. Hệ số β và phần bù rủi ro 8% là</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giả định</w:t>
      </w:r>
      <w:r>
        <w:rPr>
          <w:rFonts w:ascii="Times New Roman" w:hAnsi="Times New Roman" w:eastAsia="Times New Roman" w:cs="Times New Roman"/>
          <w:color w:val="000000"/>
          <w:sz w:val="24"/>
        </w:rPr>
        <w:t xml:space="preserve">, giá trị hợp lý thay đổi đáng kể khi k thay đổi (nhất là GAS). Xác suất các kịch bản ở mục 1.2 là</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nhận định chủ quan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của nhóm.</w:t>
      </w:r>
    </w:p>
    <w:bookmarkEnd w:id="36"/>
    <w:bookmarkStart w:id="37" w:name="nguồn-số-liệu"/>
    <w:p>
      <w:pPr>
        <w:pStyle w:val="Heading2"/>
        <w:spacing w:after="80" w:line="276" w:lineRule="auto" w:before="160"/>
      </w:pPr>
      <w:r>
        <w:rPr>
          <w:rFonts w:ascii="Times New Roman" w:hAnsi="Times New Roman" w:eastAsia="Times New Roman" w:cs="Times New Roman"/>
          <w:b/>
          <w:color w:val="000000"/>
          <w:sz w:val="28"/>
        </w:rPr>
        <w:t xml:space="preserve">Nguồn số liệu</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Vĩ mô: Cục Thống kê, Tình hình kinh tế – xã hội quý III và 9 tháng năm 2026 (nso.gov.vn); Trading Economics (GDP, lãi suất); FXStreet/Commerzbank (07/10/2026); VietnamPlus (tỷ giá 23/10/2026, lãi suất cho vay); CEIC (VNIBOR); Tạp chí Kinh tế Tài chính (đấu thầu trái phiếu Chính phủ tháng 7/2026, bán lẻ 9 tháng); VietnamFinance (tín dụng 6 tháng); Báo Thị trường Tài chính Tiền tệ (dự báo EIA về giá dầu).</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Thị trường: Nhân Dân (VN-Index 22/10/2026); Vietnam.vn (diễn biến tháng 10); Tuổi Trẻ, Fili, VCBS (diễn biến 2026, P/E thị trường); Mondaq, Vietnam News (lộ trình nâng hạng FTSE).</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MBB: Vietstock, Tin nhanh chứng khoán (kết quả 6 tháng 2026); ABS Research (kết quả 2025, nợ xấu); VnBusiness (kết luận Kiểm toán Nhà nước); FUNAN Research (NIM, giá trị hợp lý); VietnamPlus (cổ tức 2026); trang Thông tin thị trường MB (giá, P/B, BVPS ngày 21/10/2026).</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MWG: Finhay (báo cáo tài chính 2025); Báo Pháp luật, Thời báo Tài chính (doanh thu 9 tháng); Elibook, VDSC, MBS, AAS (dự phóng quý III); Vietstock, CafeF (giá, P/E, giá mục tiêu).</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GAS: Người Quan sát, Tin nhanh chứng khoán, Vietstock (kết quả 9 tháng 2026); Mekong ASEAN (kết quả 2025); Báo Pháp luật (cơ cấu doanh thu quý I); DNSE, VnEconomy (tư cách công ty đại chúng); CafeF, 24hmoney, Ad-hoc News (giá, P/E, giá mục tiêu).</w:t>
      </w:r>
    </w:p>
    <w:p>
      <w:pPr>
        <w:numPr>
          <w:ilvl w:val="0"/>
          <w:numId w:val="1003"/>
        </w:numPr>
        <w:pStyle w:val="Compact"/>
        <w:spacing w:after="80" w:line="276" w:lineRule="auto"/>
      </w:pPr>
      <w:r>
        <w:rPr>
          <w:rFonts w:ascii="Times New Roman" w:hAnsi="Times New Roman" w:eastAsia="Times New Roman" w:cs="Times New Roman"/>
          <w:color w:val="000000"/>
          <w:sz w:val="20"/>
        </w:rPr>
        <w:t xml:space="preserve">HPG, FPT: Dân trí, Vietstock, CafeF (diễn biến giá HPG); Tiền Phong, Investing.com, VnEconomy (FPT).</w:t>
      </w:r>
    </w:p>
    <w:bookmarkEnd w:id="37"/>
    <w:bookmarkEnd w:id="38"/>
    <w:sectPr>
      <w:pgSz w:h="16838" w:w="11906"/>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2026-10-23T12:48:03Z</dcterms:created>
  <dcterms:modified xsi:type="dcterms:W3CDTF">2026-10-23T12:48:03Z</dcterms:modified>
</cp:coreProperties>
</file>

<file path=docProps/custom.xml><?xml version="1.0" encoding="utf-8"?>
<Properties xmlns="http://schemas.openxmlformats.org/officeDocument/2006/custom-properties" xmlns:vt="http://schemas.openxmlformats.org/officeDocument/2006/docPropsVTypes"/>
</file>