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Bellringer: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Cell Membrane Labeling</w:t>
      </w:r>
    </w:p>
    <w:p w:rsidR="00000000" w:rsidDel="00000000" w:rsidP="00000000" w:rsidRDefault="00000000" w:rsidRPr="00000000" w14:paraId="00000002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AP Biology</w:t>
      </w:r>
    </w:p>
    <w:p w:rsidR="00000000" w:rsidDel="00000000" w:rsidP="00000000" w:rsidRDefault="00000000" w:rsidRPr="00000000" w14:paraId="00000003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Label the following structures:  Peripheral proteins, Extracellular matrix, Glycolipid , Glycoprotein</w:t>
        <w:br w:type="textWrapping"/>
        <w:t xml:space="preserve">Channel Protein, Phospholipid, Outside of cell , Inside of cell , Cytoskeleton, Integral Protein</w:t>
        <w:br w:type="textWrapping"/>
      </w:r>
    </w:p>
    <w:p w:rsidR="00000000" w:rsidDel="00000000" w:rsidP="00000000" w:rsidRDefault="00000000" w:rsidRPr="00000000" w14:paraId="00000004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</w:rPr>
        <w:drawing>
          <wp:inline distB="19050" distT="19050" distL="19050" distR="19050">
            <wp:extent cx="6119813" cy="3390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13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Bellringer: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Cell Membrane Labeling</w:t>
      </w:r>
    </w:p>
    <w:p w:rsidR="00000000" w:rsidDel="00000000" w:rsidP="00000000" w:rsidRDefault="00000000" w:rsidRPr="00000000" w14:paraId="00000007">
      <w:pPr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AP Biology</w:t>
      </w:r>
    </w:p>
    <w:p w:rsidR="00000000" w:rsidDel="00000000" w:rsidP="00000000" w:rsidRDefault="00000000" w:rsidRPr="00000000" w14:paraId="00000008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Label the following structures:  Peripheral proteins, Extracellular matrix, Glycolipid , Glycoprotein</w:t>
        <w:br w:type="textWrapping"/>
        <w:t xml:space="preserve">Channel Protein, Phospholipid, Outside of cell , Inside of cell , Cytoskeleton, Integral Protein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</w:rPr>
        <w:drawing>
          <wp:inline distB="19050" distT="19050" distL="19050" distR="19050">
            <wp:extent cx="6138863" cy="339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8863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