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Cell Size (Topic 2.3)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Why are cells typically small?  How is the surface area to volume ratio calculated?  What are some examples of structural modifications of cells that increase surface area?  How does the surface area to volume ratio affect the rate of heat exchange with the environment?  How are specialized structures and strategies used by cells and organisms for the efficient exchange of molecules with the environment?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hyperlink r:id="rId6">
        <w:r w:rsidDel="00000000" w:rsidR="00000000" w:rsidRPr="00000000">
          <w:rPr>
            <w:b w:val="1"/>
            <w:color w:val="1155cc"/>
            <w:sz w:val="22"/>
            <w:szCs w:val="22"/>
            <w:u w:val="single"/>
            <w:rtl w:val="0"/>
          </w:rPr>
          <w:t xml:space="preserve"> </w:t>
        </w:r>
      </w:hyperlink>
      <w:hyperlink r:id="rId7">
        <w:r w:rsidDel="00000000" w:rsidR="00000000" w:rsidRPr="00000000">
          <w:rPr>
            <w:color w:val="1155cc"/>
            <w:sz w:val="22"/>
            <w:szCs w:val="22"/>
            <w:u w:val="single"/>
            <w:rtl w:val="0"/>
          </w:rPr>
          <w:t xml:space="preserve">AP Daily Video 2.3 Cell Size (Video 1)</w:t>
        </w:r>
      </w:hyperlink>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AP Daily Video 2.3 Cell Size (Video 2)</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w:t>
      </w:r>
      <w:r w:rsidDel="00000000" w:rsidR="00000000" w:rsidRPr="00000000">
        <w:rPr>
          <w:sz w:val="22"/>
          <w:szCs w:val="22"/>
          <w:rtl w:val="0"/>
        </w:rPr>
        <w:t xml:space="preserve">Chapter 4.2</w:t>
      </w:r>
      <w:r w:rsidDel="00000000" w:rsidR="00000000" w:rsidRPr="00000000">
        <w:rPr>
          <w:sz w:val="22"/>
          <w:szCs w:val="22"/>
          <w:rtl w:val="0"/>
        </w:rPr>
        <w:t xml:space="preserve">, Biology in Focus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Guided Notes 2.3 (</w:t>
      </w:r>
      <w:hyperlink r:id="rId9">
        <w:r w:rsidDel="00000000" w:rsidR="00000000" w:rsidRPr="00000000">
          <w:rPr>
            <w:color w:val="1155cc"/>
            <w:sz w:val="22"/>
            <w:szCs w:val="22"/>
            <w:u w:val="single"/>
            <w:rtl w:val="0"/>
          </w:rPr>
          <w:t xml:space="preserve">Video 1</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Video 2</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C">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after in-class activities and before quizzes, it is recommended that you stop in for office hours.</w:t>
      </w:r>
    </w:p>
    <w:p w:rsidR="00000000" w:rsidDel="00000000" w:rsidP="00000000" w:rsidRDefault="00000000" w:rsidRPr="00000000" w14:paraId="0000000D">
      <w:pPr>
        <w:pageBreakBefore w:val="0"/>
        <w:rPr>
          <w:sz w:val="22"/>
          <w:szCs w:val="22"/>
        </w:rPr>
      </w:pPr>
      <w:r w:rsidDel="00000000" w:rsidR="00000000" w:rsidRPr="00000000">
        <w:rPr>
          <w:rtl w:val="0"/>
        </w:rPr>
      </w:r>
    </w:p>
    <w:tbl>
      <w:tblPr>
        <w:tblStyle w:val="Table1"/>
        <w:tblW w:w="10798.8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85"/>
        <w:gridCol w:w="8550"/>
        <w:tblGridChange w:id="0">
          <w:tblGrid>
            <w:gridCol w:w="555"/>
            <w:gridCol w:w="554.4"/>
            <w:gridCol w:w="554.4"/>
            <w:gridCol w:w="585"/>
            <w:gridCol w:w="8550"/>
          </w:tblGrid>
        </w:tblGridChange>
      </w:tblGrid>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color w:val="ffffff"/>
                <w:sz w:val="22"/>
                <w:szCs w:val="22"/>
              </w:rPr>
            </w:pPr>
            <w:r w:rsidDel="00000000" w:rsidR="00000000" w:rsidRPr="00000000">
              <w:rPr>
                <w:rtl w:val="0"/>
              </w:rPr>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76" w:lineRule="auto"/>
              <w:rPr>
                <w:sz w:val="20"/>
                <w:szCs w:val="20"/>
                <w:highlight w:val="white"/>
              </w:rPr>
            </w:pPr>
            <w:r w:rsidDel="00000000" w:rsidR="00000000" w:rsidRPr="00000000">
              <w:rPr>
                <w:i w:val="1"/>
                <w:color w:val="211d1e"/>
                <w:sz w:val="20"/>
                <w:szCs w:val="20"/>
                <w:rtl w:val="0"/>
              </w:rPr>
              <w:t xml:space="preserve">Explain the effect of surface area-to-volume ratios on the exchange of materials between cells or organisms and the environment.  (</w:t>
            </w:r>
            <w:r w:rsidDel="00000000" w:rsidR="00000000" w:rsidRPr="00000000">
              <w:rPr>
                <w:color w:val="211d1e"/>
                <w:sz w:val="20"/>
                <w:szCs w:val="20"/>
                <w:rtl w:val="0"/>
              </w:rPr>
              <w:t xml:space="preserve">Topic 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numPr>
                <w:ilvl w:val="0"/>
                <w:numId w:val="1"/>
              </w:numPr>
              <w:ind w:left="720" w:hanging="360"/>
              <w:rPr>
                <w:sz w:val="22"/>
                <w:szCs w:val="22"/>
                <w:u w:val="none"/>
              </w:rPr>
            </w:pPr>
            <w:r w:rsidDel="00000000" w:rsidR="00000000" w:rsidRPr="00000000">
              <w:rPr>
                <w:b w:val="1"/>
                <w:sz w:val="22"/>
                <w:szCs w:val="22"/>
                <w:rtl w:val="0"/>
              </w:rPr>
              <w:t xml:space="preserve">Explain</w:t>
            </w:r>
            <w:r w:rsidDel="00000000" w:rsidR="00000000" w:rsidRPr="00000000">
              <w:rPr>
                <w:sz w:val="22"/>
                <w:szCs w:val="22"/>
                <w:rtl w:val="0"/>
              </w:rPr>
              <w:t xml:space="preserve"> why cells must be small, but cannot be too 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numPr>
                <w:ilvl w:val="0"/>
                <w:numId w:val="1"/>
              </w:numPr>
              <w:ind w:left="720" w:hanging="360"/>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In hypothetical cube shaped cells which have sides measuring 0.25, 0.5 and 1 cm respectively, </w:t>
            </w:r>
            <w:r w:rsidDel="00000000" w:rsidR="00000000" w:rsidRPr="00000000">
              <w:rPr>
                <w:b w:val="1"/>
                <w:sz w:val="22"/>
                <w:szCs w:val="22"/>
                <w:rtl w:val="0"/>
              </w:rPr>
              <w:t xml:space="preserve">predict</w:t>
            </w:r>
            <w:r w:rsidDel="00000000" w:rsidR="00000000" w:rsidRPr="00000000">
              <w:rPr>
                <w:sz w:val="22"/>
                <w:szCs w:val="22"/>
                <w:rtl w:val="0"/>
              </w:rPr>
              <w:t xml:space="preserve"> which cell would be most efficient at transporting materials.  </w:t>
            </w:r>
            <w:r w:rsidDel="00000000" w:rsidR="00000000" w:rsidRPr="00000000">
              <w:rPr>
                <w:b w:val="1"/>
                <w:sz w:val="22"/>
                <w:szCs w:val="22"/>
                <w:rtl w:val="0"/>
              </w:rPr>
              <w:t xml:space="preserve">Justify</w:t>
            </w:r>
            <w:r w:rsidDel="00000000" w:rsidR="00000000" w:rsidRPr="00000000">
              <w:rPr>
                <w:sz w:val="22"/>
                <w:szCs w:val="22"/>
                <w:rtl w:val="0"/>
              </w:rPr>
              <w:t xml:space="preserve"> your prediction.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color w:val="ffffff"/>
                <w:sz w:val="22"/>
                <w:szCs w:val="22"/>
              </w:rPr>
            </w:pPr>
            <w:r w:rsidDel="00000000" w:rsidR="00000000" w:rsidRPr="00000000">
              <w:rPr>
                <w:rtl w:val="0"/>
              </w:rPr>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i w:val="1"/>
                <w:sz w:val="20"/>
                <w:szCs w:val="20"/>
                <w:highlight w:val="white"/>
              </w:rPr>
            </w:pPr>
            <w:r w:rsidDel="00000000" w:rsidR="00000000" w:rsidRPr="00000000">
              <w:rPr>
                <w:i w:val="1"/>
                <w:color w:val="211d1e"/>
                <w:sz w:val="20"/>
                <w:szCs w:val="20"/>
                <w:rtl w:val="0"/>
              </w:rPr>
              <w:t xml:space="preserve">Explain how specialized structures and strategies are used for the efficient exchange of molecules to the environment. (Topic 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numPr>
                <w:ilvl w:val="0"/>
                <w:numId w:val="1"/>
              </w:numPr>
              <w:ind w:left="720" w:hanging="360"/>
              <w:rPr>
                <w:sz w:val="22"/>
                <w:szCs w:val="22"/>
                <w:u w:val="none"/>
              </w:rPr>
            </w:pPr>
            <w:r w:rsidDel="00000000" w:rsidR="00000000" w:rsidRPr="00000000">
              <w:rPr>
                <w:b w:val="1"/>
                <w:sz w:val="22"/>
                <w:szCs w:val="22"/>
                <w:rtl w:val="0"/>
              </w:rPr>
              <w:t xml:space="preserve">Explain</w:t>
            </w:r>
            <w:r w:rsidDel="00000000" w:rsidR="00000000" w:rsidRPr="00000000">
              <w:rPr>
                <w:sz w:val="22"/>
                <w:szCs w:val="22"/>
                <w:rtl w:val="0"/>
              </w:rPr>
              <w:t xml:space="preserve"> the reason why a large surface area to volume ratio is favorable for a cell’s survival.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numPr>
                <w:ilvl w:val="0"/>
                <w:numId w:val="1"/>
              </w:numPr>
              <w:ind w:left="720" w:hanging="360"/>
              <w:rPr>
                <w:sz w:val="22"/>
                <w:szCs w:val="22"/>
                <w:u w:val="none"/>
              </w:rPr>
            </w:pPr>
            <w:r w:rsidDel="00000000" w:rsidR="00000000" w:rsidRPr="00000000">
              <w:rPr>
                <w:b w:val="1"/>
                <w:sz w:val="22"/>
                <w:szCs w:val="22"/>
                <w:rtl w:val="0"/>
              </w:rPr>
              <w:t xml:space="preserve">Explain </w:t>
            </w:r>
            <w:r w:rsidDel="00000000" w:rsidR="00000000" w:rsidRPr="00000000">
              <w:rPr>
                <w:sz w:val="22"/>
                <w:szCs w:val="22"/>
                <w:rtl w:val="0"/>
              </w:rPr>
              <w:t xml:space="preserve">how the following modifications to cell structure could increase efficiency of materials exchange between the cell and its environment:</w:t>
            </w:r>
          </w:p>
          <w:p w:rsidR="00000000" w:rsidDel="00000000" w:rsidP="00000000" w:rsidRDefault="00000000" w:rsidRPr="00000000" w14:paraId="00000040">
            <w:pPr>
              <w:pageBreakBefore w:val="0"/>
              <w:numPr>
                <w:ilvl w:val="1"/>
                <w:numId w:val="3"/>
              </w:numPr>
              <w:ind w:left="1440" w:hanging="360"/>
              <w:rPr>
                <w:sz w:val="22"/>
                <w:szCs w:val="22"/>
              </w:rPr>
            </w:pPr>
            <w:r w:rsidDel="00000000" w:rsidR="00000000" w:rsidRPr="00000000">
              <w:rPr>
                <w:sz w:val="22"/>
                <w:szCs w:val="22"/>
                <w:rtl w:val="0"/>
              </w:rPr>
              <w:t xml:space="preserve">The cell is thin and flat</w:t>
            </w:r>
          </w:p>
          <w:p w:rsidR="00000000" w:rsidDel="00000000" w:rsidP="00000000" w:rsidRDefault="00000000" w:rsidRPr="00000000" w14:paraId="00000041">
            <w:pPr>
              <w:pageBreakBefore w:val="0"/>
              <w:numPr>
                <w:ilvl w:val="1"/>
                <w:numId w:val="3"/>
              </w:numPr>
              <w:ind w:left="1440" w:hanging="360"/>
              <w:rPr>
                <w:sz w:val="22"/>
                <w:szCs w:val="22"/>
              </w:rPr>
            </w:pPr>
            <w:r w:rsidDel="00000000" w:rsidR="00000000" w:rsidRPr="00000000">
              <w:rPr>
                <w:sz w:val="22"/>
                <w:szCs w:val="22"/>
                <w:rtl w:val="0"/>
              </w:rPr>
              <w:t xml:space="preserve">The cell has extensions such as villi on the membrane of intestinal cells</w:t>
            </w:r>
          </w:p>
          <w:p w:rsidR="00000000" w:rsidDel="00000000" w:rsidP="00000000" w:rsidRDefault="00000000" w:rsidRPr="00000000" w14:paraId="00000042">
            <w:pPr>
              <w:pageBreakBefore w:val="0"/>
              <w:numPr>
                <w:ilvl w:val="1"/>
                <w:numId w:val="3"/>
              </w:numPr>
              <w:ind w:left="1440" w:hanging="360"/>
              <w:rPr>
                <w:sz w:val="22"/>
                <w:szCs w:val="22"/>
              </w:rPr>
            </w:pPr>
            <w:r w:rsidDel="00000000" w:rsidR="00000000" w:rsidRPr="00000000">
              <w:rPr>
                <w:sz w:val="22"/>
                <w:szCs w:val="22"/>
                <w:rtl w:val="0"/>
              </w:rPr>
              <w:t xml:space="preserve">The cell uses vesicles to move materials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ind w:left="720" w:hanging="360"/>
              <w:rPr>
                <w:sz w:val="22"/>
                <w:szCs w:val="22"/>
              </w:rPr>
            </w:pPr>
            <w:r w:rsidDel="00000000" w:rsidR="00000000" w:rsidRPr="00000000">
              <w:rPr>
                <w:sz w:val="22"/>
                <w:szCs w:val="22"/>
                <w:rtl w:val="0"/>
              </w:rPr>
              <w:t xml:space="preserve">5.</w:t>
            </w:r>
            <w:r w:rsidDel="00000000" w:rsidR="00000000" w:rsidRPr="00000000">
              <w:rPr>
                <w:b w:val="1"/>
                <w:sz w:val="22"/>
                <w:szCs w:val="22"/>
                <w:rtl w:val="0"/>
              </w:rPr>
              <w:t xml:space="preserve"> Describe </w:t>
            </w:r>
            <w:r w:rsidDel="00000000" w:rsidR="00000000" w:rsidRPr="00000000">
              <w:rPr>
                <w:sz w:val="22"/>
                <w:szCs w:val="22"/>
                <w:rtl w:val="0"/>
              </w:rPr>
              <w:t xml:space="preserve">specialized structures and strategies by organisms to maximize efficiency in:</w:t>
            </w:r>
          </w:p>
          <w:p w:rsidR="00000000" w:rsidDel="00000000" w:rsidP="00000000" w:rsidRDefault="00000000" w:rsidRPr="00000000" w14:paraId="00000048">
            <w:pPr>
              <w:pageBreakBefore w:val="0"/>
              <w:numPr>
                <w:ilvl w:val="0"/>
                <w:numId w:val="2"/>
              </w:numPr>
              <w:ind w:left="1080" w:hanging="360"/>
              <w:rPr>
                <w:sz w:val="22"/>
                <w:szCs w:val="22"/>
                <w:u w:val="none"/>
              </w:rPr>
            </w:pPr>
            <w:r w:rsidDel="00000000" w:rsidR="00000000" w:rsidRPr="00000000">
              <w:rPr>
                <w:sz w:val="22"/>
                <w:szCs w:val="22"/>
                <w:rtl w:val="0"/>
              </w:rPr>
              <w:t xml:space="preserve">Heat exchange</w:t>
            </w:r>
          </w:p>
          <w:p w:rsidR="00000000" w:rsidDel="00000000" w:rsidP="00000000" w:rsidRDefault="00000000" w:rsidRPr="00000000" w14:paraId="00000049">
            <w:pPr>
              <w:pageBreakBefore w:val="0"/>
              <w:numPr>
                <w:ilvl w:val="0"/>
                <w:numId w:val="2"/>
              </w:numPr>
              <w:ind w:left="1080" w:hanging="360"/>
              <w:rPr>
                <w:sz w:val="22"/>
                <w:szCs w:val="22"/>
                <w:u w:val="none"/>
              </w:rPr>
            </w:pPr>
            <w:r w:rsidDel="00000000" w:rsidR="00000000" w:rsidRPr="00000000">
              <w:rPr>
                <w:sz w:val="22"/>
                <w:szCs w:val="22"/>
                <w:rtl w:val="0"/>
              </w:rPr>
              <w:t xml:space="preserve">Obtain nutrients</w:t>
            </w:r>
          </w:p>
          <w:p w:rsidR="00000000" w:rsidDel="00000000" w:rsidP="00000000" w:rsidRDefault="00000000" w:rsidRPr="00000000" w14:paraId="0000004A">
            <w:pPr>
              <w:pageBreakBefore w:val="0"/>
              <w:numPr>
                <w:ilvl w:val="0"/>
                <w:numId w:val="2"/>
              </w:numPr>
              <w:ind w:left="1080" w:hanging="360"/>
              <w:rPr>
                <w:sz w:val="22"/>
                <w:szCs w:val="22"/>
                <w:u w:val="none"/>
              </w:rPr>
            </w:pPr>
            <w:r w:rsidDel="00000000" w:rsidR="00000000" w:rsidRPr="00000000">
              <w:rPr>
                <w:sz w:val="22"/>
                <w:szCs w:val="22"/>
                <w:rtl w:val="0"/>
              </w:rPr>
              <w:t xml:space="preserve">Eliminate waste</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sz w:val="22"/>
          <w:szCs w:val="22"/>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2"/>
        <w:tblW w:w="10152.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structure and function, use the links below:  </w:t>
            </w:r>
          </w:p>
          <w:p w:rsidR="00000000" w:rsidDel="00000000" w:rsidP="00000000" w:rsidRDefault="00000000" w:rsidRPr="00000000" w14:paraId="0000004E">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1">
              <w:r w:rsidDel="00000000" w:rsidR="00000000" w:rsidRPr="00000000">
                <w:rPr>
                  <w:b w:val="0"/>
                  <w:color w:val="0000ff"/>
                  <w:sz w:val="22"/>
                  <w:szCs w:val="22"/>
                  <w:u w:val="single"/>
                  <w:rtl w:val="0"/>
                </w:rPr>
                <w:t xml:space="preserve">CellCraft</w:t>
              </w:r>
            </w:hyperlink>
            <w:r w:rsidDel="00000000" w:rsidR="00000000" w:rsidRPr="00000000">
              <w:rPr>
                <w:b w:val="0"/>
                <w:color w:val="000000"/>
                <w:sz w:val="22"/>
                <w:szCs w:val="22"/>
                <w:u w:val="none"/>
                <w:rtl w:val="0"/>
              </w:rPr>
              <w:t xml:space="preserve">:  a game that lets you build a cell from scratch and then attempt to keep it alive</w:t>
            </w:r>
          </w:p>
          <w:p w:rsidR="00000000" w:rsidDel="00000000" w:rsidP="00000000" w:rsidRDefault="00000000" w:rsidRPr="00000000" w14:paraId="0000004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2">
              <w:r w:rsidDel="00000000" w:rsidR="00000000" w:rsidRPr="00000000">
                <w:rPr>
                  <w:b w:val="0"/>
                  <w:color w:val="0000ff"/>
                  <w:sz w:val="22"/>
                  <w:szCs w:val="22"/>
                  <w:u w:val="single"/>
                  <w:rtl w:val="0"/>
                </w:rPr>
                <w:t xml:space="preserve">Unlocking the Secrets of our Cells</w:t>
              </w:r>
            </w:hyperlink>
            <w:r w:rsidDel="00000000" w:rsidR="00000000" w:rsidRPr="00000000">
              <w:rPr>
                <w:b w:val="0"/>
                <w:color w:val="000000"/>
                <w:sz w:val="22"/>
                <w:szCs w:val="22"/>
                <w:u w:val="none"/>
                <w:rtl w:val="0"/>
              </w:rPr>
              <w:t xml:space="preserve">:  a documentary from the Nobel Prize Foundation about discoveries relating to the structure and function of our cells</w:t>
            </w:r>
          </w:p>
          <w:p w:rsidR="00000000" w:rsidDel="00000000" w:rsidP="00000000" w:rsidRDefault="00000000" w:rsidRPr="00000000" w14:paraId="0000005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3">
              <w:r w:rsidDel="00000000" w:rsidR="00000000" w:rsidRPr="00000000">
                <w:rPr>
                  <w:b w:val="0"/>
                  <w:color w:val="0000ff"/>
                  <w:sz w:val="22"/>
                  <w:szCs w:val="22"/>
                  <w:u w:val="single"/>
                  <w:rtl w:val="0"/>
                </w:rPr>
                <w:t xml:space="preserve">The Cell and Its Organelles</w:t>
              </w:r>
            </w:hyperlink>
            <w:r w:rsidDel="00000000" w:rsidR="00000000" w:rsidRPr="00000000">
              <w:rPr>
                <w:b w:val="0"/>
                <w:color w:val="000000"/>
                <w:sz w:val="22"/>
                <w:szCs w:val="22"/>
                <w:u w:val="none"/>
                <w:rtl w:val="0"/>
              </w:rPr>
              <w:t xml:space="preserve">:  a game from the Nobel Prize Foundation that tests your knowledge of cell organelles</w:t>
            </w:r>
          </w:p>
          <w:p w:rsidR="00000000" w:rsidDel="00000000" w:rsidP="00000000" w:rsidRDefault="00000000" w:rsidRPr="00000000" w14:paraId="0000005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14">
              <w:r w:rsidDel="00000000" w:rsidR="00000000" w:rsidRPr="00000000">
                <w:rPr>
                  <w:color w:val="1155cc"/>
                  <w:sz w:val="22"/>
                  <w:szCs w:val="22"/>
                  <w:u w:val="single"/>
                  <w:rtl w:val="0"/>
                </w:rPr>
                <w:t xml:space="preserve">“A Tour of the Cell” video </w:t>
              </w:r>
            </w:hyperlink>
            <w:r w:rsidDel="00000000" w:rsidR="00000000" w:rsidRPr="00000000">
              <w:rPr>
                <w:rtl w:val="0"/>
              </w:rPr>
            </w:r>
          </w:p>
          <w:p w:rsidR="00000000" w:rsidDel="00000000" w:rsidP="00000000" w:rsidRDefault="00000000" w:rsidRPr="00000000" w14:paraId="0000005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5">
              <w:r w:rsidDel="00000000" w:rsidR="00000000" w:rsidRPr="00000000">
                <w:rPr>
                  <w:b w:val="0"/>
                  <w:color w:val="0000ff"/>
                  <w:sz w:val="22"/>
                  <w:szCs w:val="22"/>
                  <w:u w:val="single"/>
                  <w:rtl w:val="0"/>
                </w:rPr>
                <w:t xml:space="preserve">1974 Nobel Prize in Physiology and Medicine</w:t>
              </w:r>
            </w:hyperlink>
            <w:r w:rsidDel="00000000" w:rsidR="00000000" w:rsidRPr="00000000">
              <w:rPr>
                <w:b w:val="0"/>
                <w:color w:val="000000"/>
                <w:sz w:val="22"/>
                <w:szCs w:val="22"/>
                <w:u w:val="none"/>
                <w:rtl w:val="0"/>
              </w:rPr>
              <w:t xml:space="preserve">:  awarded for “discoveries concerning the structural and functional organization of the cell.”</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ind w:left="720" w:firstLine="0"/>
              <w:rPr>
                <w:b w:val="0"/>
                <w:sz w:val="22"/>
                <w:szCs w:val="22"/>
              </w:rPr>
            </w:pP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footerReference r:id="rId1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sz w:val="16"/>
        <w:szCs w:val="16"/>
      </w:rPr>
    </w:pPr>
    <w:r w:rsidDel="00000000" w:rsidR="00000000" w:rsidRPr="00000000">
      <w:rPr>
        <w:sz w:val="16"/>
        <w:szCs w:val="16"/>
        <w:rtl w:val="0"/>
      </w:rPr>
      <w:t xml:space="preserve">Topic Review Guide:  Compartmentalization 2019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08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pPr>
    <w:rPr>
      <w:rFonts w:ascii="Helvetica Neue" w:cs="Helvetica Neue" w:eastAsia="Helvetica Neue" w:hAnsi="Helvetica Neue"/>
      <w:b w:val="1"/>
      <w:color w:val="345a8a"/>
      <w:sz w:val="32"/>
      <w:szCs w:val="32"/>
    </w:rPr>
  </w:style>
  <w:style w:type="paragraph" w:styleId="Heading2">
    <w:name w:val="heading 2"/>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6"/>
      <w:szCs w:val="26"/>
    </w:rPr>
  </w:style>
  <w:style w:type="paragraph" w:styleId="Heading3">
    <w:name w:val="heading 3"/>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Helvetica Neue" w:cs="Helvetica Neue" w:eastAsia="Helvetica Neue" w:hAnsi="Helvetica Neue"/>
      <w:b w:val="0"/>
      <w:color w:val="17365d"/>
      <w:sz w:val="52"/>
      <w:szCs w:val="52"/>
    </w:rPr>
  </w:style>
  <w:style w:type="paragraph" w:styleId="Subtitle">
    <w:name w:val="Subtitle"/>
    <w:basedOn w:val="Normal"/>
    <w:next w:val="Normal"/>
    <w:pPr>
      <w:keepNext w:val="1"/>
      <w:keepLines w:val="1"/>
      <w:pageBreakBefore w:val="0"/>
      <w:spacing w:after="0" w:before="0" w:line="240" w:lineRule="auto"/>
    </w:pPr>
    <w:rPr>
      <w:rFonts w:ascii="Helvetica Neue" w:cs="Helvetica Neue" w:eastAsia="Helvetica Neue" w:hAnsi="Helvetica Neue"/>
      <w:b w:val="0"/>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arolina.com/teacher-resources/Interactive/online-game-cell-structure-cellcraft-biology/tr11062.tr" TargetMode="External"/><Relationship Id="rId10" Type="http://schemas.openxmlformats.org/officeDocument/2006/relationships/hyperlink" Target="https://docs.google.com/document/d/1Gd78V2s0b4VcOOBMhT8KfkzVey-uib-nLy7K7fsM_Oc/edit?usp=sharing" TargetMode="External"/><Relationship Id="rId13" Type="http://schemas.openxmlformats.org/officeDocument/2006/relationships/hyperlink" Target="http://www.nobelprize.org/educational/medicine/cell/game/" TargetMode="External"/><Relationship Id="rId12" Type="http://schemas.openxmlformats.org/officeDocument/2006/relationships/hyperlink" Target="http://www.nobelprize.org/mediaplayer/index.php?id=17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g64rfydkQCtj6SL1Ergcu4-jNFPtL5VmT-KAV5Ssys/edit?usp=sharing" TargetMode="External"/><Relationship Id="rId15" Type="http://schemas.openxmlformats.org/officeDocument/2006/relationships/hyperlink" Target="http://www.nobelprize.org/nobel_prizes/medicine/laureates/1974/" TargetMode="External"/><Relationship Id="rId14" Type="http://schemas.openxmlformats.org/officeDocument/2006/relationships/hyperlink" Target="http://www.bozemanscience.com/a-tour-of-the-cel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classroom.collegeboard.org/d/xvhuvodhtf?sui=6,2" TargetMode="External"/><Relationship Id="rId7" Type="http://schemas.openxmlformats.org/officeDocument/2006/relationships/hyperlink" Target="https://apclassroom.collegeboard.org/d/6i8vabtaid?sui=6,2" TargetMode="External"/><Relationship Id="rId8" Type="http://schemas.openxmlformats.org/officeDocument/2006/relationships/hyperlink" Target="https://apclassroom.collegeboard.org/d/c3q1fxqsgd?sui=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