
<file path=[Content_Types].xml><?xml version="1.0" encoding="utf-8"?>
<Types xmlns="http://schemas.openxmlformats.org/package/2006/content-types">
  <Default Extension="rels" ContentType="application/vnd.openxmlformats-package.relationships+xml"/>
  <Default Extension="xml" ContentType="application/xml"/>
  <Default Extension="ttf" ContentType="application/x-font-ttf"/>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word/theme/theme1.xml" ContentType="application/vnd.openxmlformats-officedocument.theme+xml"/>
  <Override PartName="/customXml/itemProps1.xml" ContentType="application/vnd.openxmlformats-officedocument.customXmlProperties+xml"/>
  <Override PartName="/customXml/itemProps2.xml" ContentType="application/vnd.openxmlformats-officedocument.customXml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line="240" w:lineRule="auto"/>
        <w:ind w:left="720" w:firstLine="0"/>
        <w:jc w:val="center"/>
        <w:rPr>
          <w:rFonts w:ascii="Helvetica Neue" w:cs="Helvetica Neue" w:eastAsia="Helvetica Neue" w:hAnsi="Helvetica Neue"/>
          <w:sz w:val="36"/>
          <w:szCs w:val="36"/>
        </w:rPr>
      </w:pPr>
      <w:r w:rsidDel="00000000" w:rsidR="00000000" w:rsidRPr="00000000">
        <w:rPr>
          <w:rFonts w:ascii="Helvetica Neue" w:cs="Helvetica Neue" w:eastAsia="Helvetica Neue" w:hAnsi="Helvetica Neue"/>
          <w:b w:val="1"/>
          <w:sz w:val="36"/>
          <w:szCs w:val="36"/>
          <w:rtl w:val="0"/>
        </w:rPr>
        <w:t xml:space="preserve">Topic Review Guide</w:t>
      </w:r>
      <w:r w:rsidDel="00000000" w:rsidR="00000000" w:rsidRPr="00000000">
        <w:rPr>
          <w:rFonts w:ascii="Helvetica Neue" w:cs="Helvetica Neue" w:eastAsia="Helvetica Neue" w:hAnsi="Helvetica Neue"/>
          <w:sz w:val="36"/>
          <w:szCs w:val="36"/>
          <w:rtl w:val="0"/>
        </w:rPr>
        <w:t xml:space="preserve">:  Cellular Energy (Topic 3.4)</w:t>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sz w:val="24"/>
          <w:szCs w:val="24"/>
        </w:rPr>
      </w:pPr>
      <w:r w:rsidDel="00000000" w:rsidR="00000000" w:rsidRPr="00000000">
        <w:rPr>
          <w:rtl w:val="0"/>
        </w:rPr>
      </w:r>
    </w:p>
    <w:p w:rsidR="00000000" w:rsidDel="00000000" w:rsidP="00000000" w:rsidRDefault="00000000" w:rsidRPr="00000000" w14:paraId="00000003">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To Think About</w:t>
      </w:r>
      <w:r w:rsidDel="00000000" w:rsidR="00000000" w:rsidRPr="00000000">
        <w:rPr>
          <w:rFonts w:ascii="Helvetica Neue" w:cs="Helvetica Neue" w:eastAsia="Helvetica Neue" w:hAnsi="Helvetica Neue"/>
          <w:rtl w:val="0"/>
        </w:rPr>
        <w:t xml:space="preserve">:  </w:t>
      </w:r>
      <w:r w:rsidDel="00000000" w:rsidR="00000000" w:rsidRPr="00000000">
        <w:rPr>
          <w:rFonts w:ascii="Helvetica Neue" w:cs="Helvetica Neue" w:eastAsia="Helvetica Neue" w:hAnsi="Helvetica Neue"/>
          <w:rtl w:val="0"/>
        </w:rPr>
        <w:t xml:space="preserve">The highly complex organization of living systems requires a constant input of energy and the exchange of macromolecules.</w:t>
      </w:r>
    </w:p>
    <w:p w:rsidR="00000000" w:rsidDel="00000000" w:rsidP="00000000" w:rsidRDefault="00000000" w:rsidRPr="00000000" w14:paraId="00000004">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5">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Watch:  </w:t>
      </w:r>
      <w:hyperlink r:id="rId6">
        <w:r w:rsidDel="00000000" w:rsidR="00000000" w:rsidRPr="00000000">
          <w:rPr>
            <w:rFonts w:ascii="Helvetica Neue" w:cs="Helvetica Neue" w:eastAsia="Helvetica Neue" w:hAnsi="Helvetica Neue"/>
            <w:color w:val="1155cc"/>
            <w:u w:val="single"/>
            <w:rtl w:val="0"/>
          </w:rPr>
          <w:t xml:space="preserve">AP Daily Video 3.4</w:t>
        </w:r>
      </w:hyperlink>
      <w:r w:rsidDel="00000000" w:rsidR="00000000" w:rsidRPr="00000000">
        <w:rPr>
          <w:rtl w:val="0"/>
        </w:rPr>
      </w:r>
    </w:p>
    <w:p w:rsidR="00000000" w:rsidDel="00000000" w:rsidP="00000000" w:rsidRDefault="00000000" w:rsidRPr="00000000" w14:paraId="00000006">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Read:</w:t>
      </w:r>
      <w:r w:rsidDel="00000000" w:rsidR="00000000" w:rsidRPr="00000000">
        <w:rPr>
          <w:rFonts w:ascii="Helvetica Neue" w:cs="Helvetica Neue" w:eastAsia="Helvetica Neue" w:hAnsi="Helvetica Neue"/>
          <w:rtl w:val="0"/>
        </w:rPr>
        <w:t xml:space="preserve">  Chapter 6.1-6.3, pages 116-124, Biology in Focus</w:t>
      </w:r>
      <w:r w:rsidDel="00000000" w:rsidR="00000000" w:rsidRPr="00000000">
        <w:rPr>
          <w:rFonts w:ascii="Helvetica Neue" w:cs="Helvetica Neue" w:eastAsia="Helvetica Neue" w:hAnsi="Helvetica Neue"/>
          <w:rtl w:val="0"/>
        </w:rPr>
        <w:t xml:space="preserve"> </w:t>
      </w:r>
      <w:r w:rsidDel="00000000" w:rsidR="00000000" w:rsidRPr="00000000">
        <w:rPr>
          <w:rtl w:val="0"/>
        </w:rPr>
      </w:r>
    </w:p>
    <w:p w:rsidR="00000000" w:rsidDel="00000000" w:rsidP="00000000" w:rsidRDefault="00000000" w:rsidRPr="00000000" w14:paraId="00000007">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8">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Supplementary Resources</w:t>
      </w:r>
      <w:r w:rsidDel="00000000" w:rsidR="00000000" w:rsidRPr="00000000">
        <w:rPr>
          <w:rFonts w:ascii="Helvetica Neue" w:cs="Helvetica Neue" w:eastAsia="Helvetica Neue" w:hAnsi="Helvetica Neue"/>
          <w:rtl w:val="0"/>
        </w:rPr>
        <w:t xml:space="preserve">:  Click the links below for more information to help you learn more about this lesson.</w:t>
      </w:r>
    </w:p>
    <w:p w:rsidR="00000000" w:rsidDel="00000000" w:rsidP="00000000" w:rsidRDefault="00000000" w:rsidRPr="00000000" w14:paraId="00000009">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u w:val="none"/>
        </w:rPr>
      </w:pPr>
      <w:hyperlink r:id="rId7">
        <w:r w:rsidDel="00000000" w:rsidR="00000000" w:rsidRPr="00000000">
          <w:rPr>
            <w:rFonts w:ascii="Helvetica Neue" w:cs="Helvetica Neue" w:eastAsia="Helvetica Neue" w:hAnsi="Helvetica Neue"/>
            <w:color w:val="1155cc"/>
            <w:u w:val="single"/>
            <w:rtl w:val="0"/>
          </w:rPr>
          <w:t xml:space="preserve">Guided Notes </w:t>
        </w:r>
      </w:hyperlink>
      <w:r w:rsidDel="00000000" w:rsidR="00000000" w:rsidRPr="00000000">
        <w:rPr>
          <w:rtl w:val="0"/>
        </w:rPr>
      </w:r>
    </w:p>
    <w:p w:rsidR="00000000" w:rsidDel="00000000" w:rsidP="00000000" w:rsidRDefault="00000000" w:rsidRPr="00000000" w14:paraId="0000000A">
      <w:pPr>
        <w:numPr>
          <w:ilvl w:val="0"/>
          <w:numId w:val="2"/>
        </w:numPr>
        <w:spacing w:line="240" w:lineRule="auto"/>
        <w:ind w:left="720" w:hanging="360"/>
        <w:rPr>
          <w:rFonts w:ascii="Helvetica Neue" w:cs="Helvetica Neue" w:eastAsia="Helvetica Neue" w:hAnsi="Helvetica Neue"/>
        </w:rPr>
      </w:pPr>
      <w:hyperlink r:id="rId8">
        <w:r w:rsidDel="00000000" w:rsidR="00000000" w:rsidRPr="00000000">
          <w:rPr>
            <w:rFonts w:ascii="Helvetica Neue" w:cs="Helvetica Neue" w:eastAsia="Helvetica Neue" w:hAnsi="Helvetica Neue"/>
            <w:color w:val="0000ff"/>
            <w:u w:val="single"/>
            <w:rtl w:val="0"/>
          </w:rPr>
          <w:t xml:space="preserve">Mr. Andersen’s “Life Requires Free Energy” video</w:t>
        </w:r>
      </w:hyperlink>
      <w:r w:rsidDel="00000000" w:rsidR="00000000" w:rsidRPr="00000000">
        <w:rPr>
          <w:rFonts w:ascii="Helvetica Neue" w:cs="Helvetica Neue" w:eastAsia="Helvetica Neue" w:hAnsi="Helvetica Neue"/>
          <w:b w:val="1"/>
          <w:rtl w:val="0"/>
        </w:rPr>
        <w:t xml:space="preserve"> </w:t>
      </w:r>
      <w:r w:rsidDel="00000000" w:rsidR="00000000" w:rsidRPr="00000000">
        <w:rPr>
          <w:rtl w:val="0"/>
        </w:rPr>
      </w:r>
    </w:p>
    <w:p w:rsidR="00000000" w:rsidDel="00000000" w:rsidP="00000000" w:rsidRDefault="00000000" w:rsidRPr="00000000" w14:paraId="0000000B">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Hillis, et al.:  </w:t>
      </w:r>
      <w:hyperlink r:id="rId9">
        <w:r w:rsidDel="00000000" w:rsidR="00000000" w:rsidRPr="00000000">
          <w:rPr>
            <w:rFonts w:ascii="Helvetica Neue" w:cs="Helvetica Neue" w:eastAsia="Helvetica Neue" w:hAnsi="Helvetica Neue"/>
            <w:color w:val="1155cc"/>
            <w:u w:val="single"/>
            <w:rtl w:val="0"/>
          </w:rPr>
          <w:t xml:space="preserve">ATP and Coupled Reactions</w:t>
        </w:r>
      </w:hyperlink>
      <w:r w:rsidDel="00000000" w:rsidR="00000000" w:rsidRPr="00000000">
        <w:rPr>
          <w:rtl w:val="0"/>
        </w:rPr>
      </w:r>
    </w:p>
    <w:p w:rsidR="00000000" w:rsidDel="00000000" w:rsidP="00000000" w:rsidRDefault="00000000" w:rsidRPr="00000000" w14:paraId="0000000C">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Wiley Publishing:  </w:t>
      </w:r>
      <w:hyperlink r:id="rId10">
        <w:r w:rsidDel="00000000" w:rsidR="00000000" w:rsidRPr="00000000">
          <w:rPr>
            <w:rFonts w:ascii="Helvetica Neue" w:cs="Helvetica Neue" w:eastAsia="Helvetica Neue" w:hAnsi="Helvetica Neue"/>
            <w:color w:val="1155cc"/>
            <w:u w:val="single"/>
            <w:rtl w:val="0"/>
          </w:rPr>
          <w:t xml:space="preserve">Interactive Concepts in Biochemistry-Catalysis</w:t>
        </w:r>
      </w:hyperlink>
      <w:r w:rsidDel="00000000" w:rsidR="00000000" w:rsidRPr="00000000">
        <w:rPr>
          <w:rFonts w:ascii="Helvetica Neue" w:cs="Helvetica Neue" w:eastAsia="Helvetica Neue" w:hAnsi="Helvetica Neue"/>
          <w:rtl w:val="0"/>
        </w:rPr>
        <w:t xml:space="preserve">  </w:t>
      </w:r>
    </w:p>
    <w:p w:rsidR="00000000" w:rsidDel="00000000" w:rsidP="00000000" w:rsidRDefault="00000000" w:rsidRPr="00000000" w14:paraId="0000000D">
      <w:pPr>
        <w:pageBreakBefore w:val="0"/>
        <w:numPr>
          <w:ilvl w:val="0"/>
          <w:numId w:val="2"/>
        </w:numPr>
        <w:pBdr>
          <w:top w:space="0" w:sz="0" w:val="nil"/>
          <w:left w:space="0" w:sz="0" w:val="nil"/>
          <w:bottom w:space="0" w:sz="0" w:val="nil"/>
          <w:right w:space="0" w:sz="0" w:val="nil"/>
          <w:between w:space="0" w:sz="0" w:val="nil"/>
        </w:pBdr>
        <w:shd w:fill="auto" w:val="clea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Sumanas, Inc: </w:t>
      </w:r>
      <w:hyperlink r:id="rId11">
        <w:r w:rsidDel="00000000" w:rsidR="00000000" w:rsidRPr="00000000">
          <w:rPr>
            <w:rFonts w:ascii="Helvetica Neue" w:cs="Helvetica Neue" w:eastAsia="Helvetica Neue" w:hAnsi="Helvetica Neue"/>
            <w:color w:val="1155cc"/>
            <w:u w:val="single"/>
            <w:rtl w:val="0"/>
          </w:rPr>
          <w:t xml:space="preserve"> Activation Energy and Enzymes</w:t>
        </w:r>
      </w:hyperlink>
      <w:r w:rsidDel="00000000" w:rsidR="00000000" w:rsidRPr="00000000">
        <w:rPr>
          <w:rtl w:val="0"/>
        </w:rPr>
      </w:r>
    </w:p>
    <w:p w:rsidR="00000000" w:rsidDel="00000000" w:rsidP="00000000" w:rsidRDefault="00000000" w:rsidRPr="00000000" w14:paraId="0000000E">
      <w:pPr>
        <w:pageBreakBefore w:val="0"/>
        <w:pBdr>
          <w:top w:space="0" w:sz="0" w:val="nil"/>
          <w:left w:space="0" w:sz="0" w:val="nil"/>
          <w:bottom w:space="0" w:sz="0" w:val="nil"/>
          <w:right w:space="0" w:sz="0" w:val="nil"/>
          <w:between w:space="0" w:sz="0" w:val="nil"/>
        </w:pBdr>
        <w:shd w:fill="auto" w:val="clear"/>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0F">
      <w:pPr>
        <w:pageBreakBefore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Recall and Review:</w:t>
      </w:r>
      <w:r w:rsidDel="00000000" w:rsidR="00000000" w:rsidRPr="00000000">
        <w:rPr>
          <w:rFonts w:ascii="Helvetica Neue" w:cs="Helvetica Neue" w:eastAsia="Helvetica Neue" w:hAnsi="Helvetica Neue"/>
          <w:rtl w:val="0"/>
        </w:rPr>
        <w:t xml:space="preserve">  Use the lecture in the video and your textbook to help you answer these questions in your BILL.  Before you start, mark your level of understanding.  After you have completed the questions, then check to see what level of understanding you have achieved.  If you’re still at a level N or level A after in-class activities and before quizzes, it is </w:t>
      </w:r>
      <w:r w:rsidDel="00000000" w:rsidR="00000000" w:rsidRPr="00000000">
        <w:rPr>
          <w:rFonts w:ascii="Helvetica Neue" w:cs="Helvetica Neue" w:eastAsia="Helvetica Neue" w:hAnsi="Helvetica Neue"/>
          <w:b w:val="1"/>
          <w:rtl w:val="0"/>
        </w:rPr>
        <w:t xml:space="preserve">highly</w:t>
      </w:r>
      <w:r w:rsidDel="00000000" w:rsidR="00000000" w:rsidRPr="00000000">
        <w:rPr>
          <w:rFonts w:ascii="Helvetica Neue" w:cs="Helvetica Neue" w:eastAsia="Helvetica Neue" w:hAnsi="Helvetica Neue"/>
          <w:rtl w:val="0"/>
        </w:rPr>
        <w:t xml:space="preserve"> recommended that you stop in for office hours.</w:t>
      </w:r>
    </w:p>
    <w:tbl>
      <w:tblPr>
        <w:tblStyle w:val="Table1"/>
        <w:tblW w:w="1080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55"/>
        <w:gridCol w:w="554.4"/>
        <w:gridCol w:w="554.4"/>
        <w:gridCol w:w="554.4"/>
        <w:gridCol w:w="8581.8"/>
        <w:tblGridChange w:id="0">
          <w:tblGrid>
            <w:gridCol w:w="555"/>
            <w:gridCol w:w="554.4"/>
            <w:gridCol w:w="554.4"/>
            <w:gridCol w:w="554.4"/>
            <w:gridCol w:w="8581.8"/>
          </w:tblGrid>
        </w:tblGridChange>
      </w:tblGrid>
      <w:tr>
        <w:trPr>
          <w:cantSplit w:val="0"/>
          <w:trHeight w:val="420" w:hRule="atLeast"/>
          <w:tblHeader w:val="0"/>
        </w:trPr>
        <w:tc>
          <w:tcPr>
            <w:gridSpan w:val="5"/>
            <w:shd w:fill="000000" w:val="clear"/>
            <w:tcMar>
              <w:top w:w="100.0" w:type="dxa"/>
              <w:left w:w="100.0" w:type="dxa"/>
              <w:bottom w:w="100.0" w:type="dxa"/>
              <w:right w:w="100.0" w:type="dxa"/>
            </w:tcMar>
            <w:vAlign w:val="top"/>
          </w:tcPr>
          <w:p w:rsidR="00000000" w:rsidDel="00000000" w:rsidP="00000000" w:rsidRDefault="00000000" w:rsidRPr="00000000" w14:paraId="00000010">
            <w:pPr>
              <w:pageBreakBefore w:val="0"/>
              <w:widowControl w:val="0"/>
              <w:spacing w:line="240" w:lineRule="auto"/>
              <w:rPr>
                <w:rFonts w:ascii="Helvetica Neue" w:cs="Helvetica Neue" w:eastAsia="Helvetica Neue" w:hAnsi="Helvetica Neue"/>
                <w:color w:val="ffffff"/>
              </w:rPr>
            </w:pPr>
            <w:r w:rsidDel="00000000" w:rsidR="00000000" w:rsidRPr="00000000">
              <w:rPr>
                <w:rFonts w:ascii="Helvetica Neue" w:cs="Helvetica Neue" w:eastAsia="Helvetica Neue" w:hAnsi="Helvetica Neue"/>
                <w:b w:val="1"/>
                <w:color w:val="ffffff"/>
                <w:rtl w:val="0"/>
              </w:rPr>
              <w:t xml:space="preserve">Essential Knowledge: </w:t>
            </w:r>
            <w:r w:rsidDel="00000000" w:rsidR="00000000" w:rsidRPr="00000000">
              <w:rPr>
                <w:rFonts w:ascii="Helvetica Neue" w:cs="Helvetica Neue" w:eastAsia="Helvetica Neue" w:hAnsi="Helvetica Neue"/>
                <w:color w:val="ffffff"/>
                <w:rtl w:val="0"/>
              </w:rPr>
              <w:t xml:space="preserve"> What You Absolutely Must Know and Understand </w:t>
            </w:r>
          </w:p>
        </w:tc>
      </w:tr>
      <w:tr>
        <w:trPr>
          <w:cantSplit w:val="0"/>
          <w:trHeight w:val="420" w:hRule="atLeast"/>
          <w:tblHeader w:val="0"/>
        </w:trPr>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5">
            <w:pPr>
              <w:pageBreakBefore w:val="0"/>
              <w:widowControl w:val="0"/>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Levels of Mastery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pageBreakBefore w:val="0"/>
              <w:widowControl w:val="0"/>
              <w:spacing w:line="240" w:lineRule="auto"/>
              <w:rPr>
                <w:rFonts w:ascii="Helvetica Neue" w:cs="Helvetica Neue" w:eastAsia="Helvetica Neue" w:hAnsi="Helvetica Neue"/>
                <w:i w:val="1"/>
                <w:sz w:val="20"/>
                <w:szCs w:val="20"/>
                <w:highlight w:val="white"/>
              </w:rPr>
            </w:pPr>
            <w:r w:rsidDel="00000000" w:rsidR="00000000" w:rsidRPr="00000000">
              <w:rPr>
                <w:rFonts w:ascii="Helvetica Neue" w:cs="Helvetica Neue" w:eastAsia="Helvetica Neue" w:hAnsi="Helvetica Neue"/>
                <w:i w:val="1"/>
                <w:sz w:val="20"/>
                <w:szCs w:val="20"/>
                <w:highlight w:val="white"/>
                <w:rtl w:val="0"/>
              </w:rPr>
              <w:t xml:space="preserve">I can describe the role of energy in living systems.  (Topic 3.4)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A">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pageBreakBefore w:val="0"/>
              <w:widowControl w:val="0"/>
              <w:spacing w:line="240" w:lineRule="auto"/>
              <w:jc w:val="center"/>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M</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pageBreakBefore w:val="0"/>
              <w:widowControl w:val="0"/>
              <w:spacing w:line="240" w:lineRule="auto"/>
              <w:rPr>
                <w:rFonts w:ascii="Helvetica Neue" w:cs="Helvetica Neue" w:eastAsia="Helvetica Neue" w:hAnsi="Helvetica Neue"/>
                <w:b w:val="1"/>
              </w:rPr>
            </w:pPr>
            <w:r w:rsidDel="00000000" w:rsidR="00000000" w:rsidRPr="00000000">
              <w:rPr>
                <w:rFonts w:ascii="Helvetica Neue" w:cs="Helvetica Neue" w:eastAsia="Helvetica Neue" w:hAnsi="Helvetica Neue"/>
                <w:b w:val="1"/>
                <w:rtl w:val="0"/>
              </w:rPr>
              <w:t xml:space="preserve">Questions You Should Be Able to Answer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pageBreakBefore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Identify </w:t>
            </w:r>
            <w:r w:rsidDel="00000000" w:rsidR="00000000" w:rsidRPr="00000000">
              <w:rPr>
                <w:rFonts w:ascii="Helvetica Neue" w:cs="Helvetica Neue" w:eastAsia="Helvetica Neue" w:hAnsi="Helvetica Neue"/>
                <w:rtl w:val="0"/>
              </w:rPr>
              <w:t xml:space="preserve">the ultimate source of energy for the Earth.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pageBreakBefore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Explain </w:t>
            </w:r>
            <w:r w:rsidDel="00000000" w:rsidR="00000000" w:rsidRPr="00000000">
              <w:rPr>
                <w:rFonts w:ascii="Helvetica Neue" w:cs="Helvetica Neue" w:eastAsia="Helvetica Neue" w:hAnsi="Helvetica Neue"/>
                <w:rtl w:val="0"/>
              </w:rPr>
              <w:t xml:space="preserve">why living things require a constant input of energy.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pageBreakBefore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The Second Law of Thermodynamics states that the entropy of the universe is increasing.  </w:t>
            </w:r>
            <w:r w:rsidDel="00000000" w:rsidR="00000000" w:rsidRPr="00000000">
              <w:rPr>
                <w:rFonts w:ascii="Helvetica Neue" w:cs="Helvetica Neue" w:eastAsia="Helvetica Neue" w:hAnsi="Helvetica Neue"/>
                <w:b w:val="1"/>
                <w:rtl w:val="0"/>
              </w:rPr>
              <w:t xml:space="preserve">Explain </w:t>
            </w:r>
            <w:r w:rsidDel="00000000" w:rsidR="00000000" w:rsidRPr="00000000">
              <w:rPr>
                <w:rFonts w:ascii="Helvetica Neue" w:cs="Helvetica Neue" w:eastAsia="Helvetica Neue" w:hAnsi="Helvetica Neue"/>
                <w:rtl w:val="0"/>
              </w:rPr>
              <w:t xml:space="preserve">why living things DO NOT violate this law.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E">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pageBreakBefore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Describe </w:t>
            </w:r>
            <w:r w:rsidDel="00000000" w:rsidR="00000000" w:rsidRPr="00000000">
              <w:rPr>
                <w:rFonts w:ascii="Helvetica Neue" w:cs="Helvetica Neue" w:eastAsia="Helvetica Neue" w:hAnsi="Helvetica Neue"/>
                <w:rtl w:val="0"/>
              </w:rPr>
              <w:t xml:space="preserve">how energy can be transferred efficiently in living things.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pageBreakBefore w:val="0"/>
              <w:widowControl w:val="0"/>
              <w:spacing w:line="240" w:lineRule="auto"/>
              <w:jc w:val="center"/>
              <w:rPr>
                <w:rFonts w:ascii="Helvetica Neue" w:cs="Helvetica Neue" w:eastAsia="Helvetica Neue" w:hAnsi="Helvetica Neue"/>
                <w:b w:val="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pageBreakBefore w:val="0"/>
              <w:numPr>
                <w:ilvl w:val="0"/>
                <w:numId w:val="1"/>
              </w:numPr>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b w:val="1"/>
                <w:rtl w:val="0"/>
              </w:rPr>
              <w:t xml:space="preserve">Explain</w:t>
            </w:r>
            <w:r w:rsidDel="00000000" w:rsidR="00000000" w:rsidRPr="00000000">
              <w:rPr>
                <w:rFonts w:ascii="Helvetica Neue" w:cs="Helvetica Neue" w:eastAsia="Helvetica Neue" w:hAnsi="Helvetica Neue"/>
                <w:rtl w:val="0"/>
              </w:rPr>
              <w:t xml:space="preserve"> where organisms store energy.</w:t>
            </w:r>
          </w:p>
        </w:tc>
      </w:tr>
    </w:tbl>
    <w:p w:rsidR="00000000" w:rsidDel="00000000" w:rsidP="00000000" w:rsidRDefault="00000000" w:rsidRPr="00000000" w14:paraId="00000038">
      <w:pPr>
        <w:pageBreakBefore w:val="0"/>
        <w:pBdr>
          <w:top w:space="0" w:sz="0" w:val="nil"/>
          <w:left w:space="0" w:sz="0" w:val="nil"/>
          <w:bottom w:space="0" w:sz="0" w:val="nil"/>
          <w:right w:space="0" w:sz="0" w:val="nil"/>
          <w:between w:space="0" w:sz="0" w:val="nil"/>
        </w:pBdr>
        <w:shd w:fill="auto" w:val="clear"/>
        <w:spacing w:line="240" w:lineRule="auto"/>
        <w:ind w:left="0" w:firstLine="0"/>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9">
      <w:pPr>
        <w:pageBreakBefore w:val="0"/>
        <w:pBdr>
          <w:top w:space="0" w:sz="0" w:val="nil"/>
          <w:left w:space="0" w:sz="0" w:val="nil"/>
          <w:bottom w:space="0" w:sz="0" w:val="nil"/>
          <w:right w:space="0" w:sz="0" w:val="nil"/>
          <w:between w:space="0" w:sz="0" w:val="nil"/>
        </w:pBdr>
        <w:shd w:fill="auto" w:val="clear"/>
        <w:spacing w:line="240" w:lineRule="auto"/>
        <w:ind w:left="720" w:firstLine="0"/>
        <w:rPr>
          <w:rFonts w:ascii="Helvetica Neue" w:cs="Helvetica Neue" w:eastAsia="Helvetica Neue" w:hAnsi="Helvetica Neue"/>
        </w:rPr>
      </w:pPr>
      <w:r w:rsidDel="00000000" w:rsidR="00000000" w:rsidRPr="00000000">
        <w:rPr>
          <w:rtl w:val="0"/>
        </w:rPr>
      </w:r>
    </w:p>
    <w:tbl>
      <w:tblPr>
        <w:tblStyle w:val="Table2"/>
        <w:tblW w:w="1015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152"/>
        <w:tblGridChange w:id="0">
          <w:tblGrid>
            <w:gridCol w:w="10152"/>
          </w:tblGrid>
        </w:tblGridChange>
      </w:tblGrid>
      <w:tr>
        <w:trPr>
          <w:cantSplit w:val="0"/>
          <w:trHeight w:val="1660" w:hRule="atLeast"/>
          <w:tblHeader w:val="0"/>
        </w:trPr>
        <w:tc>
          <w:tcPr>
            <w:tcBorders>
              <w:top w:color="000000" w:space="0" w:sz="24" w:val="single"/>
              <w:left w:color="000000" w:space="0" w:sz="24" w:val="single"/>
              <w:bottom w:color="000000" w:space="0" w:sz="24" w:val="single"/>
              <w:right w:color="000000" w:space="0" w:sz="24" w:val="single"/>
            </w:tcBorders>
          </w:tcPr>
          <w:p w:rsidR="00000000" w:rsidDel="00000000" w:rsidP="00000000" w:rsidRDefault="00000000" w:rsidRPr="00000000" w14:paraId="0000003A">
            <w:pPr>
              <w:pageBreakBefore w:val="0"/>
              <w:pBdr>
                <w:top w:space="0" w:sz="0" w:val="nil"/>
                <w:left w:space="0" w:sz="0" w:val="nil"/>
                <w:bottom w:space="0" w:sz="0" w:val="nil"/>
                <w:right w:space="0" w:sz="0" w:val="nil"/>
                <w:between w:space="0" w:sz="0" w:val="nil"/>
              </w:pBdr>
              <w:shd w:fill="auto" w:val="clear"/>
              <w:tabs>
                <w:tab w:val="left" w:pos="3872"/>
              </w:tabs>
              <w:spacing w:line="240" w:lineRule="auto"/>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Learn More:  For more information about free energy and how thermodynamics applies to biology, check out the links below: </w:t>
            </w:r>
          </w:p>
          <w:p w:rsidR="00000000" w:rsidDel="00000000" w:rsidP="00000000" w:rsidRDefault="00000000" w:rsidRPr="00000000" w14:paraId="0000003B">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Boundless Biology:  </w:t>
            </w:r>
            <w:hyperlink r:id="rId12">
              <w:r w:rsidDel="00000000" w:rsidR="00000000" w:rsidRPr="00000000">
                <w:rPr>
                  <w:rFonts w:ascii="Helvetica Neue" w:cs="Helvetica Neue" w:eastAsia="Helvetica Neue" w:hAnsi="Helvetica Neue"/>
                  <w:color w:val="1155cc"/>
                  <w:u w:val="single"/>
                  <w:rtl w:val="0"/>
                </w:rPr>
                <w:t xml:space="preserve">Free Energy</w:t>
              </w:r>
            </w:hyperlink>
            <w:r w:rsidDel="00000000" w:rsidR="00000000" w:rsidRPr="00000000">
              <w:rPr>
                <w:rtl w:val="0"/>
              </w:rPr>
            </w:r>
          </w:p>
          <w:p w:rsidR="00000000" w:rsidDel="00000000" w:rsidP="00000000" w:rsidRDefault="00000000" w:rsidRPr="00000000" w14:paraId="0000003C">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line="240" w:lineRule="auto"/>
              <w:ind w:left="720" w:hanging="360"/>
              <w:rPr>
                <w:rFonts w:ascii="Helvetica Neue" w:cs="Helvetica Neue" w:eastAsia="Helvetica Neue" w:hAnsi="Helvetica Neue"/>
              </w:rPr>
            </w:pPr>
            <w:hyperlink r:id="rId13">
              <w:r w:rsidDel="00000000" w:rsidR="00000000" w:rsidRPr="00000000">
                <w:rPr>
                  <w:rFonts w:ascii="Helvetica Neue" w:cs="Helvetica Neue" w:eastAsia="Helvetica Neue" w:hAnsi="Helvetica Neue"/>
                  <w:color w:val="1155cc"/>
                  <w:u w:val="single"/>
                  <w:rtl w:val="0"/>
                </w:rPr>
                <w:t xml:space="preserve">University of Wisconsin, Fox Valley:  Exergonic and Endergonic Reactions</w:t>
              </w:r>
            </w:hyperlink>
            <w:r w:rsidDel="00000000" w:rsidR="00000000" w:rsidRPr="00000000">
              <w:rPr>
                <w:rtl w:val="0"/>
              </w:rPr>
            </w:r>
          </w:p>
          <w:p w:rsidR="00000000" w:rsidDel="00000000" w:rsidP="00000000" w:rsidRDefault="00000000" w:rsidRPr="00000000" w14:paraId="0000003D">
            <w:pPr>
              <w:pageBreakBefore w:val="0"/>
              <w:numPr>
                <w:ilvl w:val="0"/>
                <w:numId w:val="3"/>
              </w:numPr>
              <w:pBdr>
                <w:top w:space="0" w:sz="0" w:val="nil"/>
                <w:left w:space="0" w:sz="0" w:val="nil"/>
                <w:bottom w:space="0" w:sz="0" w:val="nil"/>
                <w:right w:space="0" w:sz="0" w:val="nil"/>
                <w:between w:space="0" w:sz="0" w:val="nil"/>
              </w:pBdr>
              <w:shd w:fill="auto" w:val="clear"/>
              <w:tabs>
                <w:tab w:val="left" w:pos="3872"/>
              </w:tabs>
              <w:spacing w:line="240" w:lineRule="auto"/>
              <w:ind w:left="720" w:hanging="360"/>
              <w:rPr>
                <w:rFonts w:ascii="Helvetica Neue" w:cs="Helvetica Neue" w:eastAsia="Helvetica Neue" w:hAnsi="Helvetica Neue"/>
              </w:rPr>
            </w:pPr>
            <w:r w:rsidDel="00000000" w:rsidR="00000000" w:rsidRPr="00000000">
              <w:rPr>
                <w:rFonts w:ascii="Helvetica Neue" w:cs="Helvetica Neue" w:eastAsia="Helvetica Neue" w:hAnsi="Helvetica Neue"/>
                <w:rtl w:val="0"/>
              </w:rPr>
              <w:t xml:space="preserve">Hyperphysics:  </w:t>
            </w:r>
            <w:hyperlink r:id="rId14">
              <w:r w:rsidDel="00000000" w:rsidR="00000000" w:rsidRPr="00000000">
                <w:rPr>
                  <w:rFonts w:ascii="Helvetica Neue" w:cs="Helvetica Neue" w:eastAsia="Helvetica Neue" w:hAnsi="Helvetica Neue"/>
                  <w:color w:val="1155cc"/>
                  <w:u w:val="single"/>
                  <w:rtl w:val="0"/>
                </w:rPr>
                <w:t xml:space="preserve">Free Energy</w:t>
              </w:r>
            </w:hyperlink>
            <w:r w:rsidDel="00000000" w:rsidR="00000000" w:rsidRPr="00000000">
              <w:rPr>
                <w:rtl w:val="0"/>
              </w:rPr>
            </w:r>
          </w:p>
        </w:tc>
      </w:tr>
    </w:tbl>
    <w:p w:rsidR="00000000" w:rsidDel="00000000" w:rsidP="00000000" w:rsidRDefault="00000000" w:rsidRPr="00000000" w14:paraId="0000003E">
      <w:pPr>
        <w:pageBreakBefore w:val="0"/>
        <w:pBdr>
          <w:top w:space="0" w:sz="0" w:val="nil"/>
          <w:left w:space="0" w:sz="0" w:val="nil"/>
          <w:bottom w:space="0" w:sz="0" w:val="nil"/>
          <w:right w:space="0" w:sz="0" w:val="nil"/>
          <w:between w:space="0" w:sz="0" w:val="nil"/>
        </w:pBdr>
        <w:shd w:fill="auto" w:val="clear"/>
        <w:tabs>
          <w:tab w:val="left" w:pos="3872"/>
        </w:tabs>
        <w:spacing w:line="240" w:lineRule="auto"/>
        <w:rPr>
          <w:rFonts w:ascii="Helvetica Neue" w:cs="Helvetica Neue" w:eastAsia="Helvetica Neue" w:hAnsi="Helvetica Neue"/>
        </w:rPr>
      </w:pPr>
      <w:r w:rsidDel="00000000" w:rsidR="00000000" w:rsidRPr="00000000">
        <w:rPr>
          <w:rtl w:val="0"/>
        </w:rPr>
      </w:r>
    </w:p>
    <w:p w:rsidR="00000000" w:rsidDel="00000000" w:rsidP="00000000" w:rsidRDefault="00000000" w:rsidRPr="00000000" w14:paraId="0000003F">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footerReference r:id="rId15" w:type="default"/>
      <w:pgSz w:h="15840" w:w="12240" w:orient="portrait"/>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Helvetica Neue">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0">
    <w:pPr>
      <w:pageBreakBefore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sz w:val="16"/>
        <w:szCs w:val="16"/>
        <w:rtl w:val="0"/>
      </w:rPr>
      <w:t xml:space="preserve">Topic Review Guide:  Free Energy 2019-2020</w:t>
    </w:r>
  </w:p>
  <w:p w:rsidR="00000000" w:rsidDel="00000000" w:rsidP="00000000" w:rsidRDefault="00000000" w:rsidRPr="00000000" w14:paraId="00000041">
    <w:pPr>
      <w:pageBreakBefore w:val="0"/>
      <w:rPr>
        <w:rFonts w:ascii="Helvetica Neue" w:cs="Helvetica Neue" w:eastAsia="Helvetica Neue" w:hAnsi="Helvetica Neue"/>
        <w:i w:val="1"/>
        <w:sz w:val="16"/>
        <w:szCs w:val="16"/>
      </w:rPr>
    </w:pPr>
    <w:r w:rsidDel="00000000" w:rsidR="00000000" w:rsidRPr="00000000">
      <w:rPr>
        <w:rFonts w:ascii="Helvetica Neue" w:cs="Helvetica Neue" w:eastAsia="Helvetica Neue" w:hAnsi="Helvetica Neue"/>
        <w:i w:val="1"/>
        <w:sz w:val="16"/>
        <w:szCs w:val="16"/>
        <w:rtl w:val="0"/>
      </w:rPr>
      <w:t xml:space="preserve">Unit 3:  Energy</w:t>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abstractNum w:abstractNumId="3">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Arial" w:cs="Arial" w:eastAsia="Arial" w:hAnsi="Arial"/>
      </w:rPr>
    </w:lvl>
    <w:lvl w:ilvl="2">
      <w:start w:val="1"/>
      <w:numFmt w:val="bullet"/>
      <w:lvlText w:val="▪"/>
      <w:lvlJc w:val="left"/>
      <w:pPr>
        <w:ind w:left="2160" w:hanging="360"/>
      </w:pPr>
      <w:rPr>
        <w:rFonts w:ascii="Arial" w:cs="Arial" w:eastAsia="Arial" w:hAnsi="Arial"/>
      </w:rPr>
    </w:lvl>
    <w:lvl w:ilvl="3">
      <w:start w:val="1"/>
      <w:numFmt w:val="bullet"/>
      <w:lvlText w:val="●"/>
      <w:lvlJc w:val="left"/>
      <w:pPr>
        <w:ind w:left="2880" w:hanging="360"/>
      </w:pPr>
      <w:rPr>
        <w:rFonts w:ascii="Arial" w:cs="Arial" w:eastAsia="Arial" w:hAnsi="Arial"/>
      </w:rPr>
    </w:lvl>
    <w:lvl w:ilvl="4">
      <w:start w:val="1"/>
      <w:numFmt w:val="bullet"/>
      <w:lvlText w:val="o"/>
      <w:lvlJc w:val="left"/>
      <w:pPr>
        <w:ind w:left="3600" w:hanging="360"/>
      </w:pPr>
      <w:rPr>
        <w:rFonts w:ascii="Arial" w:cs="Arial" w:eastAsia="Arial" w:hAnsi="Arial"/>
      </w:rPr>
    </w:lvl>
    <w:lvl w:ilvl="5">
      <w:start w:val="1"/>
      <w:numFmt w:val="bullet"/>
      <w:lvlText w:val="▪"/>
      <w:lvlJc w:val="left"/>
      <w:pPr>
        <w:ind w:left="4320" w:hanging="360"/>
      </w:pPr>
      <w:rPr>
        <w:rFonts w:ascii="Arial" w:cs="Arial" w:eastAsia="Arial" w:hAnsi="Arial"/>
      </w:rPr>
    </w:lvl>
    <w:lvl w:ilvl="6">
      <w:start w:val="1"/>
      <w:numFmt w:val="bullet"/>
      <w:lvlText w:val="●"/>
      <w:lvlJc w:val="left"/>
      <w:pPr>
        <w:ind w:left="5040" w:hanging="360"/>
      </w:pPr>
      <w:rPr>
        <w:rFonts w:ascii="Arial" w:cs="Arial" w:eastAsia="Arial" w:hAnsi="Arial"/>
      </w:rPr>
    </w:lvl>
    <w:lvl w:ilvl="7">
      <w:start w:val="1"/>
      <w:numFmt w:val="bullet"/>
      <w:lvlText w:val="o"/>
      <w:lvlJc w:val="left"/>
      <w:pPr>
        <w:ind w:left="5760" w:hanging="360"/>
      </w:pPr>
      <w:rPr>
        <w:rFonts w:ascii="Arial" w:cs="Arial" w:eastAsia="Arial" w:hAnsi="Arial"/>
      </w:rPr>
    </w:lvl>
    <w:lvl w:ilvl="8">
      <w:start w:val="1"/>
      <w:numFmt w:val="bullet"/>
      <w:lvlText w:val="▪"/>
      <w:lvlJc w:val="left"/>
      <w:pPr>
        <w:ind w:left="6480" w:hanging="360"/>
      </w:pPr>
      <w:rPr>
        <w:rFonts w:ascii="Arial" w:cs="Arial" w:eastAsia="Arial" w:hAnsi="Arial"/>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pPr/>
    <w:rPr/>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3" Type="http://schemas.openxmlformats.org/officeDocument/2006/relationships/hyperlink" Target="http://www.uwfox.uwc.edu/users/joyperry/bot130/Chapter08/Animations_videos/8_1_2_exer_endergonic.swf" TargetMode="External"/><Relationship Id="rId8" Type="http://schemas.openxmlformats.org/officeDocument/2006/relationships/hyperlink" Target="http://youtu.be/JBmykor-2kU" TargetMode="External"/><Relationship Id="rId3" Type="http://schemas.openxmlformats.org/officeDocument/2006/relationships/fontTable" Target="fontTable.xml"/><Relationship Id="rId12" Type="http://schemas.openxmlformats.org/officeDocument/2006/relationships/hyperlink" Target="https://courses.lumenlearning.com/boundless-biology/chapter/potential-kinetic-free-and-activation-energy/" TargetMode="External"/><Relationship Id="rId7" Type="http://schemas.openxmlformats.org/officeDocument/2006/relationships/hyperlink" Target="https://static1.squarespace.com/static/50d5cc57e4b0e383f5b1eb34/t/53c955efe4b00bfba5cb610b/1405703663486/AP+Bio-012+Life+Requires+Free+Energy+Worksheet-WL.pdf" TargetMode="External"/><Relationship Id="rId17"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customXml" Target="../customXml/item1.xml"/><Relationship Id="rId11" Type="http://schemas.openxmlformats.org/officeDocument/2006/relationships/hyperlink" Target="http://www.sumanasinc.com/webcontent/animations/content/enzymes/enzymes.html" TargetMode="External"/><Relationship Id="rId1" Type="http://schemas.openxmlformats.org/officeDocument/2006/relationships/theme" Target="theme/theme1.xml"/><Relationship Id="rId6" Type="http://schemas.openxmlformats.org/officeDocument/2006/relationships/hyperlink" Target="https://apclassroom.collegeboard.org/d/lcrjn9yiyk?sui=6,3" TargetMode="External"/><Relationship Id="rId15" Type="http://schemas.openxmlformats.org/officeDocument/2006/relationships/footer" Target="footer1.xml"/><Relationship Id="rId5" Type="http://schemas.openxmlformats.org/officeDocument/2006/relationships/styles" Target="styles.xml"/><Relationship Id="rId10" Type="http://schemas.openxmlformats.org/officeDocument/2006/relationships/hyperlink" Target="http://www.wiley.com/legacy/college/boyer/0470003790/animations/catalysis_energy/catalysis_energy.htm" TargetMode="External"/><Relationship Id="rId4" Type="http://schemas.openxmlformats.org/officeDocument/2006/relationships/numbering" Target="numbering.xml"/><Relationship Id="rId9" Type="http://schemas.openxmlformats.org/officeDocument/2006/relationships/hyperlink" Target="http://bcs.whfreeman.com/hillis1e/#667501__708801__" TargetMode="External"/><Relationship Id="rId14" Type="http://schemas.openxmlformats.org/officeDocument/2006/relationships/hyperlink" Target="http://hyperphysics.phy-astr.gsu.edu/hbase/chemical/gibbspon.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HelveticaNeue-regular.ttf"/><Relationship Id="rId2" Type="http://schemas.openxmlformats.org/officeDocument/2006/relationships/font" Target="fonts/HelveticaNeue-bold.ttf"/><Relationship Id="rId3" Type="http://schemas.openxmlformats.org/officeDocument/2006/relationships/font" Target="fonts/HelveticaNeue-italic.ttf"/><Relationship Id="rId4" Type="http://schemas.openxmlformats.org/officeDocument/2006/relationships/font" Target="fonts/HelveticaNeue-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33C86464A68EE418DA04BF8E291A9DD" ma:contentTypeVersion="2" ma:contentTypeDescription="Create a new document." ma:contentTypeScope="" ma:versionID="c2b07df8ef4bbdc0b04478d8bfcb973d">
  <xsd:schema xmlns:xsd="http://www.w3.org/2001/XMLSchema" xmlns:xs="http://www.w3.org/2001/XMLSchema" xmlns:p="http://schemas.microsoft.com/office/2006/metadata/properties" xmlns:ns2="c41c9faf-ab90-40cb-8ae6-f46352d9dd70" targetNamespace="http://schemas.microsoft.com/office/2006/metadata/properties" ma:root="true" ma:fieldsID="378baf38edd8b5331f00df5de3008dd4" ns2:_="">
    <xsd:import namespace="c41c9faf-ab90-40cb-8ae6-f46352d9dd7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41c9faf-ab90-40cb-8ae6-f46352d9dd7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17FECDC-E63D-4D59-B38C-602573FA4AB7}"/>
</file>

<file path=customXml/itemProps2.xml><?xml version="1.0" encoding="utf-8"?>
<ds:datastoreItem xmlns:ds="http://schemas.openxmlformats.org/officeDocument/2006/customXml" ds:itemID="{2B5DAE5D-5077-4F3D-A3FC-2E506E6FB245}"/>
</file>