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CD9D39F" w14:textId="77777777" w:rsidR="00BD4FA7" w:rsidRDefault="00000000">
      <w:pPr>
        <w:spacing w:line="240" w:lineRule="auto"/>
        <w:rPr>
          <w:rFonts w:ascii="Helvetica Neue" w:eastAsia="Helvetica Neue" w:hAnsi="Helvetica Neue" w:cs="Helvetica Neue"/>
          <w:sz w:val="28"/>
          <w:szCs w:val="28"/>
        </w:rPr>
      </w:pPr>
      <w:r>
        <w:rPr>
          <w:rFonts w:ascii="Helvetica Neue" w:eastAsia="Helvetica Neue" w:hAnsi="Helvetica Neue" w:cs="Helvetica Neue"/>
          <w:b/>
          <w:sz w:val="28"/>
          <w:szCs w:val="28"/>
        </w:rPr>
        <w:t xml:space="preserve">Short FRQ Practice:  </w:t>
      </w:r>
      <w:r>
        <w:rPr>
          <w:rFonts w:ascii="Helvetica Neue" w:eastAsia="Helvetica Neue" w:hAnsi="Helvetica Neue" w:cs="Helvetica Neue"/>
          <w:sz w:val="28"/>
          <w:szCs w:val="28"/>
        </w:rPr>
        <w:t xml:space="preserve">Cell Communication </w:t>
      </w:r>
    </w:p>
    <w:p w14:paraId="0B98465E" w14:textId="77777777" w:rsidR="00BD4FA7" w:rsidRDefault="00000000">
      <w:pPr>
        <w:spacing w:line="240" w:lineRule="auto"/>
        <w:rPr>
          <w:rFonts w:ascii="Helvetica Neue" w:eastAsia="Helvetica Neue" w:hAnsi="Helvetica Neue" w:cs="Helvetica Neue"/>
          <w:i/>
          <w:sz w:val="24"/>
          <w:szCs w:val="24"/>
        </w:rPr>
      </w:pPr>
      <w:r>
        <w:rPr>
          <w:rFonts w:ascii="Helvetica Neue" w:eastAsia="Helvetica Neue" w:hAnsi="Helvetica Neue" w:cs="Helvetica Neue"/>
          <w:i/>
          <w:sz w:val="24"/>
          <w:szCs w:val="24"/>
        </w:rPr>
        <w:t>AP Biology</w:t>
      </w:r>
    </w:p>
    <w:p w14:paraId="6BD04230" w14:textId="77777777" w:rsidR="00BD4FA7" w:rsidRDefault="00BD4FA7">
      <w:pPr>
        <w:spacing w:line="240" w:lineRule="auto"/>
        <w:rPr>
          <w:rFonts w:ascii="Helvetica Neue" w:eastAsia="Helvetica Neue" w:hAnsi="Helvetica Neue" w:cs="Helvetica Neue"/>
        </w:rPr>
      </w:pPr>
    </w:p>
    <w:p w14:paraId="2F881490" w14:textId="77777777" w:rsidR="00BD4FA7" w:rsidRDefault="00000000">
      <w:pPr>
        <w:spacing w:after="240" w:line="240" w:lineRule="auto"/>
        <w:rPr>
          <w:rFonts w:ascii="Helvetica Neue" w:eastAsia="Helvetica Neue" w:hAnsi="Helvetica Neue" w:cs="Helvetica Neue"/>
        </w:rPr>
      </w:pPr>
      <w:r>
        <w:rPr>
          <w:rFonts w:ascii="Helvetica Neue" w:eastAsia="Helvetica Neue" w:hAnsi="Helvetica Neue" w:cs="Helvetica Neue"/>
        </w:rPr>
        <w:t>Write your response in the space provided following each question. Only material written in the space provided will be scored. Answers must be written out in paragraph form. Outline form is not acceptable. Labeled diagrams may be used to supplement discussion, but unless specifically called for by the question, a diagram alone will not receive credit.</w:t>
      </w:r>
    </w:p>
    <w:p w14:paraId="1289AC29" w14:textId="77777777" w:rsidR="00BD4FA7" w:rsidRDefault="00000000">
      <w:pPr>
        <w:spacing w:after="240" w:line="240" w:lineRule="auto"/>
        <w:jc w:val="center"/>
        <w:rPr>
          <w:rFonts w:ascii="Helvetica Neue" w:eastAsia="Helvetica Neue" w:hAnsi="Helvetica Neue" w:cs="Helvetica Neue"/>
          <w:b/>
        </w:rPr>
      </w:pPr>
      <w:r>
        <w:rPr>
          <w:rFonts w:ascii="Helvetica Neue" w:eastAsia="Helvetica Neue" w:hAnsi="Helvetica Neue" w:cs="Helvetica Neue"/>
          <w:b/>
          <w:noProof/>
        </w:rPr>
        <w:drawing>
          <wp:inline distT="114300" distB="114300" distL="114300" distR="114300" wp14:anchorId="507BFE1E" wp14:editId="3FD0AFF9">
            <wp:extent cx="4376738" cy="24272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376738" cy="2427240"/>
                    </a:xfrm>
                    <a:prstGeom prst="rect">
                      <a:avLst/>
                    </a:prstGeom>
                    <a:ln/>
                  </pic:spPr>
                </pic:pic>
              </a:graphicData>
            </a:graphic>
          </wp:inline>
        </w:drawing>
      </w:r>
    </w:p>
    <w:p w14:paraId="469E5E30" w14:textId="77777777" w:rsidR="00BD4FA7" w:rsidRDefault="00000000" w:rsidP="00F60C27">
      <w:pPr>
        <w:spacing w:after="480" w:line="240" w:lineRule="auto"/>
        <w:rPr>
          <w:rFonts w:ascii="Helvetica Neue" w:eastAsia="Helvetica Neue" w:hAnsi="Helvetica Neue" w:cs="Helvetica Neue"/>
          <w:b/>
        </w:rPr>
      </w:pPr>
      <w:r>
        <w:rPr>
          <w:rFonts w:ascii="Helvetica Neue" w:eastAsia="Helvetica Neue" w:hAnsi="Helvetica Neue" w:cs="Helvetica Neue"/>
          <w:b/>
        </w:rPr>
        <w:t>The figure above represents a generalized hormone-signaling pathway. Briefly explain the role of each numbered step in regulating target gene expression.</w:t>
      </w:r>
    </w:p>
    <w:p w14:paraId="4490213E" w14:textId="77777777" w:rsidR="00BD4FA7" w:rsidRDefault="00000000">
      <w:pPr>
        <w:spacing w:line="240" w:lineRule="auto"/>
        <w:rPr>
          <w:rFonts w:ascii="Helvetica Neue" w:eastAsia="Helvetica Neue" w:hAnsi="Helvetica Neue" w:cs="Helvetica Neue"/>
          <w:sz w:val="28"/>
          <w:szCs w:val="28"/>
        </w:rPr>
      </w:pPr>
      <w:r>
        <w:rPr>
          <w:rFonts w:ascii="Helvetica Neue" w:eastAsia="Helvetica Neue" w:hAnsi="Helvetica Neue" w:cs="Helvetica Neue"/>
          <w:b/>
          <w:sz w:val="28"/>
          <w:szCs w:val="28"/>
        </w:rPr>
        <w:t xml:space="preserve">Short FRQ Practice:  </w:t>
      </w:r>
      <w:r>
        <w:rPr>
          <w:rFonts w:ascii="Helvetica Neue" w:eastAsia="Helvetica Neue" w:hAnsi="Helvetica Neue" w:cs="Helvetica Neue"/>
          <w:sz w:val="28"/>
          <w:szCs w:val="28"/>
        </w:rPr>
        <w:t xml:space="preserve">Cell Communication </w:t>
      </w:r>
    </w:p>
    <w:p w14:paraId="68581E23" w14:textId="77777777" w:rsidR="00BD4FA7" w:rsidRDefault="00000000">
      <w:pPr>
        <w:spacing w:line="240" w:lineRule="auto"/>
        <w:rPr>
          <w:rFonts w:ascii="Helvetica Neue" w:eastAsia="Helvetica Neue" w:hAnsi="Helvetica Neue" w:cs="Helvetica Neue"/>
          <w:i/>
          <w:sz w:val="24"/>
          <w:szCs w:val="24"/>
        </w:rPr>
      </w:pPr>
      <w:r>
        <w:rPr>
          <w:rFonts w:ascii="Helvetica Neue" w:eastAsia="Helvetica Neue" w:hAnsi="Helvetica Neue" w:cs="Helvetica Neue"/>
          <w:i/>
          <w:sz w:val="24"/>
          <w:szCs w:val="24"/>
        </w:rPr>
        <w:t>AP Biology</w:t>
      </w:r>
    </w:p>
    <w:p w14:paraId="17892405" w14:textId="77777777" w:rsidR="00BD4FA7" w:rsidRDefault="00BD4FA7">
      <w:pPr>
        <w:spacing w:line="240" w:lineRule="auto"/>
        <w:rPr>
          <w:rFonts w:ascii="Helvetica Neue" w:eastAsia="Helvetica Neue" w:hAnsi="Helvetica Neue" w:cs="Helvetica Neue"/>
        </w:rPr>
      </w:pPr>
    </w:p>
    <w:p w14:paraId="03379E99" w14:textId="77777777" w:rsidR="00BD4FA7" w:rsidRDefault="00000000">
      <w:pPr>
        <w:spacing w:after="240" w:line="240" w:lineRule="auto"/>
        <w:rPr>
          <w:rFonts w:ascii="Helvetica Neue" w:eastAsia="Helvetica Neue" w:hAnsi="Helvetica Neue" w:cs="Helvetica Neue"/>
        </w:rPr>
      </w:pPr>
      <w:r>
        <w:rPr>
          <w:rFonts w:ascii="Helvetica Neue" w:eastAsia="Helvetica Neue" w:hAnsi="Helvetica Neue" w:cs="Helvetica Neue"/>
        </w:rPr>
        <w:t>Write your response in the space provided following each question. Only material written in the space provided will be scored. Answers must be written out in paragraph form. Outline form is not acceptable. Labeled diagrams may be used to supplement discussion, but unless specifically called for by the question, a diagram alone will not receive credit.</w:t>
      </w:r>
    </w:p>
    <w:p w14:paraId="07CC11B4" w14:textId="77777777" w:rsidR="00BD4FA7" w:rsidRDefault="00000000">
      <w:pPr>
        <w:spacing w:after="240" w:line="240" w:lineRule="auto"/>
        <w:jc w:val="center"/>
        <w:rPr>
          <w:rFonts w:ascii="Helvetica Neue" w:eastAsia="Helvetica Neue" w:hAnsi="Helvetica Neue" w:cs="Helvetica Neue"/>
          <w:b/>
        </w:rPr>
      </w:pPr>
      <w:r>
        <w:rPr>
          <w:rFonts w:ascii="Helvetica Neue" w:eastAsia="Helvetica Neue" w:hAnsi="Helvetica Neue" w:cs="Helvetica Neue"/>
          <w:b/>
          <w:noProof/>
        </w:rPr>
        <w:drawing>
          <wp:inline distT="114300" distB="114300" distL="114300" distR="114300" wp14:anchorId="43FBAC96" wp14:editId="2918DB1F">
            <wp:extent cx="4376738" cy="242724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376738" cy="2427240"/>
                    </a:xfrm>
                    <a:prstGeom prst="rect">
                      <a:avLst/>
                    </a:prstGeom>
                    <a:ln/>
                  </pic:spPr>
                </pic:pic>
              </a:graphicData>
            </a:graphic>
          </wp:inline>
        </w:drawing>
      </w:r>
    </w:p>
    <w:p w14:paraId="3ACFC9C3" w14:textId="77777777" w:rsidR="00BD4FA7" w:rsidRDefault="00000000">
      <w:pPr>
        <w:spacing w:after="240" w:line="240" w:lineRule="auto"/>
        <w:rPr>
          <w:b/>
        </w:rPr>
      </w:pPr>
      <w:r>
        <w:rPr>
          <w:rFonts w:ascii="Helvetica Neue" w:eastAsia="Helvetica Neue" w:hAnsi="Helvetica Neue" w:cs="Helvetica Neue"/>
          <w:b/>
        </w:rPr>
        <w:t>The figure above represents a generalized hormone-signaling pathway. Briefly explain the role of each numbered step in regulating target gene expression.</w:t>
      </w:r>
    </w:p>
    <w:sectPr w:rsidR="00BD4FA7">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FA7"/>
    <w:rsid w:val="00BD4FA7"/>
    <w:rsid w:val="00F60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570DF"/>
  <w15:docId w15:val="{E9893C2C-5C86-42A1-8F7F-F8BFF9187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3C86464A68EE418DA04BF8E291A9DD" ma:contentTypeVersion="2" ma:contentTypeDescription="Create a new document." ma:contentTypeScope="" ma:versionID="c2b07df8ef4bbdc0b04478d8bfcb973d">
  <xsd:schema xmlns:xsd="http://www.w3.org/2001/XMLSchema" xmlns:xs="http://www.w3.org/2001/XMLSchema" xmlns:p="http://schemas.microsoft.com/office/2006/metadata/properties" xmlns:ns2="c41c9faf-ab90-40cb-8ae6-f46352d9dd70" targetNamespace="http://schemas.microsoft.com/office/2006/metadata/properties" ma:root="true" ma:fieldsID="378baf38edd8b5331f00df5de3008dd4" ns2:_="">
    <xsd:import namespace="c41c9faf-ab90-40cb-8ae6-f46352d9dd7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c9faf-ab90-40cb-8ae6-f46352d9dd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044336-C95E-4FFB-A7DB-83E966B594C9}"/>
</file>

<file path=customXml/itemProps2.xml><?xml version="1.0" encoding="utf-8"?>
<ds:datastoreItem xmlns:ds="http://schemas.openxmlformats.org/officeDocument/2006/customXml" ds:itemID="{B3187E08-5879-494F-BF86-9BE443101D1C}"/>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958</Characters>
  <Application>Microsoft Office Word</Application>
  <DocSecurity>0</DocSecurity>
  <Lines>7</Lines>
  <Paragraphs>2</Paragraphs>
  <ScaleCrop>false</ScaleCrop>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Editor</cp:lastModifiedBy>
  <cp:revision>2</cp:revision>
  <dcterms:created xsi:type="dcterms:W3CDTF">2022-11-15T05:47:00Z</dcterms:created>
  <dcterms:modified xsi:type="dcterms:W3CDTF">2022-11-15T05:47:00Z</dcterms:modified>
</cp:coreProperties>
</file>