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b w:val="1"/>
          <w:sz w:val="36"/>
          <w:szCs w:val="36"/>
          <w:rtl w:val="0"/>
        </w:rPr>
        <w:t xml:space="preserve">Topic Review Guide</w:t>
      </w:r>
      <w:r w:rsidDel="00000000" w:rsidR="00000000" w:rsidRPr="00000000">
        <w:rPr>
          <w:sz w:val="36"/>
          <w:szCs w:val="36"/>
          <w:rtl w:val="0"/>
        </w:rPr>
        <w:t xml:space="preserve">: </w:t>
      </w:r>
      <w:r w:rsidDel="00000000" w:rsidR="00000000" w:rsidRPr="00000000">
        <w:rPr>
          <w:sz w:val="36"/>
          <w:szCs w:val="36"/>
          <w:rtl w:val="0"/>
        </w:rPr>
        <w:t xml:space="preserve">Non-Mendelian (5.4) Genetics and Environmental Effects on Phenotype (5.5)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What are linked genes?  What does map distance tell you about a pair of linked genes?  What are sex linked traits?  How do sex-linked traits differ from Mendelian traits?  How does inheritance determined by multiple genes differ from Mendelian inheritance?  How does non-nuclear inheritance differ from Mendelian inheritance?  What is phenotypic plasticity?  How can the same genotype result in multiple phenotypes?  What effect do environmental conditions have on gene expression?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Watch:  </w:t>
      </w:r>
      <w:r w:rsidDel="00000000" w:rsidR="00000000" w:rsidRPr="00000000">
        <w:rPr>
          <w:sz w:val="22"/>
          <w:szCs w:val="22"/>
          <w:rtl w:val="0"/>
        </w:rPr>
        <w:t xml:space="preserve">AP Daily Video 5.4 “Non-Mendelian Genetics” Video</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1</w:t>
        </w:r>
      </w:hyperlink>
      <w:r w:rsidDel="00000000" w:rsidR="00000000" w:rsidRPr="00000000">
        <w:rPr>
          <w:sz w:val="22"/>
          <w:szCs w:val="22"/>
          <w:rtl w:val="0"/>
        </w:rPr>
        <w:t xml:space="preserve"> and </w:t>
      </w:r>
      <w:hyperlink r:id="rId7">
        <w:r w:rsidDel="00000000" w:rsidR="00000000" w:rsidRPr="00000000">
          <w:rPr>
            <w:color w:val="1155cc"/>
            <w:sz w:val="22"/>
            <w:szCs w:val="22"/>
            <w:u w:val="single"/>
            <w:rtl w:val="0"/>
          </w:rPr>
          <w:t xml:space="preserve">2</w:t>
        </w:r>
      </w:hyperlink>
      <w:r w:rsidDel="00000000" w:rsidR="00000000" w:rsidRPr="00000000">
        <w:rPr>
          <w:sz w:val="22"/>
          <w:szCs w:val="22"/>
          <w:rtl w:val="0"/>
        </w:rPr>
        <w:t xml:space="preserve">;</w:t>
      </w:r>
      <w:r w:rsidDel="00000000" w:rsidR="00000000" w:rsidRPr="00000000">
        <w:rPr>
          <w:sz w:val="22"/>
          <w:szCs w:val="22"/>
          <w:rtl w:val="0"/>
        </w:rPr>
        <w:t xml:space="preserve"> AP Daily </w:t>
      </w:r>
      <w:hyperlink r:id="rId8">
        <w:r w:rsidDel="00000000" w:rsidR="00000000" w:rsidRPr="00000000">
          <w:rPr>
            <w:color w:val="1155cc"/>
            <w:sz w:val="22"/>
            <w:szCs w:val="22"/>
            <w:u w:val="single"/>
            <w:rtl w:val="0"/>
          </w:rPr>
          <w:t xml:space="preserve">Video 5.5</w:t>
        </w:r>
      </w:hyperlink>
      <w:r w:rsidDel="00000000" w:rsidR="00000000" w:rsidRPr="00000000">
        <w:rPr>
          <w:sz w:val="22"/>
          <w:szCs w:val="22"/>
          <w:rtl w:val="0"/>
        </w:rPr>
        <w:t xml:space="preserve"> </w:t>
      </w:r>
      <w:r w:rsidDel="00000000" w:rsidR="00000000" w:rsidRPr="00000000">
        <w:rPr>
          <w:sz w:val="22"/>
          <w:szCs w:val="22"/>
          <w:rtl w:val="0"/>
        </w:rPr>
        <w:t xml:space="preserve">“Environmental Effects on Phenotype”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Read:</w:t>
      </w:r>
      <w:r w:rsidDel="00000000" w:rsidR="00000000" w:rsidRPr="00000000">
        <w:rPr>
          <w:sz w:val="22"/>
          <w:szCs w:val="22"/>
          <w:rtl w:val="0"/>
        </w:rPr>
        <w:t xml:space="preserve">  Chapter 11.3 - 11.4 &amp; 12.1 - 12.4, Biology in Focus</w:t>
      </w:r>
      <w:r w:rsidDel="00000000" w:rsidR="00000000" w:rsidRPr="00000000">
        <w:rPr>
          <w:sz w:val="22"/>
          <w:szCs w:val="22"/>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this lesson.</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sz w:val="22"/>
          <w:szCs w:val="22"/>
          <w:rtl w:val="0"/>
        </w:rPr>
        <w:t xml:space="preserve">Guided Notes 5.4 (</w:t>
      </w:r>
      <w:hyperlink r:id="rId9">
        <w:r w:rsidDel="00000000" w:rsidR="00000000" w:rsidRPr="00000000">
          <w:rPr>
            <w:color w:val="1155cc"/>
            <w:sz w:val="22"/>
            <w:szCs w:val="22"/>
            <w:u w:val="single"/>
            <w:rtl w:val="0"/>
          </w:rPr>
          <w:t xml:space="preserve">Video 1</w:t>
        </w:r>
      </w:hyperlink>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Video 2</w:t>
        </w:r>
      </w:hyperlink>
      <w:r w:rsidDel="00000000" w:rsidR="00000000" w:rsidRPr="00000000">
        <w:rPr>
          <w:sz w:val="22"/>
          <w:szCs w:val="22"/>
          <w:rtl w:val="0"/>
        </w:rPr>
        <w:t xml:space="preserve">), </w:t>
      </w:r>
      <w:hyperlink r:id="rId11">
        <w:r w:rsidDel="00000000" w:rsidR="00000000" w:rsidRPr="00000000">
          <w:rPr>
            <w:color w:val="1155cc"/>
            <w:sz w:val="22"/>
            <w:szCs w:val="22"/>
            <w:u w:val="single"/>
            <w:rtl w:val="0"/>
          </w:rPr>
          <w:t xml:space="preserve">5.5</w:t>
        </w:r>
      </w:hyperlink>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hyperlink r:id="rId12">
        <w:r w:rsidDel="00000000" w:rsidR="00000000" w:rsidRPr="00000000">
          <w:rPr>
            <w:color w:val="1155cc"/>
            <w:sz w:val="22"/>
            <w:szCs w:val="22"/>
            <w:u w:val="single"/>
            <w:rtl w:val="0"/>
          </w:rPr>
          <w:t xml:space="preserve">Slideshow Presentation</w:t>
        </w:r>
      </w:hyperlink>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Bozeman Science:  </w:t>
      </w:r>
      <w:hyperlink r:id="rId13">
        <w:r w:rsidDel="00000000" w:rsidR="00000000" w:rsidRPr="00000000">
          <w:rPr>
            <w:color w:val="1155cc"/>
            <w:sz w:val="22"/>
            <w:szCs w:val="22"/>
            <w:u w:val="single"/>
            <w:rtl w:val="0"/>
          </w:rPr>
          <w:t xml:space="preserve">Advanced Genetics</w:t>
        </w:r>
      </w:hyperlink>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b w:val="0"/>
          <w:sz w:val="22"/>
          <w:szCs w:val="22"/>
          <w:rtl w:val="0"/>
        </w:rPr>
        <w:t xml:space="preserve">Crash Course Biology:  </w:t>
      </w:r>
      <w:hyperlink r:id="rId14">
        <w:r w:rsidDel="00000000" w:rsidR="00000000" w:rsidRPr="00000000">
          <w:rPr>
            <w:b w:val="0"/>
            <w:color w:val="0000ff"/>
            <w:sz w:val="22"/>
            <w:szCs w:val="22"/>
            <w:u w:val="single"/>
            <w:rtl w:val="0"/>
          </w:rPr>
          <w:t xml:space="preserve">Heredity</w:t>
        </w:r>
      </w:hyperlink>
      <w:r w:rsidDel="00000000" w:rsidR="00000000" w:rsidRPr="00000000">
        <w:fldChar w:fldCharType="begin"/>
        <w:instrText xml:space="preserve"> HYPERLINK "http://http/www.youtube.com/watch?v=CBezq1fFUEA" </w:instrText>
        <w:fldChar w:fldCharType="separate"/>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Hillis et al.:  </w:t>
      </w:r>
      <w:hyperlink r:id="rId15">
        <w:r w:rsidDel="00000000" w:rsidR="00000000" w:rsidRPr="00000000">
          <w:rPr>
            <w:b w:val="0"/>
            <w:color w:val="0000ff"/>
            <w:sz w:val="22"/>
            <w:szCs w:val="22"/>
            <w:u w:val="single"/>
            <w:rtl w:val="0"/>
          </w:rPr>
          <w:t xml:space="preserve">Independent Assortment of Alleles Animation</w:t>
        </w:r>
      </w:hyperlink>
      <w:r w:rsidDel="00000000" w:rsidR="00000000" w:rsidRPr="00000000">
        <w:fldChar w:fldCharType="begin"/>
        <w:instrText xml:space="preserve"> HYPERLINK "http://bcs.whfreeman.com/hillis1e/#667501__674141__"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Hillis et al.:  </w:t>
      </w:r>
      <w:hyperlink r:id="rId16">
        <w:r w:rsidDel="00000000" w:rsidR="00000000" w:rsidRPr="00000000">
          <w:rPr>
            <w:b w:val="0"/>
            <w:color w:val="0000ff"/>
            <w:sz w:val="22"/>
            <w:szCs w:val="22"/>
            <w:u w:val="single"/>
            <w:rtl w:val="0"/>
          </w:rPr>
          <w:t xml:space="preserve">Test Cross</w:t>
        </w:r>
      </w:hyperlink>
      <w:r w:rsidDel="00000000" w:rsidR="00000000" w:rsidRPr="00000000">
        <w:fldChar w:fldCharType="begin"/>
        <w:instrText xml:space="preserve"> HYPERLINK "http://bcs.whfreeman.com/hillis1e/#667501__708812__"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DNA From The Beginning:  </w:t>
      </w:r>
      <w:hyperlink r:id="rId17">
        <w:r w:rsidDel="00000000" w:rsidR="00000000" w:rsidRPr="00000000">
          <w:rPr>
            <w:b w:val="0"/>
            <w:color w:val="0000ff"/>
            <w:sz w:val="22"/>
            <w:szCs w:val="22"/>
            <w:u w:val="single"/>
            <w:rtl w:val="0"/>
          </w:rPr>
          <w:t xml:space="preserve">Classical Genetics Tutorials and Animations</w:t>
        </w:r>
      </w:hyperlink>
      <w:r w:rsidDel="00000000" w:rsidR="00000000" w:rsidRPr="00000000">
        <w:fldChar w:fldCharType="begin"/>
        <w:instrText xml:space="preserve"> HYPERLINK "http://dnaftb.org/#classical"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University of Arizona Biology Project:  </w:t>
      </w:r>
      <w:hyperlink r:id="rId18">
        <w:r w:rsidDel="00000000" w:rsidR="00000000" w:rsidRPr="00000000">
          <w:rPr>
            <w:b w:val="0"/>
            <w:color w:val="0000ff"/>
            <w:sz w:val="22"/>
            <w:szCs w:val="22"/>
            <w:u w:val="single"/>
            <w:rtl w:val="0"/>
          </w:rPr>
          <w:t xml:space="preserve">Mendelian Genetics Monohybrid Problem Set</w:t>
        </w:r>
      </w:hyperlink>
      <w:r w:rsidDel="00000000" w:rsidR="00000000" w:rsidRPr="00000000">
        <w:fldChar w:fldCharType="begin"/>
        <w:instrText xml:space="preserve"> HYPERLINK "http://www.biology.arizona.edu/mendelian_genetics/problem_sets/monohybrid_cross/monohybrid_cross.html"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University of Arizona Biology Project:  </w:t>
      </w:r>
      <w:hyperlink r:id="rId19">
        <w:r w:rsidDel="00000000" w:rsidR="00000000" w:rsidRPr="00000000">
          <w:rPr>
            <w:b w:val="0"/>
            <w:color w:val="0000ff"/>
            <w:sz w:val="22"/>
            <w:szCs w:val="22"/>
            <w:u w:val="single"/>
            <w:rtl w:val="0"/>
          </w:rPr>
          <w:t xml:space="preserve">Mendelian Genetics Dihybrid Problem Set</w:t>
        </w:r>
      </w:hyperlink>
      <w:r w:rsidDel="00000000" w:rsidR="00000000" w:rsidRPr="00000000">
        <w:fldChar w:fldCharType="begin"/>
        <w:instrText xml:space="preserve"> HYPERLINK "http://www.biology.arizona.edu/mendelian_genetics/problem_sets/dihybrid_cross/dihybrid_cross.html"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University of Arizona Biology Project:  </w:t>
      </w:r>
      <w:hyperlink r:id="rId20">
        <w:r w:rsidDel="00000000" w:rsidR="00000000" w:rsidRPr="00000000">
          <w:rPr>
            <w:b w:val="0"/>
            <w:color w:val="0000ff"/>
            <w:sz w:val="22"/>
            <w:szCs w:val="22"/>
            <w:u w:val="single"/>
            <w:rtl w:val="0"/>
          </w:rPr>
          <w:t xml:space="preserve">Sex-Linked Problem Set</w:t>
        </w:r>
      </w:hyperlink>
      <w:r w:rsidDel="00000000" w:rsidR="00000000" w:rsidRPr="00000000">
        <w:fldChar w:fldCharType="begin"/>
        <w:instrText xml:space="preserve"> HYPERLINK "http://www.biology.arizona.edu/mendelian_genetics/problem_sets/sex_linked_inheritance/sex_linked_inheritance.html"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Biocoach:  </w:t>
      </w:r>
      <w:hyperlink r:id="rId21">
        <w:r w:rsidDel="00000000" w:rsidR="00000000" w:rsidRPr="00000000">
          <w:rPr>
            <w:b w:val="0"/>
            <w:color w:val="0000ff"/>
            <w:sz w:val="22"/>
            <w:szCs w:val="22"/>
            <w:u w:val="single"/>
            <w:rtl w:val="0"/>
          </w:rPr>
          <w:t xml:space="preserve">Mendelian Genetics</w:t>
        </w:r>
      </w:hyperlink>
      <w:r w:rsidDel="00000000" w:rsidR="00000000" w:rsidRPr="00000000">
        <w:rPr>
          <w:b w:val="0"/>
          <w:sz w:val="22"/>
          <w:szCs w:val="22"/>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6">
      <w:pPr>
        <w:pageBreakBefore w:val="0"/>
        <w:rPr>
          <w:sz w:val="22"/>
          <w:szCs w:val="22"/>
        </w:rPr>
      </w:pP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it is recommended that you stop in for office hours.</w:t>
      </w:r>
    </w:p>
    <w:p w:rsidR="00000000" w:rsidDel="00000000" w:rsidP="00000000" w:rsidRDefault="00000000" w:rsidRPr="00000000" w14:paraId="00000017">
      <w:pPr>
        <w:pageBreakBefore w:val="0"/>
        <w:rPr>
          <w:sz w:val="22"/>
          <w:szCs w:val="22"/>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581.8"/>
        <w:tblGridChange w:id="0">
          <w:tblGrid>
            <w:gridCol w:w="555"/>
            <w:gridCol w:w="554.4"/>
            <w:gridCol w:w="554.4"/>
            <w:gridCol w:w="554.4"/>
            <w:gridCol w:w="8581.8"/>
          </w:tblGrid>
        </w:tblGridChange>
      </w:tblGrid>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rPr>
                <w:i w:val="1"/>
                <w:sz w:val="22"/>
                <w:szCs w:val="22"/>
                <w:highlight w:val="white"/>
              </w:rPr>
            </w:pPr>
            <w:r w:rsidDel="00000000" w:rsidR="00000000" w:rsidRPr="00000000">
              <w:rPr>
                <w:i w:val="1"/>
                <w:sz w:val="22"/>
                <w:szCs w:val="22"/>
                <w:highlight w:val="white"/>
                <w:rtl w:val="0"/>
              </w:rPr>
              <w:t xml:space="preserve">I can explain deviations from Mendel’s model of the inheritance of traits  (Topic 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numPr>
                <w:ilvl w:val="0"/>
                <w:numId w:val="3"/>
              </w:numPr>
              <w:ind w:left="720" w:hanging="360"/>
              <w:rPr>
                <w:sz w:val="22"/>
                <w:szCs w:val="22"/>
              </w:rPr>
            </w:pPr>
            <w:r w:rsidDel="00000000" w:rsidR="00000000" w:rsidRPr="00000000">
              <w:rPr>
                <w:b w:val="1"/>
                <w:sz w:val="22"/>
                <w:szCs w:val="22"/>
                <w:rtl w:val="0"/>
              </w:rPr>
              <w:t xml:space="preserve">Compare and contrast </w:t>
            </w:r>
            <w:r w:rsidDel="00000000" w:rsidR="00000000" w:rsidRPr="00000000">
              <w:rPr>
                <w:sz w:val="22"/>
                <w:szCs w:val="22"/>
                <w:rtl w:val="0"/>
              </w:rPr>
              <w:t xml:space="preserve">linked genes and sex-linked genes.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numPr>
                <w:ilvl w:val="0"/>
                <w:numId w:val="3"/>
              </w:numPr>
              <w:ind w:left="720" w:hanging="360"/>
              <w:rPr>
                <w:sz w:val="22"/>
                <w:szCs w:val="22"/>
              </w:rPr>
            </w:pPr>
            <w:r w:rsidDel="00000000" w:rsidR="00000000" w:rsidRPr="00000000">
              <w:rPr>
                <w:b w:val="1"/>
                <w:sz w:val="22"/>
                <w:szCs w:val="22"/>
                <w:rtl w:val="0"/>
              </w:rPr>
              <w:t xml:space="preserve">Explain </w:t>
            </w:r>
            <w:r w:rsidDel="00000000" w:rsidR="00000000" w:rsidRPr="00000000">
              <w:rPr>
                <w:sz w:val="22"/>
                <w:szCs w:val="22"/>
                <w:rtl w:val="0"/>
              </w:rPr>
              <w:t xml:space="preserve">what map distance tells you about a pair of linked genes.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numPr>
                <w:ilvl w:val="0"/>
                <w:numId w:val="3"/>
              </w:numPr>
              <w:ind w:left="720" w:hanging="360"/>
              <w:rPr>
                <w:sz w:val="22"/>
                <w:szCs w:val="22"/>
                <w:u w:val="none"/>
              </w:rPr>
            </w:pPr>
            <w:r w:rsidDel="00000000" w:rsidR="00000000" w:rsidRPr="00000000">
              <w:rPr>
                <w:b w:val="1"/>
                <w:sz w:val="22"/>
                <w:szCs w:val="22"/>
                <w:rtl w:val="0"/>
              </w:rPr>
              <w:t xml:space="preserve">Explain </w:t>
            </w:r>
            <w:r w:rsidDel="00000000" w:rsidR="00000000" w:rsidRPr="00000000">
              <w:rPr>
                <w:sz w:val="22"/>
                <w:szCs w:val="22"/>
                <w:rtl w:val="0"/>
              </w:rPr>
              <w:t xml:space="preserve">the difference between parental type and recombinant type chromosomes.  </w:t>
            </w:r>
            <w:r w:rsidDel="00000000" w:rsidR="00000000" w:rsidRPr="00000000">
              <w:rPr>
                <w:b w:val="1"/>
                <w:sz w:val="22"/>
                <w:szCs w:val="22"/>
                <w:rtl w:val="0"/>
              </w:rPr>
              <w:t xml:space="preserve">Draw </w:t>
            </w:r>
            <w:r w:rsidDel="00000000" w:rsidR="00000000" w:rsidRPr="00000000">
              <w:rPr>
                <w:sz w:val="22"/>
                <w:szCs w:val="22"/>
                <w:rtl w:val="0"/>
              </w:rPr>
              <w:t xml:space="preserve">a diagram that illustrates the difference between the two.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numPr>
                <w:ilvl w:val="0"/>
                <w:numId w:val="3"/>
              </w:numPr>
              <w:ind w:left="720" w:hanging="360"/>
              <w:rPr>
                <w:sz w:val="22"/>
                <w:szCs w:val="22"/>
              </w:rPr>
            </w:pPr>
            <w:r w:rsidDel="00000000" w:rsidR="00000000" w:rsidRPr="00000000">
              <w:rPr>
                <w:b w:val="1"/>
                <w:sz w:val="22"/>
                <w:szCs w:val="22"/>
                <w:rtl w:val="0"/>
              </w:rPr>
              <w:t xml:space="preserve">Describe</w:t>
            </w:r>
            <w:r w:rsidDel="00000000" w:rsidR="00000000" w:rsidRPr="00000000">
              <w:rPr>
                <w:sz w:val="22"/>
                <w:szCs w:val="22"/>
                <w:rtl w:val="0"/>
              </w:rPr>
              <w:t xml:space="preserve"> how inheritance determined by multiple genes differs from Mendelian inheritance.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numPr>
                <w:ilvl w:val="0"/>
                <w:numId w:val="3"/>
              </w:numPr>
              <w:ind w:left="720" w:hanging="360"/>
              <w:rPr>
                <w:sz w:val="22"/>
                <w:szCs w:val="22"/>
              </w:rPr>
            </w:pPr>
            <w:r w:rsidDel="00000000" w:rsidR="00000000" w:rsidRPr="00000000">
              <w:rPr>
                <w:b w:val="1"/>
                <w:sz w:val="22"/>
                <w:szCs w:val="22"/>
                <w:rtl w:val="0"/>
              </w:rPr>
              <w:t xml:space="preserve"> Describe </w:t>
            </w:r>
            <w:r w:rsidDel="00000000" w:rsidR="00000000" w:rsidRPr="00000000">
              <w:rPr>
                <w:sz w:val="22"/>
                <w:szCs w:val="22"/>
                <w:rtl w:val="0"/>
              </w:rPr>
              <w:t xml:space="preserve">how non-nuclear inheritance differs from Mendelian inheritance. </w:t>
            </w:r>
            <w:r w:rsidDel="00000000" w:rsidR="00000000" w:rsidRPr="00000000">
              <w:rPr>
                <w:b w:val="1"/>
                <w:sz w:val="22"/>
                <w:szCs w:val="22"/>
                <w:rtl w:val="0"/>
              </w:rPr>
              <w:t xml:space="preserve"> </w:t>
            </w:r>
            <w:r w:rsidDel="00000000" w:rsidR="00000000" w:rsidRPr="00000000">
              <w:rPr>
                <w:rtl w:val="0"/>
              </w:rPr>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40">
            <w:pPr>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i w:val="1"/>
                <w:sz w:val="22"/>
                <w:szCs w:val="22"/>
                <w:highlight w:val="white"/>
              </w:rPr>
            </w:pPr>
            <w:r w:rsidDel="00000000" w:rsidR="00000000" w:rsidRPr="00000000">
              <w:rPr>
                <w:i w:val="1"/>
                <w:sz w:val="22"/>
                <w:szCs w:val="22"/>
                <w:highlight w:val="white"/>
                <w:rtl w:val="0"/>
              </w:rPr>
              <w:t xml:space="preserve">I can explain how the same genotype can result in multiple phenotypes under different environmental conditions. (Topic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numPr>
                <w:ilvl w:val="0"/>
                <w:numId w:val="3"/>
              </w:numPr>
              <w:ind w:left="720" w:hanging="360"/>
              <w:rPr>
                <w:sz w:val="22"/>
                <w:szCs w:val="22"/>
              </w:rPr>
            </w:pPr>
            <w:r w:rsidDel="00000000" w:rsidR="00000000" w:rsidRPr="00000000">
              <w:rPr>
                <w:b w:val="1"/>
                <w:sz w:val="22"/>
                <w:szCs w:val="22"/>
                <w:rtl w:val="0"/>
              </w:rPr>
              <w:t xml:space="preserve">Explain </w:t>
            </w:r>
            <w:r w:rsidDel="00000000" w:rsidR="00000000" w:rsidRPr="00000000">
              <w:rPr>
                <w:sz w:val="22"/>
                <w:szCs w:val="22"/>
                <w:rtl w:val="0"/>
              </w:rPr>
              <w:t xml:space="preserve">how flower color in hydrangea plants is an example of environmental conditions influencing phenotype.  </w:t>
            </w:r>
          </w:p>
        </w:tc>
      </w:tr>
    </w:tbl>
    <w:p w:rsidR="00000000" w:rsidDel="00000000" w:rsidP="00000000" w:rsidRDefault="00000000" w:rsidRPr="00000000" w14:paraId="0000004F">
      <w:pPr>
        <w:pageBreakBefore w:val="0"/>
        <w:rPr>
          <w:sz w:val="20"/>
          <w:szCs w:val="2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3872"/>
        </w:tabs>
        <w:spacing w:after="0" w:before="0" w:line="240" w:lineRule="auto"/>
        <w:rPr>
          <w:sz w:val="22"/>
          <w:szCs w:val="22"/>
        </w:rPr>
      </w:pPr>
      <w:r w:rsidDel="00000000" w:rsidR="00000000" w:rsidRPr="00000000">
        <w:rPr>
          <w:rtl w:val="0"/>
        </w:rPr>
      </w:r>
    </w:p>
    <w:tbl>
      <w:tblPr>
        <w:tblStyle w:val="Table2"/>
        <w:tblW w:w="101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66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3872"/>
              </w:tabs>
              <w:rPr>
                <w:sz w:val="22"/>
                <w:szCs w:val="22"/>
              </w:rPr>
            </w:pPr>
            <w:r w:rsidDel="00000000" w:rsidR="00000000" w:rsidRPr="00000000">
              <w:rPr>
                <w:sz w:val="22"/>
                <w:szCs w:val="22"/>
                <w:rtl w:val="0"/>
              </w:rPr>
              <w:t xml:space="preserve">Learn More:  For more information about inheritance of traits and production of gametes, follow the links below: </w:t>
            </w:r>
          </w:p>
          <w:p w:rsidR="00000000" w:rsidDel="00000000" w:rsidP="00000000" w:rsidRDefault="00000000" w:rsidRPr="00000000" w14:paraId="00000052">
            <w:pPr>
              <w:pageBreakBefore w:val="0"/>
              <w:numPr>
                <w:ilvl w:val="0"/>
                <w:numId w:val="2"/>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hyperlink r:id="rId22">
              <w:r w:rsidDel="00000000" w:rsidR="00000000" w:rsidRPr="00000000">
                <w:rPr>
                  <w:b w:val="0"/>
                  <w:color w:val="0000ff"/>
                  <w:sz w:val="22"/>
                  <w:szCs w:val="22"/>
                  <w:u w:val="single"/>
                  <w:rtl w:val="0"/>
                </w:rPr>
                <w:t xml:space="preserve">The Blue People of Troublesome Creek</w:t>
              </w:r>
            </w:hyperlink>
            <w:r w:rsidDel="00000000" w:rsidR="00000000" w:rsidRPr="00000000">
              <w:rPr>
                <w:b w:val="0"/>
                <w:sz w:val="22"/>
                <w:szCs w:val="22"/>
                <w:rtl w:val="0"/>
              </w:rPr>
              <w:t xml:space="preserve">:  interesting story about a family from Kentucky with methemoglobinemia</w:t>
            </w:r>
          </w:p>
          <w:p w:rsidR="00000000" w:rsidDel="00000000" w:rsidP="00000000" w:rsidRDefault="00000000" w:rsidRPr="00000000" w14:paraId="00000053">
            <w:pPr>
              <w:pageBreakBefore w:val="0"/>
              <w:numPr>
                <w:ilvl w:val="0"/>
                <w:numId w:val="2"/>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hyperlink r:id="rId23">
              <w:r w:rsidDel="00000000" w:rsidR="00000000" w:rsidRPr="00000000">
                <w:rPr>
                  <w:b w:val="0"/>
                  <w:color w:val="0000ff"/>
                  <w:sz w:val="22"/>
                  <w:szCs w:val="22"/>
                  <w:u w:val="single"/>
                  <w:rtl w:val="0"/>
                </w:rPr>
                <w:t xml:space="preserve">Queen Victoria and Hemophilia</w:t>
              </w:r>
            </w:hyperlink>
            <w:r w:rsidDel="00000000" w:rsidR="00000000" w:rsidRPr="00000000">
              <w:rPr>
                <w:b w:val="0"/>
                <w:sz w:val="22"/>
                <w:szCs w:val="22"/>
                <w:rtl w:val="0"/>
              </w:rPr>
              <w:t xml:space="preserve">:  Trace the passage of hemophilia through the royal families of Europe</w:t>
            </w:r>
          </w:p>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hyperlink r:id="rId24">
              <w:r w:rsidDel="00000000" w:rsidR="00000000" w:rsidRPr="00000000">
                <w:rPr>
                  <w:b w:val="0"/>
                  <w:color w:val="0000ff"/>
                  <w:sz w:val="22"/>
                  <w:szCs w:val="22"/>
                  <w:u w:val="single"/>
                  <w:rtl w:val="0"/>
                </w:rPr>
                <w:t xml:space="preserve">PBS’  The Evolution of Sex</w:t>
              </w:r>
            </w:hyperlink>
            <w:r w:rsidDel="00000000" w:rsidR="00000000" w:rsidRPr="00000000">
              <w:rPr>
                <w:b w:val="0"/>
                <w:sz w:val="22"/>
                <w:szCs w:val="22"/>
                <w:rtl w:val="0"/>
              </w:rPr>
              <w:t xml:space="preserve">:  learn why sexual reproduction is advantageous from an evolutionary standpoint</w:t>
            </w:r>
          </w:p>
        </w:tc>
      </w:tr>
    </w:tb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t xml:space="preserve">  </w:t>
      </w:r>
    </w:p>
    <w:sectPr>
      <w:footerReference r:id="rId25"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i w:val="1"/>
        <w:sz w:val="16"/>
        <w:szCs w:val="16"/>
      </w:rPr>
    </w:pPr>
    <w:r w:rsidDel="00000000" w:rsidR="00000000" w:rsidRPr="00000000">
      <w:rPr>
        <w:i w:val="1"/>
        <w:sz w:val="16"/>
        <w:szCs w:val="16"/>
        <w:rtl w:val="0"/>
      </w:rPr>
      <w:t xml:space="preserve">Topic Review Guide-Mendelian Genetics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biology.arizona.edu/mendelian_genetics/problem_sets/sex_linked_inheritance/sex_linked_inheritance.html" TargetMode="External"/><Relationship Id="rId22" Type="http://schemas.openxmlformats.org/officeDocument/2006/relationships/hyperlink" Target="http://www.indiana.edu/~oso/lessons/Blues/TheBlues.htm" TargetMode="External"/><Relationship Id="rId21" Type="http://schemas.openxmlformats.org/officeDocument/2006/relationships/hyperlink" Target="http://www.phschool.com/science/biology_place/biocoach/inheritance/intro.html" TargetMode="External"/><Relationship Id="rId24" Type="http://schemas.openxmlformats.org/officeDocument/2006/relationships/hyperlink" Target="http://www.pbs.org/wgbh/evolution/sex/advantage/index.html" TargetMode="External"/><Relationship Id="rId23" Type="http://schemas.openxmlformats.org/officeDocument/2006/relationships/hyperlink" Target="http://www.ualberta.ca/~pletendr/tm-modules/genetics/70gen-hemophi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UVjPPTnQabPQe43Vh6O1y3TCkoCr5ovuKwUjBEHsHU/edit?usp=sharing"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pclassroom.collegeboard.org/d/u20i0gool8?sui=6,5" TargetMode="External"/><Relationship Id="rId7" Type="http://schemas.openxmlformats.org/officeDocument/2006/relationships/hyperlink" Target="https://apclassroom.collegeboard.org/d/qz1enk0b1a?sui=6,5" TargetMode="External"/><Relationship Id="rId8" Type="http://schemas.openxmlformats.org/officeDocument/2006/relationships/hyperlink" Target="https://apclassroom.collegeboard.org/d/a495ltujbd?sui=6,5" TargetMode="External"/><Relationship Id="rId11" Type="http://schemas.openxmlformats.org/officeDocument/2006/relationships/hyperlink" Target="https://docs.google.com/document/d/16XFCJrTYyumP-2x9hbG3goSKE_RqvmuURNzNYlrtM78/edit?usp=sharing" TargetMode="External"/><Relationship Id="rId10" Type="http://schemas.openxmlformats.org/officeDocument/2006/relationships/hyperlink" Target="https://docs.google.com/document/d/1rO-JQhEUScyi3juQnnbo4jI-14OtAZERd68bAkzekGA/edit?usp=sharing" TargetMode="External"/><Relationship Id="rId13" Type="http://schemas.openxmlformats.org/officeDocument/2006/relationships/hyperlink" Target="http://www.bozemanscience.com/030-advanced-genetic" TargetMode="External"/><Relationship Id="rId12" Type="http://schemas.openxmlformats.org/officeDocument/2006/relationships/hyperlink" Target="https://docs.google.com/presentation/d/17bmgSoWtyoybjHVb1N2DFJYb_TJ-kltwaXk1XXsOOec/edit?usp=sharing" TargetMode="External"/><Relationship Id="rId15" Type="http://schemas.openxmlformats.org/officeDocument/2006/relationships/hyperlink" Target="http://bcs.whfreeman.com/hillis1e/#667501__674141__" TargetMode="External"/><Relationship Id="rId14" Type="http://schemas.openxmlformats.org/officeDocument/2006/relationships/hyperlink" Target="http://http/www.youtube.com/watch?v=CBezq1fFUEA" TargetMode="External"/><Relationship Id="rId17" Type="http://schemas.openxmlformats.org/officeDocument/2006/relationships/hyperlink" Target="http://dnaftb.org/#classical" TargetMode="External"/><Relationship Id="rId16" Type="http://schemas.openxmlformats.org/officeDocument/2006/relationships/hyperlink" Target="http://bcs.whfreeman.com/hillis1e/#667501__708812__" TargetMode="External"/><Relationship Id="rId19" Type="http://schemas.openxmlformats.org/officeDocument/2006/relationships/hyperlink" Target="http://www.biology.arizona.edu/mendelian_genetics/problem_sets/dihybrid_cross/dihybrid_cross.html" TargetMode="External"/><Relationship Id="rId18" Type="http://schemas.openxmlformats.org/officeDocument/2006/relationships/hyperlink" Target="http://www.biology.arizona.edu/mendelian_genetics/problem_sets/monohybrid_cross/monohybrid_cro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