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sz w:val="28"/>
          <w:szCs w:val="28"/>
        </w:rPr>
      </w:pPr>
      <w:r w:rsidDel="00000000" w:rsidR="00000000" w:rsidRPr="00000000">
        <w:rPr>
          <w:b w:val="1"/>
          <w:sz w:val="28"/>
          <w:szCs w:val="28"/>
          <w:rtl w:val="0"/>
        </w:rPr>
        <w:t xml:space="preserve">Traffic Lights</w:t>
      </w:r>
      <w:r w:rsidDel="00000000" w:rsidR="00000000" w:rsidRPr="00000000">
        <w:rPr>
          <w:sz w:val="28"/>
          <w:szCs w:val="28"/>
          <w:rtl w:val="0"/>
        </w:rPr>
        <w:t xml:space="preserve">: Heredity</w:t>
      </w:r>
    </w:p>
    <w:p w:rsidR="00000000" w:rsidDel="00000000" w:rsidP="00000000" w:rsidRDefault="00000000" w:rsidRPr="00000000" w14:paraId="00000002">
      <w:pPr>
        <w:pageBreakBefore w:val="0"/>
        <w:rPr>
          <w:i w:val="1"/>
          <w:sz w:val="24"/>
          <w:szCs w:val="24"/>
        </w:rPr>
      </w:pPr>
      <w:r w:rsidDel="00000000" w:rsidR="00000000" w:rsidRPr="00000000">
        <w:rPr>
          <w:i w:val="1"/>
          <w:sz w:val="24"/>
          <w:szCs w:val="24"/>
          <w:rtl w:val="0"/>
        </w:rPr>
        <w:t xml:space="preserve">AP Biology</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sz w:val="20"/>
          <w:szCs w:val="20"/>
          <w:rtl w:val="0"/>
        </w:rPr>
        <w:t xml:space="preserve">Traffic lights is an activity to identify and learn prefixes (ex: cata-), root words, and suffixes (ex: -ate) that are content-specific for current unit of study. Below is a list of the words followed by two blank columns.  The first column, labeled pre-assessment, is to be highlighted/colored in to indicate the level of understanding you have for the word.  Green means you know it in the context of biology, yellow means you are familiar with the word but have some uncertainty in the context of biology, and red means that you don’t know the word in any context. For any term colored red or yellow you will need to define the word, describe them in your own words, explain how each is used in the current unit and then create a visual representation of each. These must be done in your </w:t>
      </w:r>
      <w:r w:rsidDel="00000000" w:rsidR="00000000" w:rsidRPr="00000000">
        <w:rPr>
          <w:b w:val="1"/>
          <w:sz w:val="20"/>
          <w:szCs w:val="20"/>
          <w:rtl w:val="0"/>
        </w:rPr>
        <w:t xml:space="preserve">BILL</w:t>
      </w:r>
      <w:r w:rsidDel="00000000" w:rsidR="00000000" w:rsidRPr="00000000">
        <w:rPr>
          <w:sz w:val="20"/>
          <w:szCs w:val="20"/>
          <w:rtl w:val="0"/>
        </w:rPr>
        <w:t xml:space="preserve"> using foldables, notecards, or any other method that you come up with.  These are </w:t>
      </w:r>
      <w:r w:rsidDel="00000000" w:rsidR="00000000" w:rsidRPr="00000000">
        <w:rPr>
          <w:b w:val="1"/>
          <w:sz w:val="20"/>
          <w:szCs w:val="20"/>
          <w:rtl w:val="0"/>
        </w:rPr>
        <w:t xml:space="preserve">NOT</w:t>
      </w:r>
      <w:r w:rsidDel="00000000" w:rsidR="00000000" w:rsidRPr="00000000">
        <w:rPr>
          <w:sz w:val="20"/>
          <w:szCs w:val="20"/>
          <w:rtl w:val="0"/>
        </w:rPr>
        <w:t xml:space="preserve"> to be done electronically. At the end of the unit you will reevaluate your knowledge of the terms using traffic lights and take an assessment.</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815"/>
        <w:gridCol w:w="1905"/>
        <w:gridCol w:w="1500"/>
        <w:gridCol w:w="1845"/>
        <w:gridCol w:w="1920"/>
        <w:tblGridChange w:id="0">
          <w:tblGrid>
            <w:gridCol w:w="1815"/>
            <w:gridCol w:w="1815"/>
            <w:gridCol w:w="1905"/>
            <w:gridCol w:w="1500"/>
            <w:gridCol w:w="1845"/>
            <w:gridCol w:w="1920"/>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Term</w:t>
            </w:r>
          </w:p>
        </w:tc>
        <w:tc>
          <w:tcPr>
            <w:tcBorders>
              <w:top w:color="000000" w:space="0" w:sz="18" w:val="single"/>
              <w:left w:color="000000" w:space="0" w:sz="18" w:val="single"/>
              <w:bottom w:color="000000" w:space="0" w:sz="18" w:val="single"/>
              <w:right w:color="000000" w:space="0" w:sz="1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Pre-Assessment</w:t>
            </w:r>
          </w:p>
        </w:tc>
        <w:tc>
          <w:tcPr>
            <w:tcBorders>
              <w:top w:color="000000" w:space="0" w:sz="18" w:val="single"/>
              <w:left w:color="000000" w:space="0" w:sz="18" w:val="single"/>
              <w:bottom w:color="000000" w:space="0" w:sz="18" w:val="single"/>
              <w:right w:color="000000" w:space="0" w:sz="1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Post-Assessment</w:t>
            </w:r>
          </w:p>
        </w:tc>
        <w:tc>
          <w:tcPr>
            <w:tcBorders>
              <w:top w:color="000000" w:space="0" w:sz="18" w:val="single"/>
              <w:left w:color="000000" w:space="0" w:sz="18" w:val="single"/>
              <w:bottom w:color="000000" w:space="0" w:sz="18" w:val="single"/>
              <w:right w:color="000000" w:space="0" w:sz="1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Term</w:t>
            </w:r>
          </w:p>
        </w:tc>
        <w:tc>
          <w:tcPr>
            <w:tcBorders>
              <w:top w:color="000000" w:space="0" w:sz="18" w:val="single"/>
              <w:left w:color="000000" w:space="0" w:sz="18" w:val="single"/>
              <w:bottom w:color="000000" w:space="0" w:sz="18" w:val="single"/>
              <w:right w:color="000000" w:space="0" w:sz="1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Pre-Assessment</w:t>
            </w:r>
          </w:p>
        </w:tc>
        <w:tc>
          <w:tcPr>
            <w:tcBorders>
              <w:top w:color="000000" w:space="0" w:sz="18" w:val="single"/>
              <w:left w:color="000000" w:space="0" w:sz="18" w:val="single"/>
              <w:bottom w:color="000000" w:space="0" w:sz="18" w:val="single"/>
              <w:right w:color="000000" w:space="0" w:sz="1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Post-Assessment</w:t>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Pedigree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F">
            <w:pPr>
              <w:pageBreakBefore w:val="0"/>
              <w:tabs>
                <w:tab w:val="right" w:pos="1998"/>
              </w:tabs>
              <w:spacing w:line="240" w:lineRule="auto"/>
              <w:rPr>
                <w:b w:val="1"/>
                <w:sz w:val="20"/>
                <w:szCs w:val="20"/>
              </w:rPr>
            </w:pPr>
            <w:r w:rsidDel="00000000" w:rsidR="00000000" w:rsidRPr="00000000">
              <w:rPr>
                <w:b w:val="1"/>
                <w:sz w:val="20"/>
                <w:szCs w:val="20"/>
                <w:rtl w:val="0"/>
              </w:rPr>
              <w:t xml:space="preserve">Phenotype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Sex-Linked Traits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276" w:lineRule="auto"/>
              <w:rPr>
                <w:b w:val="1"/>
                <w:sz w:val="20"/>
                <w:szCs w:val="20"/>
              </w:rPr>
            </w:pPr>
            <w:r w:rsidDel="00000000" w:rsidR="00000000" w:rsidRPr="00000000">
              <w:rPr>
                <w:b w:val="1"/>
                <w:sz w:val="20"/>
                <w:szCs w:val="20"/>
                <w:rtl w:val="0"/>
              </w:rPr>
              <w:t xml:space="preserve">Dominant</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 Generation</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276" w:lineRule="auto"/>
              <w:rPr>
                <w:b w:val="1"/>
                <w:sz w:val="20"/>
                <w:szCs w:val="20"/>
              </w:rPr>
            </w:pPr>
            <w:r w:rsidDel="00000000" w:rsidR="00000000" w:rsidRPr="00000000">
              <w:rPr>
                <w:b w:val="1"/>
                <w:sz w:val="20"/>
                <w:szCs w:val="20"/>
                <w:rtl w:val="0"/>
              </w:rPr>
              <w:t xml:space="preserve">Test Cross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b w:val="1"/>
                <w:sz w:val="20"/>
                <w:szCs w:val="20"/>
              </w:rPr>
            </w:pPr>
            <w:r w:rsidDel="00000000" w:rsidR="00000000" w:rsidRPr="00000000">
              <w:rPr>
                <w:b w:val="1"/>
                <w:sz w:val="20"/>
                <w:szCs w:val="20"/>
                <w:rtl w:val="0"/>
              </w:rPr>
              <w:t xml:space="preserve">F2 Generation</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1">
            <w:pPr>
              <w:pageBreakBefore w:val="0"/>
              <w:pBdr>
                <w:top w:color="000000" w:space="0" w:sz="0" w:val="none"/>
                <w:left w:color="000000" w:space="0" w:sz="0" w:val="none"/>
                <w:bottom w:color="000000" w:space="0" w:sz="0" w:val="none"/>
                <w:right w:color="000000" w:space="0" w:sz="0" w:val="none"/>
                <w:between w:color="000000" w:space="0" w:sz="0" w:val="none"/>
              </w:pBdr>
              <w:tabs>
                <w:tab w:val="right" w:pos="1998"/>
              </w:tabs>
              <w:spacing w:line="276" w:lineRule="auto"/>
              <w:rPr>
                <w:b w:val="1"/>
                <w:sz w:val="20"/>
                <w:szCs w:val="20"/>
              </w:rPr>
            </w:pPr>
            <w:r w:rsidDel="00000000" w:rsidR="00000000" w:rsidRPr="00000000">
              <w:rPr>
                <w:b w:val="1"/>
                <w:sz w:val="20"/>
                <w:szCs w:val="20"/>
                <w:rtl w:val="0"/>
              </w:rPr>
              <w:t xml:space="preserve">Recessive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F1 Generation</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7">
            <w:pPr>
              <w:pageBreakBefore w:val="0"/>
              <w:spacing w:line="240" w:lineRule="auto"/>
              <w:rPr>
                <w:b w:val="1"/>
                <w:sz w:val="20"/>
                <w:szCs w:val="20"/>
              </w:rPr>
            </w:pPr>
            <w:r w:rsidDel="00000000" w:rsidR="00000000" w:rsidRPr="00000000">
              <w:rPr>
                <w:b w:val="1"/>
                <w:sz w:val="20"/>
                <w:szCs w:val="20"/>
                <w:rtl w:val="0"/>
              </w:rPr>
              <w:t xml:space="preserve">Somatic Cell</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b w:val="1"/>
                <w:sz w:val="20"/>
                <w:szCs w:val="20"/>
              </w:rPr>
            </w:pPr>
            <w:r w:rsidDel="00000000" w:rsidR="00000000" w:rsidRPr="00000000">
              <w:rPr>
                <w:b w:val="1"/>
                <w:sz w:val="20"/>
                <w:szCs w:val="20"/>
                <w:rtl w:val="0"/>
              </w:rPr>
              <w:t xml:space="preserve">Homologous Chromosome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D">
            <w:pPr>
              <w:pageBreakBefore w:val="0"/>
              <w:spacing w:line="240" w:lineRule="auto"/>
              <w:rPr>
                <w:b w:val="1"/>
                <w:sz w:val="20"/>
                <w:szCs w:val="20"/>
              </w:rPr>
            </w:pPr>
            <w:r w:rsidDel="00000000" w:rsidR="00000000" w:rsidRPr="00000000">
              <w:rPr>
                <w:b w:val="1"/>
                <w:sz w:val="20"/>
                <w:szCs w:val="20"/>
                <w:rtl w:val="0"/>
              </w:rPr>
              <w:t xml:space="preserve">Sister Chromatid</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b w:val="1"/>
                <w:sz w:val="20"/>
                <w:szCs w:val="20"/>
              </w:rPr>
            </w:pPr>
            <w:r w:rsidDel="00000000" w:rsidR="00000000" w:rsidRPr="00000000">
              <w:rPr>
                <w:b w:val="1"/>
                <w:sz w:val="20"/>
                <w:szCs w:val="20"/>
                <w:rtl w:val="0"/>
              </w:rPr>
              <w:t xml:space="preserve">Law of Segregation</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b w:val="1"/>
                <w:sz w:val="20"/>
                <w:szCs w:val="20"/>
              </w:rPr>
            </w:pPr>
            <w:r w:rsidDel="00000000" w:rsidR="00000000" w:rsidRPr="00000000">
              <w:rPr>
                <w:b w:val="1"/>
                <w:sz w:val="20"/>
                <w:szCs w:val="20"/>
                <w:rtl w:val="0"/>
              </w:rPr>
              <w:t xml:space="preserve">Law of Independent Assortment</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276" w:lineRule="auto"/>
              <w:rPr>
                <w:b w:val="1"/>
                <w:sz w:val="20"/>
                <w:szCs w:val="20"/>
              </w:rPr>
            </w:pPr>
            <w:r w:rsidDel="00000000" w:rsidR="00000000" w:rsidRPr="00000000">
              <w:rPr>
                <w:b w:val="1"/>
                <w:sz w:val="20"/>
                <w:szCs w:val="20"/>
                <w:rtl w:val="0"/>
              </w:rPr>
              <w:t xml:space="preserve">Nondisjunction</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sz w:val="20"/>
                <w:szCs w:val="20"/>
              </w:rPr>
            </w:pPr>
            <w:r w:rsidDel="00000000" w:rsidR="00000000" w:rsidRPr="00000000">
              <w:rPr>
                <w:b w:val="1"/>
                <w:sz w:val="20"/>
                <w:szCs w:val="20"/>
                <w:rtl w:val="0"/>
              </w:rPr>
              <w:t xml:space="preserve">Genotype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276" w:lineRule="auto"/>
              <w:rPr>
                <w:b w:val="1"/>
                <w:sz w:val="20"/>
                <w:szCs w:val="20"/>
              </w:rPr>
            </w:pPr>
            <w:r w:rsidDel="00000000" w:rsidR="00000000" w:rsidRPr="00000000">
              <w:rPr>
                <w:b w:val="1"/>
                <w:sz w:val="20"/>
                <w:szCs w:val="20"/>
                <w:rtl w:val="0"/>
              </w:rPr>
              <w:t xml:space="preserve">Crossing Over</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sz w:val="20"/>
                <w:szCs w:val="20"/>
              </w:rPr>
            </w:pPr>
            <w:r w:rsidDel="00000000" w:rsidR="00000000" w:rsidRPr="00000000">
              <w:rPr>
                <w:b w:val="1"/>
                <w:sz w:val="20"/>
                <w:szCs w:val="20"/>
                <w:rtl w:val="0"/>
              </w:rPr>
              <w:t xml:space="preserve">Incomplete Dominance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b w:val="1"/>
                <w:sz w:val="20"/>
                <w:szCs w:val="20"/>
              </w:rPr>
            </w:pPr>
            <w:r w:rsidDel="00000000" w:rsidR="00000000" w:rsidRPr="00000000">
              <w:rPr>
                <w:b w:val="1"/>
                <w:sz w:val="20"/>
                <w:szCs w:val="20"/>
                <w:rtl w:val="0"/>
              </w:rPr>
              <w:t xml:space="preserve">Germ Cell</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b w:val="1"/>
                <w:sz w:val="20"/>
                <w:szCs w:val="20"/>
              </w:rPr>
            </w:pPr>
            <w:r w:rsidDel="00000000" w:rsidR="00000000" w:rsidRPr="00000000">
              <w:rPr>
                <w:b w:val="1"/>
                <w:sz w:val="20"/>
                <w:szCs w:val="20"/>
                <w:rtl w:val="0"/>
              </w:rPr>
              <w:t xml:space="preserve">Non-Nuclear Inheritance</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276" w:lineRule="auto"/>
              <w:rPr>
                <w:b w:val="1"/>
                <w:sz w:val="20"/>
                <w:szCs w:val="20"/>
              </w:rPr>
            </w:pPr>
            <w:r w:rsidDel="00000000" w:rsidR="00000000" w:rsidRPr="00000000">
              <w:rPr>
                <w:b w:val="1"/>
                <w:sz w:val="20"/>
                <w:szCs w:val="20"/>
                <w:rtl w:val="0"/>
              </w:rPr>
              <w:t xml:space="preserve">Homozygous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pBdr>
                <w:top w:color="000000" w:space="0" w:sz="0" w:val="none"/>
                <w:left w:color="000000" w:space="0" w:sz="0" w:val="none"/>
                <w:bottom w:color="000000" w:space="0" w:sz="0" w:val="none"/>
                <w:right w:color="000000" w:space="0" w:sz="0" w:val="none"/>
                <w:between w:color="000000" w:space="0" w:sz="0" w:val="none"/>
              </w:pBdr>
              <w:spacing w:line="240" w:lineRule="auto"/>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sz w:val="20"/>
                <w:szCs w:val="20"/>
              </w:rPr>
            </w:pPr>
            <w:r w:rsidDel="00000000" w:rsidR="00000000" w:rsidRPr="00000000">
              <w:rPr>
                <w:b w:val="1"/>
                <w:sz w:val="20"/>
                <w:szCs w:val="20"/>
                <w:rtl w:val="0"/>
              </w:rPr>
              <w:t xml:space="preserve">heterozygous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b w:val="1"/>
                <w:sz w:val="20"/>
                <w:szCs w:val="20"/>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4">
      <w:pPr>
        <w:pageBreakBefore w:val="0"/>
        <w:spacing w:line="276" w:lineRule="auto"/>
        <w:rPr/>
      </w:pPr>
      <w:r w:rsidDel="00000000" w:rsidR="00000000" w:rsidRPr="00000000">
        <w:rPr>
          <w:rtl w:val="0"/>
        </w:rPr>
      </w:r>
    </w:p>
    <w:p w:rsidR="00000000" w:rsidDel="00000000" w:rsidP="00000000" w:rsidRDefault="00000000" w:rsidRPr="00000000" w14:paraId="00000055">
      <w:pPr>
        <w:pageBreakBefore w:val="0"/>
        <w:spacing w:line="240" w:lineRule="auto"/>
        <w:rPr>
          <w:b w:val="1"/>
          <w:u w:val="single"/>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pageBreakBefore w:val="0"/>
      <w:rPr/>
    </w:pPr>
    <w:r w:rsidDel="00000000" w:rsidR="00000000" w:rsidRPr="00000000">
      <w:rPr>
        <w:rtl w:val="0"/>
      </w:rPr>
    </w:r>
  </w:p>
  <w:tbl>
    <w:tblPr>
      <w:tblStyle w:val="Table2"/>
      <w:tblW w:w="10800.0" w:type="dxa"/>
      <w:jc w:val="righ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drawing>
              <wp:inline distB="114300" distT="114300" distL="114300" distR="114300">
                <wp:extent cx="1062038" cy="571180"/>
                <wp:effectExtent b="0" l="0" r="0" t="0"/>
                <wp:docPr id="1" name="image1.gif"/>
                <a:graphic>
                  <a:graphicData uri="http://schemas.openxmlformats.org/drawingml/2006/picture">
                    <pic:pic>
                      <pic:nvPicPr>
                        <pic:cNvPr id="0" name="image1.gif"/>
                        <pic:cNvPicPr preferRelativeResize="0"/>
                      </pic:nvPicPr>
                      <pic:blipFill>
                        <a:blip r:embed="rId1"/>
                        <a:srcRect b="0" l="0" r="0" t="0"/>
                        <a:stretch>
                          <a:fillRect/>
                        </a:stretch>
                      </pic:blipFill>
                      <pic:spPr>
                        <a:xfrm>
                          <a:off x="0" y="0"/>
                          <a:ext cx="1062038" cy="57118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A">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