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: Genetic Variation at the Molecular level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This activity involves two tasks. In task one, you will conduct an analysis of the changes to beta-globin in sickle cell anemia and propose hypothetical explanations of how changes in beta-globin might affect the structure and function of the hemoglobin protein. In task two, you will research the effect of the beta-globin mutation on the structure and function of hemoglobin and compose a brief written response explaining the effect of the mutation and describing how your research has led to the revision and/or expansion of your original hypothesis. Complete all Tasks in your </w:t>
      </w:r>
      <w:r w:rsidDel="00000000" w:rsidR="00000000" w:rsidRPr="00000000">
        <w:rPr>
          <w:b w:val="1"/>
          <w:rtl w:val="0"/>
        </w:rPr>
        <w:t xml:space="preserve">BILL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Analysis of beta-globin sequence (Individual)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following sequence data is taken from the coding region of two alleles of the human beta-globin gene. The Hb-b allele produces a phenotypically normal beta-globin molecule. The Hb-s allele produces a beta-globin variant that is associated with sickle cell anemia.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Hb-b sequence</w:t>
      </w:r>
    </w:p>
    <w:tbl>
      <w:tblPr>
        <w:tblStyle w:val="Table1"/>
        <w:tblW w:w="1080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  <w:tblGridChange w:id="0">
          <w:tblGrid>
            <w:gridCol w:w="1350"/>
            <w:gridCol w:w="1350"/>
            <w:gridCol w:w="1350"/>
            <w:gridCol w:w="1350"/>
            <w:gridCol w:w="1350"/>
            <w:gridCol w:w="1350"/>
            <w:gridCol w:w="13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Amino Acids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Hb-s sequence</w:t>
      </w:r>
    </w:p>
    <w:tbl>
      <w:tblPr>
        <w:tblStyle w:val="Table2"/>
        <w:tblW w:w="1080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  <w:tblGridChange w:id="0">
          <w:tblGrid>
            <w:gridCol w:w="1350"/>
            <w:gridCol w:w="1350"/>
            <w:gridCol w:w="1350"/>
            <w:gridCol w:w="1350"/>
            <w:gridCol w:w="1350"/>
            <w:gridCol w:w="1350"/>
            <w:gridCol w:w="13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Amino Acids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Transcribe the sequence data into mRNA and determine the amino acids that will be produced when the sequence is translated at the ribosome. A codon chart has been provided for your reference. 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amino acid chemistry chart to color-code the amino acids in the Hb-b and Hb-s sequences: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any nonpolar amino acids yellow.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any polar amino acids green.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any amino acids with positively charged side chains orange. 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any amino acids with negatively charged side chains purple.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results of your analysis to answer the questions: 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the Hb-b allele and the Hb-s allele at the DNA level?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difference that you have described affect the amino acid sequence?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Propose an explanation for how this mutation might affect the structure and function of the Beta-globin polypeptide.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Codon chart needed for Task 1:</w:t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6200" cy="27051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Amino acid chemistry chart needed for Task 1: 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Positively charged amino acids: 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Arginine (ARG) 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Histidine(HIS)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Lysine (LYS)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Negatively charged amino acids: 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Aspartic Acid (ASP) 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Glutamic Acid (GLU)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Polar, uncharged amino acids: 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Serine (SER) 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Cysteine (CYS) 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Threonine (THR) 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Tyrosine (TYR) 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Asparagine (ASP) 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Glutamine (GLN)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Nonpolar amino acids: 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Alanine (ALA) 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Tryptophan (TRP) 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Isoleucine (ILE) 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Phenylalanine (PHE) 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Leucine (LEU) 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Glycine (GLY) 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Methionine (MET) 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Proline (PRO) 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Valine (VAL)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Check your hypothesis </w:t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Conduct independent research to address each of the following: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mutation in sickle cell anemia affect the structure and function of the hemoglobin molecule?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 your answer to your hypothesized explanation in question 2C of Task 1.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your original answer has been revised and/or expanded as a result of your research. 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62038" cy="571180"/>
                <wp:effectExtent b="0" l="0" r="0" t="0"/>
                <wp:docPr id="2" name="image1.gif"/>
                <a:graphic>
                  <a:graphicData uri="http://schemas.openxmlformats.org/drawingml/2006/picture">
                    <pic:pic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038" cy="571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