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Проверил текущую фактуру проекта: </w:t>
      </w:r>
      <w:r>
        <w:rPr>
          <w:rFonts w:ascii="Courier" w:hAnsi="Courier" w:cs="Courier"/>
          <w:sz w:val="26"/>
          <w:sz-cs w:val="26"/>
          <w:spacing w:val="0"/>
        </w:rPr>
        <w:t xml:space="preserve">pytest</w:t>
      </w:r>
      <w:r>
        <w:rPr>
          <w:rFonts w:ascii="Times" w:hAnsi="Times" w:cs="Times"/>
          <w:sz w:val="24"/>
          <w:sz-cs w:val="24"/>
          <w:spacing w:val="0"/>
        </w:rPr>
        <w:t xml:space="preserve"> 33/33, </w:t>
      </w:r>
      <w:r>
        <w:rPr>
          <w:rFonts w:ascii="Courier" w:hAnsi="Courier" w:cs="Courier"/>
          <w:sz w:val="26"/>
          <w:sz-cs w:val="26"/>
          <w:spacing w:val="0"/>
        </w:rPr>
        <w:t xml:space="preserve">run_consistency.py</w:t>
      </w:r>
      <w:r>
        <w:rPr>
          <w:rFonts w:ascii="Times" w:hAnsi="Times" w:cs="Times"/>
          <w:sz w:val="24"/>
          <w:sz-cs w:val="24"/>
          <w:spacing w:val="0"/>
        </w:rPr>
        <w:t xml:space="preserve"> OK, </w:t>
      </w:r>
      <w:r>
        <w:rPr>
          <w:rFonts w:ascii="Courier" w:hAnsi="Courier" w:cs="Courier"/>
          <w:sz w:val="26"/>
          <w:sz-cs w:val="26"/>
          <w:spacing w:val="0"/>
        </w:rPr>
        <w:t xml:space="preserve">poetry check --lock</w:t>
      </w:r>
      <w:r>
        <w:rPr>
          <w:rFonts w:ascii="Times" w:hAnsi="Times" w:cs="Times"/>
          <w:sz w:val="24"/>
          <w:sz-cs w:val="24"/>
          <w:spacing w:val="0"/>
        </w:rPr>
        <w:t xml:space="preserve"> OK. Текущий артефакт: </w:t>
      </w:r>
      <w:r>
        <w:rPr>
          <w:rFonts w:ascii="Times" w:hAnsi="Times" w:cs="Times"/>
          <w:sz w:val="24"/>
          <w:sz-cs w:val="24"/>
          <w:b/>
          <w:spacing w:val="0"/>
        </w:rPr>
        <w:t xml:space="preserve">1093 лабораторных опыта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Times" w:hAnsi="Times" w:cs="Times"/>
          <w:sz w:val="24"/>
          <w:sz-cs w:val="24"/>
          <w:b/>
          <w:spacing w:val="0"/>
        </w:rPr>
        <w:t xml:space="preserve">20 объектов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640</w:t>
      </w:r>
      <w:r>
        <w:rPr>
          <w:rFonts w:ascii="Times" w:hAnsi="Times" w:cs="Times"/>
          <w:sz w:val="24"/>
          <w:sz-cs w:val="24"/>
          <w:spacing w:val="0"/>
        </w:rPr>
        <w:t xml:space="preserve"> liquefaction / </w:t>
      </w:r>
      <w:r>
        <w:rPr>
          <w:rFonts w:ascii="Courier" w:hAnsi="Courier" w:cs="Courier"/>
          <w:sz w:val="26"/>
          <w:sz-cs w:val="26"/>
          <w:spacing w:val="0"/>
        </w:rPr>
        <w:t xml:space="preserve">453</w:t>
      </w:r>
      <w:r>
        <w:rPr>
          <w:rFonts w:ascii="Times" w:hAnsi="Times" w:cs="Times"/>
          <w:sz w:val="24"/>
          <w:sz-cs w:val="24"/>
          <w:spacing w:val="0"/>
        </w:rPr>
        <w:t xml:space="preserve"> non-liq, </w:t>
      </w:r>
      <w:r>
        <w:rPr>
          <w:rFonts w:ascii="Courier" w:hAnsi="Courier" w:cs="Courier"/>
          <w:sz w:val="26"/>
          <w:sz-cs w:val="26"/>
          <w:spacing w:val="0"/>
        </w:rPr>
        <w:t xml:space="preserve">419</w:t>
      </w:r>
      <w:r>
        <w:rPr>
          <w:rFonts w:ascii="Times" w:hAnsi="Times" w:cs="Times"/>
          <w:sz w:val="24"/>
          <w:sz-cs w:val="24"/>
          <w:spacing w:val="0"/>
        </w:rPr>
        <w:t xml:space="preserve"> опытов с measured CRR. Split: train </w:t>
      </w:r>
      <w:r>
        <w:rPr>
          <w:rFonts w:ascii="Courier" w:hAnsi="Courier" w:cs="Courier"/>
          <w:sz w:val="26"/>
          <w:sz-cs w:val="26"/>
          <w:spacing w:val="0"/>
        </w:rPr>
        <w:t xml:space="preserve">649</w:t>
      </w:r>
      <w:r>
        <w:rPr>
          <w:rFonts w:ascii="Times" w:hAnsi="Times" w:cs="Times"/>
          <w:sz w:val="24"/>
          <w:sz-cs w:val="24"/>
          <w:spacing w:val="0"/>
        </w:rPr>
        <w:t xml:space="preserve">, val </w:t>
      </w:r>
      <w:r>
        <w:rPr>
          <w:rFonts w:ascii="Courier" w:hAnsi="Courier" w:cs="Courier"/>
          <w:sz w:val="26"/>
          <w:sz-cs w:val="26"/>
          <w:spacing w:val="0"/>
        </w:rPr>
        <w:t xml:space="preserve">276</w:t>
      </w:r>
      <w:r>
        <w:rPr>
          <w:rFonts w:ascii="Times" w:hAnsi="Times" w:cs="Times"/>
          <w:sz w:val="24"/>
          <w:sz-cs w:val="24"/>
          <w:spacing w:val="0"/>
        </w:rPr>
        <w:t xml:space="preserve">, test </w:t>
      </w:r>
      <w:r>
        <w:rPr>
          <w:rFonts w:ascii="Courier" w:hAnsi="Courier" w:cs="Courier"/>
          <w:sz w:val="26"/>
          <w:sz-cs w:val="26"/>
          <w:spacing w:val="0"/>
        </w:rPr>
        <w:t xml:space="preserve">168</w:t>
      </w:r>
      <w:r>
        <w:rPr>
          <w:rFonts w:ascii="Times" w:hAnsi="Times" w:cs="Times"/>
          <w:sz w:val="24"/>
          <w:sz-cs w:val="24"/>
          <w:spacing w:val="0"/>
        </w:rPr>
        <w:t xml:space="preserve">; grouped/site-held-out включён.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По AAAI-27: официальный CFP сейчас даёт </w:t>
      </w:r>
      <w:r>
        <w:rPr>
          <w:rFonts w:ascii="Times" w:hAnsi="Times" w:cs="Times"/>
          <w:sz w:val="24"/>
          <w:sz-cs w:val="24"/>
          <w:b/>
          <w:spacing w:val="0"/>
        </w:rPr>
        <w:t xml:space="preserve">7 страниц technical content + references</w:t>
      </w:r>
      <w:r>
        <w:rPr>
          <w:rFonts w:ascii="Times" w:hAnsi="Times" w:cs="Times"/>
          <w:sz w:val="24"/>
          <w:sz-cs w:val="24"/>
          <w:spacing w:val="0"/>
        </w:rPr>
        <w:t xml:space="preserve">, abstract deadline </w:t>
      </w:r>
      <w:r>
        <w:rPr>
          <w:rFonts w:ascii="Times" w:hAnsi="Times" w:cs="Times"/>
          <w:sz w:val="24"/>
          <w:sz-cs w:val="24"/>
          <w:b/>
          <w:spacing w:val="0"/>
        </w:rPr>
        <w:t xml:space="preserve">July 21, 2026</w:t>
      </w:r>
      <w:r>
        <w:rPr>
          <w:rFonts w:ascii="Times" w:hAnsi="Times" w:cs="Times"/>
          <w:sz w:val="24"/>
          <w:sz-cs w:val="24"/>
          <w:spacing w:val="0"/>
        </w:rPr>
        <w:t xml:space="preserve">, full paper </w:t>
      </w:r>
      <w:r>
        <w:rPr>
          <w:rFonts w:ascii="Times" w:hAnsi="Times" w:cs="Times"/>
          <w:sz w:val="24"/>
          <w:sz-cs w:val="24"/>
          <w:b/>
          <w:spacing w:val="0"/>
        </w:rPr>
        <w:t xml:space="preserve">July 28, 2026</w:t>
      </w:r>
      <w:r>
        <w:rPr>
          <w:rFonts w:ascii="Times" w:hAnsi="Times" w:cs="Times"/>
          <w:sz w:val="24"/>
          <w:sz-cs w:val="24"/>
          <w:spacing w:val="0"/>
        </w:rPr>
        <w:t xml:space="preserve">, supplementary/code </w:t>
      </w:r>
      <w:r>
        <w:rPr>
          <w:rFonts w:ascii="Times" w:hAnsi="Times" w:cs="Times"/>
          <w:sz w:val="24"/>
          <w:sz-cs w:val="24"/>
          <w:b/>
          <w:spacing w:val="0"/>
        </w:rPr>
        <w:t xml:space="preserve">July 31, 2026</w:t>
      </w:r>
      <w:r>
        <w:rPr>
          <w:rFonts w:ascii="Times" w:hAnsi="Times" w:cs="Times"/>
          <w:sz w:val="24"/>
          <w:sz-cs w:val="24"/>
          <w:spacing w:val="0"/>
        </w:rPr>
        <w:t xml:space="preserve">. Источник: </w:t>
      </w:r>
      <w:r>
        <w:rPr>
          <w:rFonts w:ascii="Times" w:hAnsi="Times" w:cs="Times"/>
          <w:sz w:val="24"/>
          <w:sz-cs w:val="24"/>
          <w:u w:val="single"/>
          <w:spacing w:val="0"/>
          <w:color w:val="0000E9"/>
        </w:rPr>
        <w:t xml:space="preserve">AAAI-27 Main Technical Track Call</w:t>
      </w:r>
      <w:r>
        <w:rPr>
          <w:rFonts w:ascii="Times" w:hAnsi="Times" w:cs="Times"/>
          <w:sz w:val="24"/>
          <w:sz-cs w:val="24"/>
          <w:spacing w:val="0"/>
        </w:rPr>
        <w:t xml:space="preserve"> и </w:t>
      </w:r>
      <w:r>
        <w:rPr>
          <w:rFonts w:ascii="Times" w:hAnsi="Times" w:cs="Times"/>
          <w:sz w:val="24"/>
          <w:sz-cs w:val="24"/>
          <w:u w:val="single"/>
          <w:spacing w:val="0"/>
          <w:color w:val="0000E9"/>
        </w:rPr>
        <w:t xml:space="preserve">AAAI-27 timetable</w:t>
      </w:r>
      <w:r>
        <w:rPr>
          <w:rFonts w:ascii="Times" w:hAnsi="Times" w:cs="Times"/>
          <w:sz w:val="24"/>
          <w:sz-cs w:val="24"/>
          <w:spacing w:val="0"/>
        </w:rPr>
        <w:t xml:space="preserve">.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Критическая Оценка Рекомендации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Я бы оставил title ближе к первому: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Physics-Constrained Conditional Flows for Liquefaction Onset Forecasting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Слово </w:t>
      </w:r>
      <w:r>
        <w:rPr>
          <w:rFonts w:ascii="Times" w:hAnsi="Times" w:cs="Times"/>
          <w:sz w:val="24"/>
          <w:sz-cs w:val="24"/>
          <w:b/>
          <w:spacing w:val="0"/>
        </w:rPr>
        <w:t xml:space="preserve">Calibrated</w:t>
      </w:r>
      <w:r>
        <w:rPr>
          <w:rFonts w:ascii="Times" w:hAnsi="Times" w:cs="Times"/>
          <w:sz w:val="24"/>
          <w:sz-cs w:val="24"/>
          <w:spacing w:val="0"/>
        </w:rPr>
        <w:t xml:space="preserve"> в title пока рискованно. DPI-Flow имеет хороший coverage </w:t>
      </w:r>
      <w:r>
        <w:rPr>
          <w:rFonts w:ascii="Courier" w:hAnsi="Courier" w:cs="Courier"/>
          <w:sz w:val="26"/>
          <w:sz-cs w:val="26"/>
          <w:spacing w:val="0"/>
        </w:rPr>
        <w:t xml:space="preserve">Coverage@90=0.975</w:t>
      </w:r>
      <w:r>
        <w:rPr>
          <w:rFonts w:ascii="Times" w:hAnsi="Times" w:cs="Times"/>
          <w:sz w:val="24"/>
          <w:sz-cs w:val="24"/>
          <w:spacing w:val="0"/>
        </w:rPr>
        <w:t xml:space="preserve">, но это скорее conservative uncertainty, не идеально calibrated uncertainty. Calibration можно заявлять как результат/раздел, но не как главный title-claim, пока нет сильной reliability story.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Главный герой DPI-Flow — да. Это лучший центр статьи, потому что: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лучший admissible P³ score: </w:t>
      </w:r>
      <w:r>
        <w:rPr>
          <w:rFonts w:ascii="Courier" w:hAnsi="Courier" w:cs="Courier"/>
          <w:sz w:val="26"/>
          <w:sz-cs w:val="26"/>
          <w:spacing w:val="0"/>
        </w:rPr>
        <w:t xml:space="preserve">524.24</w:t>
      </w:r>
      <w:r>
        <w:rPr>
          <w:rFonts w:ascii="Times" w:hAnsi="Times" w:cs="Times"/>
          <w:sz w:val="24"/>
          <w:sz-cs w:val="24"/>
          <w:spacing w:val="0"/>
        </w:rPr>
        <w:t xml:space="preserve">;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лучший </w:t>
      </w:r>
      <w:r>
        <w:rPr>
          <w:rFonts w:ascii="Courier" w:hAnsi="Courier" w:cs="Courier"/>
          <w:sz w:val="26"/>
          <w:sz-cs w:val="26"/>
          <w:spacing w:val="0"/>
        </w:rPr>
        <w:t xml:space="preserve">N_liq_logMAE</w:t>
      </w:r>
      <w:r>
        <w:rPr>
          <w:rFonts w:ascii="Times" w:hAnsi="Times" w:cs="Times"/>
          <w:sz w:val="24"/>
          <w:sz-cs w:val="24"/>
          <w:spacing w:val="0"/>
        </w:rPr>
        <w:t xml:space="preserve"> среди trajectory+physics моделей: </w:t>
      </w:r>
      <w:r>
        <w:rPr>
          <w:rFonts w:ascii="Courier" w:hAnsi="Courier" w:cs="Courier"/>
          <w:sz w:val="26"/>
          <w:sz-cs w:val="26"/>
          <w:spacing w:val="0"/>
        </w:rPr>
        <w:t xml:space="preserve">0.1639</w:t>
      </w:r>
      <w:r>
        <w:rPr>
          <w:rFonts w:ascii="Times" w:hAnsi="Times" w:cs="Times"/>
          <w:sz w:val="24"/>
          <w:sz-cs w:val="24"/>
          <w:spacing w:val="0"/>
        </w:rPr>
        <w:t xml:space="preserve">;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лучший </w:t>
      </w:r>
      <w:r>
        <w:rPr>
          <w:rFonts w:ascii="Courier" w:hAnsi="Courier" w:cs="Courier"/>
          <w:sz w:val="26"/>
          <w:sz-cs w:val="26"/>
          <w:spacing w:val="0"/>
        </w:rPr>
        <w:t xml:space="preserve">N_liq_MAE</w:t>
      </w:r>
      <w:r>
        <w:rPr>
          <w:rFonts w:ascii="Times" w:hAnsi="Times" w:cs="Times"/>
          <w:sz w:val="24"/>
          <w:sz-cs w:val="24"/>
          <w:spacing w:val="0"/>
        </w:rPr>
        <w:t xml:space="preserve"> среди всех trajectory-моделей: </w:t>
      </w:r>
      <w:r>
        <w:rPr>
          <w:rFonts w:ascii="Courier" w:hAnsi="Courier" w:cs="Courier"/>
          <w:sz w:val="26"/>
          <w:sz-cs w:val="26"/>
          <w:spacing w:val="0"/>
        </w:rPr>
        <w:t xml:space="preserve">38.92 cycles</w:t>
      </w:r>
      <w:r>
        <w:rPr>
          <w:rFonts w:ascii="Times" w:hAnsi="Times" w:cs="Times"/>
          <w:sz w:val="24"/>
          <w:sz-cs w:val="24"/>
          <w:spacing w:val="0"/>
        </w:rPr>
        <w:t xml:space="preserve">;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нулевая physics violation rate;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даёт CRR, trajectories, risk, uncertainty, latent physical parameters.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Но честный нюанс: raw </w:t>
      </w:r>
      <w:r>
        <w:rPr>
          <w:rFonts w:ascii="Courier" w:hAnsi="Courier" w:cs="Courier"/>
          <w:sz w:val="26"/>
          <w:sz-cs w:val="26"/>
          <w:spacing w:val="0"/>
        </w:rPr>
        <w:t xml:space="preserve">Traj_RMSE</w:t>
      </w:r>
      <w:r>
        <w:rPr>
          <w:rFonts w:ascii="Times" w:hAnsi="Times" w:cs="Times"/>
          <w:sz w:val="24"/>
          <w:sz-cs w:val="24"/>
          <w:spacing w:val="0"/>
        </w:rPr>
        <w:t xml:space="preserve">/</w:t>
      </w:r>
      <w:r>
        <w:rPr>
          <w:rFonts w:ascii="Courier" w:hAnsi="Courier" w:cs="Courier"/>
          <w:sz w:val="26"/>
          <w:sz-cs w:val="26"/>
          <w:spacing w:val="0"/>
        </w:rPr>
        <w:t xml:space="preserve">CRPS</w:t>
      </w:r>
      <w:r>
        <w:rPr>
          <w:rFonts w:ascii="Times" w:hAnsi="Times" w:cs="Times"/>
          <w:sz w:val="24"/>
          <w:sz-cs w:val="24"/>
          <w:spacing w:val="0"/>
        </w:rPr>
        <w:t xml:space="preserve"> сейчас лучший у Neural Spline Flow (</w:t>
      </w:r>
      <w:r>
        <w:rPr>
          <w:rFonts w:ascii="Courier" w:hAnsi="Courier" w:cs="Courier"/>
          <w:sz w:val="26"/>
          <w:sz-cs w:val="26"/>
          <w:spacing w:val="0"/>
        </w:rPr>
        <w:t xml:space="preserve">RMSE=0.1029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CRPS=0.0542</w:t>
      </w:r>
      <w:r>
        <w:rPr>
          <w:rFonts w:ascii="Times" w:hAnsi="Times" w:cs="Times"/>
          <w:sz w:val="24"/>
          <w:sz-cs w:val="24"/>
          <w:spacing w:val="0"/>
        </w:rPr>
        <w:t xml:space="preserve">), при этом у неё </w:t>
      </w:r>
      <w:r>
        <w:rPr>
          <w:rFonts w:ascii="Courier" w:hAnsi="Courier" w:cs="Courier"/>
          <w:sz w:val="26"/>
          <w:sz-cs w:val="26"/>
          <w:spacing w:val="0"/>
        </w:rPr>
        <w:t xml:space="preserve">Physics_Violation_Rate=0.9167</w:t>
      </w:r>
      <w:r>
        <w:rPr>
          <w:rFonts w:ascii="Times" w:hAnsi="Times" w:cs="Times"/>
          <w:sz w:val="24"/>
          <w:sz-cs w:val="24"/>
          <w:spacing w:val="0"/>
        </w:rPr>
        <w:t xml:space="preserve">. Поэтому главный claim должен быть не “best predictor overall”, а: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best physically admissible, onset-aware probabilistic forecaster under object-held-out evaluation.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DPI-EVT я бы поставил как </w:t>
      </w:r>
      <w:r>
        <w:rPr>
          <w:rFonts w:ascii="Times" w:hAnsi="Times" w:cs="Times"/>
          <w:sz w:val="24"/>
          <w:sz-cs w:val="24"/>
          <w:b/>
          <w:spacing w:val="0"/>
        </w:rPr>
        <w:t xml:space="preserve">structured successor/variant</w:t>
      </w:r>
      <w:r>
        <w:rPr>
          <w:rFonts w:ascii="Times" w:hAnsi="Times" w:cs="Times"/>
          <w:sz w:val="24"/>
          <w:sz-cs w:val="24"/>
          <w:spacing w:val="0"/>
        </w:rPr>
        <w:t xml:space="preserve">: он лучше DPI-Flow по </w:t>
      </w:r>
      <w:r>
        <w:rPr>
          <w:rFonts w:ascii="Courier" w:hAnsi="Courier" w:cs="Courier"/>
          <w:sz w:val="26"/>
          <w:sz-cs w:val="26"/>
          <w:spacing w:val="0"/>
        </w:rPr>
        <w:t xml:space="preserve">CRR_RMSE</w:t>
      </w:r>
      <w:r>
        <w:rPr>
          <w:rFonts w:ascii="Times" w:hAnsi="Times" w:cs="Times"/>
          <w:sz w:val="24"/>
          <w:sz-cs w:val="24"/>
          <w:spacing w:val="0"/>
        </w:rPr>
        <w:t xml:space="preserve"> (</w:t>
      </w:r>
      <w:r>
        <w:rPr>
          <w:rFonts w:ascii="Courier" w:hAnsi="Courier" w:cs="Courier"/>
          <w:sz w:val="26"/>
          <w:sz-cs w:val="26"/>
          <w:spacing w:val="0"/>
        </w:rPr>
        <w:t xml:space="preserve">0.1508</w:t>
      </w:r>
      <w:r>
        <w:rPr>
          <w:rFonts w:ascii="Times" w:hAnsi="Times" w:cs="Times"/>
          <w:sz w:val="24"/>
          <w:sz-cs w:val="24"/>
          <w:spacing w:val="0"/>
        </w:rPr>
        <w:t xml:space="preserve"> vs </w:t>
      </w:r>
      <w:r>
        <w:rPr>
          <w:rFonts w:ascii="Courier" w:hAnsi="Courier" w:cs="Courier"/>
          <w:sz w:val="26"/>
          <w:sz-cs w:val="26"/>
          <w:spacing w:val="0"/>
        </w:rPr>
        <w:t xml:space="preserve">0.2124</w:t>
      </w:r>
      <w:r>
        <w:rPr>
          <w:rFonts w:ascii="Times" w:hAnsi="Times" w:cs="Times"/>
          <w:sz w:val="24"/>
          <w:sz-cs w:val="24"/>
          <w:spacing w:val="0"/>
        </w:rPr>
        <w:t xml:space="preserve">) и близок по trajectory, но хуже по </w:t>
      </w:r>
      <w:r>
        <w:rPr>
          <w:rFonts w:ascii="Courier" w:hAnsi="Courier" w:cs="Courier"/>
          <w:sz w:val="26"/>
          <w:sz-cs w:val="26"/>
          <w:spacing w:val="0"/>
        </w:rPr>
        <w:t xml:space="preserve">N_liq_logMAE</w:t>
      </w:r>
      <w:r>
        <w:rPr>
          <w:rFonts w:ascii="Times" w:hAnsi="Times" w:cs="Times"/>
          <w:sz w:val="24"/>
          <w:sz-cs w:val="24"/>
          <w:spacing w:val="0"/>
        </w:rPr>
        <w:t xml:space="preserve">. EVT-NeuralSSM — strong structured baseline. Топологию не тащить в main paper: текущий notebook явно research branch и не входит в основной benchmark.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Идеальная AAAI Story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Основной тезис: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We introduce a physics-constrained conditional flow that infers a distribution over latent liquefaction parameters from soil properties and an early PPR prefix, rolls them through a differentiable analytical layer, and produces calibrated forecasts of liquefaction onset, PPR continuation, risk, and physically feasible CRR/PPR trajectories under object-held-out evaluation.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Вклады: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1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Prefix-conditioned onset forecasting formulation</w:t>
      </w:r>
      <w:r>
        <w:rPr>
          <w:rFonts w:ascii="Times" w:hAnsi="Times" w:cs="Times"/>
          <w:sz w:val="24"/>
          <w:sz-cs w:val="24"/>
          <w:spacing w:val="0"/>
        </w:rPr>
        <w:t xml:space="preserve"> для cyclic liquefaction tests: ранний PPR-префикс + soil descriptors → future PPR, risk, censored </w:t>
      </w:r>
      <w:r>
        <w:rPr>
          <w:rFonts w:ascii="Courier" w:hAnsi="Courier" w:cs="Courier"/>
          <w:sz w:val="26"/>
          <w:sz-cs w:val="26"/>
          <w:spacing w:val="0"/>
        </w:rPr>
        <w:t xml:space="preserve">N_liq</w:t>
      </w:r>
      <w:r>
        <w:rPr>
          <w:rFonts w:ascii="Times" w:hAnsi="Times" w:cs="Times"/>
          <w:sz w:val="24"/>
          <w:sz-cs w:val="24"/>
          <w:spacing w:val="0"/>
        </w:rPr>
        <w:t xml:space="preserve">.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2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Conditional parameter flow + analytical differentiable liquefaction layer</w:t>
      </w:r>
      <w:r>
        <w:rPr>
          <w:rFonts w:ascii="Times" w:hAnsi="Times" w:cs="Times"/>
          <w:sz w:val="24"/>
          <w:sz-cs w:val="24"/>
          <w:spacing w:val="0"/>
        </w:rPr>
        <w:t xml:space="preserve">: flow выводит distribution over physical parameters, ODE-layer гарантирует feasible monotone accumulation.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3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Censored onset objective</w:t>
      </w:r>
      <w:r>
        <w:rPr>
          <w:rFonts w:ascii="Times" w:hAnsi="Times" w:cs="Times"/>
          <w:sz w:val="24"/>
          <w:sz-cs w:val="24"/>
          <w:spacing w:val="0"/>
        </w:rPr>
        <w:t xml:space="preserve">: liquefied exact, stabilized non-liq right-censored, unfinished non-liq excluded from </w:t>
      </w:r>
      <w:r>
        <w:rPr>
          <w:rFonts w:ascii="Courier" w:hAnsi="Courier" w:cs="Courier"/>
          <w:sz w:val="26"/>
          <w:sz-cs w:val="26"/>
          <w:spacing w:val="0"/>
        </w:rPr>
        <w:t xml:space="preserve">N_liq</w:t>
      </w:r>
      <w:r>
        <w:rPr>
          <w:rFonts w:ascii="Times" w:hAnsi="Times" w:cs="Times"/>
          <w:sz w:val="24"/>
          <w:sz-cs w:val="24"/>
          <w:spacing w:val="0"/>
        </w:rPr>
        <w:t xml:space="preserve"> supervision but kept for trajectory learning.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4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Object-held-out benchmark</w:t>
      </w:r>
      <w:r>
        <w:rPr>
          <w:rFonts w:ascii="Times" w:hAnsi="Times" w:cs="Times"/>
          <w:sz w:val="24"/>
          <w:sz-cs w:val="24"/>
          <w:spacing w:val="0"/>
        </w:rPr>
        <w:t xml:space="preserve"> на 1093 реальных лабораторных опытах, с strong baselines.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5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Transparent uncertainty/physics evaluation</w:t>
      </w:r>
      <w:r>
        <w:rPr>
          <w:rFonts w:ascii="Times" w:hAnsi="Times" w:cs="Times"/>
          <w:sz w:val="24"/>
          <w:sz-cs w:val="24"/>
          <w:spacing w:val="0"/>
        </w:rPr>
        <w:t xml:space="preserve">: post-prefix RMSE, censored </w:t>
      </w:r>
      <w:r>
        <w:rPr>
          <w:rFonts w:ascii="Courier" w:hAnsi="Courier" w:cs="Courier"/>
          <w:sz w:val="26"/>
          <w:sz-cs w:val="26"/>
          <w:spacing w:val="0"/>
        </w:rPr>
        <w:t xml:space="preserve">N_liq</w:t>
      </w:r>
      <w:r>
        <w:rPr>
          <w:rFonts w:ascii="Times" w:hAnsi="Times" w:cs="Times"/>
          <w:sz w:val="24"/>
          <w:sz-cs w:val="24"/>
          <w:spacing w:val="0"/>
        </w:rPr>
        <w:t xml:space="preserve">, calibration, physics violations, CRR recovery with </w:t>
      </w:r>
      <w:r>
        <w:rPr>
          <w:rFonts w:ascii="Courier" w:hAnsi="Courier" w:cs="Courier"/>
          <w:sz w:val="26"/>
          <w:sz-cs w:val="26"/>
          <w:spacing w:val="0"/>
        </w:rPr>
        <w:t xml:space="preserve">N_CRR_test</w:t>
      </w:r>
      <w:r>
        <w:rPr>
          <w:rFonts w:ascii="Times" w:hAnsi="Times" w:cs="Times"/>
          <w:sz w:val="24"/>
          <w:sz-cs w:val="24"/>
          <w:spacing w:val="0"/>
        </w:rPr>
        <w:t xml:space="preserve"> / </w:t>
      </w:r>
      <w:r>
        <w:rPr>
          <w:rFonts w:ascii="Courier" w:hAnsi="Courier" w:cs="Courier"/>
          <w:sz w:val="26"/>
          <w:sz-cs w:val="26"/>
          <w:spacing w:val="0"/>
        </w:rPr>
        <w:t xml:space="preserve">N_CRR_objects</w:t>
      </w:r>
      <w:r>
        <w:rPr>
          <w:rFonts w:ascii="Times" w:hAnsi="Times" w:cs="Times"/>
          <w:sz w:val="24"/>
          <w:sz-cs w:val="24"/>
          <w:spacing w:val="0"/>
        </w:rPr>
        <w:t xml:space="preserve">.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Структура 7-Страничной Статьи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1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Introduction, 0.75 page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Liquefaction onset matters.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Classical CRR/CSR methods are interpretable but not prefix-conditioned probabilistic forecasters.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Pure neural models fit trajectories but violate physics.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DPI-Flow: probabilistic structured model with feasible trajectories.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2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Problem Setup, 0.75 page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Inputs: soil features, CSR history, early PPR prefix.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Outputs: future PPR, risk, </w:t>
      </w:r>
      <w:r>
        <w:rPr>
          <w:rFonts w:ascii="Courier" w:hAnsi="Courier" w:cs="Courier"/>
          <w:sz w:val="26"/>
          <w:sz-cs w:val="26"/>
          <w:spacing w:val="0"/>
        </w:rPr>
        <w:t xml:space="preserve">N_liq</w:t>
      </w:r>
      <w:r>
        <w:rPr>
          <w:rFonts w:ascii="Times" w:hAnsi="Times" w:cs="Times"/>
          <w:sz w:val="24"/>
          <w:sz-cs w:val="24"/>
          <w:spacing w:val="0"/>
        </w:rPr>
        <w:t xml:space="preserve">, CRR.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Three censoring regimes.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Object-held-out protocol.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Metrics: post-prefix RMSE primary; full RMSE diagnostic.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3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Method: DPI-Flow, 1.5 pages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Context encoder.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Conditional affine flow over latent physical parameters θ.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Analytical differentiable ODE layer.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Soft first hitting for </w:t>
      </w:r>
      <w:r>
        <w:rPr>
          <w:rFonts w:ascii="Courier" w:hAnsi="Courier" w:cs="Courier"/>
          <w:sz w:val="26"/>
          <w:sz-cs w:val="26"/>
          <w:spacing w:val="0"/>
        </w:rPr>
        <w:t xml:space="preserve">N_liq</w:t>
      </w:r>
      <w:r>
        <w:rPr>
          <w:rFonts w:ascii="Times" w:hAnsi="Times" w:cs="Times"/>
          <w:sz w:val="24"/>
          <w:sz-cs w:val="24"/>
          <w:spacing w:val="0"/>
        </w:rPr>
        <w:t xml:space="preserve">.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Loss:</w:t>
        <w:br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L = L_traj + L_risk + L_censored_Nliq + L_aux + L_KL/flow + L_physics</w:t>
      </w:r>
      <w:r>
        <w:rPr>
          <w:rFonts w:ascii="Times" w:hAnsi="Times" w:cs="Times"/>
          <w:sz w:val="24"/>
          <w:sz-cs w:val="24"/>
          <w:spacing w:val="0"/>
        </w:rPr>
        <w:t xml:space="preserve">.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Conformal/post-hoc interval calibration if used.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4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Experimental Setup, 1 page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Dataset: 1093 tests, 20 objects, 640/453 labels, 419 CRR.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Split counts.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Baselines: CatBoost, Transformer, GRU/TCN/LSTM, PINN, NSF/RealNVP, EVT, DPI-EVT.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Stress tests: no-prefix, no-aux, grouped/LOO.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5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Results, 1.5 pages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Main table: all models.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Separate admissible table: physics-feasible trajectory models.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Calibration/reliability plot.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Post-prefix trajectory plot/case study.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P³ as secondary engineering ranking, not primary scientific metric.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6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Ablations and Robustness, 1 page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no flow;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no analytical layer;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no calibration;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no probabilistic head;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no observed auxiliary loss;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no prefix;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object/LOO CIs.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7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Limitations and Conclusion, 0.5 page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CRR test has </w:t>
      </w:r>
      <w:r>
        <w:rPr>
          <w:rFonts w:ascii="Courier" w:hAnsi="Courier" w:cs="Courier"/>
          <w:sz w:val="26"/>
          <w:sz-cs w:val="26"/>
          <w:spacing w:val="0"/>
        </w:rPr>
        <w:t xml:space="preserve">N_CRR_objects=1</w:t>
      </w:r>
      <w:r>
        <w:rPr>
          <w:rFonts w:ascii="Times" w:hAnsi="Times" w:cs="Times"/>
          <w:sz w:val="24"/>
          <w:sz-cs w:val="24"/>
          <w:spacing w:val="0"/>
        </w:rPr>
        <w:t xml:space="preserve"> in current held-out test, so CRR claim must be cautious.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Physics constraints encode assumptions, not empirical proof.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Prefix makes task easier; stress tests address this.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Topology is future work/supplement only.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Фигуры И Таблицы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Main paper: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1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Method diagram: prefix + soil → encoder → conditional flow θ → analytical layer → PPR/risk/</w:t>
      </w:r>
      <w:r>
        <w:rPr>
          <w:rFonts w:ascii="Courier" w:hAnsi="Courier" w:cs="Courier"/>
          <w:sz w:val="26"/>
          <w:sz-cs w:val="26"/>
          <w:spacing w:val="0"/>
        </w:rPr>
        <w:t xml:space="preserve">N_liq</w:t>
      </w:r>
      <w:r>
        <w:rPr>
          <w:rFonts w:ascii="Times" w:hAnsi="Times" w:cs="Times"/>
          <w:sz w:val="24"/>
          <w:sz-cs w:val="24"/>
          <w:spacing w:val="0"/>
        </w:rPr>
        <w:t xml:space="preserve">/CRR.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2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Main leaderboard, compact.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3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Calibration/reliability + coverage table.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4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Ablation table.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5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One case-study trajectory with uncertainty band.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6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Optional latent θ UMAP/Mapper as small interpretability panel.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Supplement: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full leaderboard;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OOD by soil/CSR;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censoring details;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reproducibility checklist;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topology branch;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extra case studies;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full hyperparameters.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Что Обязательно Доделать До Подачи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1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Перезапустить </w:t>
      </w:r>
      <w:r>
        <w:rPr>
          <w:rFonts w:ascii="Times" w:hAnsi="Times" w:cs="Times"/>
          <w:sz w:val="24"/>
          <w:sz-cs w:val="24"/>
          <w:b/>
          <w:spacing w:val="0"/>
        </w:rPr>
        <w:t xml:space="preserve">publication protocol</w:t>
      </w:r>
      <w:r>
        <w:rPr>
          <w:rFonts w:ascii="Times" w:hAnsi="Times" w:cs="Times"/>
          <w:sz w:val="24"/>
          <w:sz-cs w:val="24"/>
          <w:spacing w:val="0"/>
        </w:rPr>
        <w:t xml:space="preserve">, не demo epochs: сейчас в README есть </w:t>
      </w:r>
      <w:r>
        <w:rPr>
          <w:rFonts w:ascii="Courier" w:hAnsi="Courier" w:cs="Courier"/>
          <w:sz w:val="26"/>
          <w:sz-cs w:val="26"/>
          <w:spacing w:val="0"/>
        </w:rPr>
        <w:t xml:space="preserve">publication_*</w:t>
      </w:r>
      <w:r>
        <w:rPr>
          <w:rFonts w:ascii="Times" w:hAnsi="Times" w:cs="Times"/>
          <w:sz w:val="24"/>
          <w:sz-cs w:val="24"/>
          <w:spacing w:val="0"/>
        </w:rPr>
        <w:t xml:space="preserve">, но результаты выглядят частично быстрыми.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2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Сделать </w:t>
      </w:r>
      <w:r>
        <w:rPr>
          <w:rFonts w:ascii="Times" w:hAnsi="Times" w:cs="Times"/>
          <w:sz w:val="24"/>
          <w:sz-cs w:val="24"/>
          <w:b/>
          <w:spacing w:val="0"/>
        </w:rPr>
        <w:t xml:space="preserve">LOO по 20 объектам</w:t>
      </w:r>
      <w:r>
        <w:rPr>
          <w:rFonts w:ascii="Times" w:hAnsi="Times" w:cs="Times"/>
          <w:sz w:val="24"/>
          <w:sz-cs w:val="24"/>
          <w:spacing w:val="0"/>
        </w:rPr>
        <w:t xml:space="preserve"> или хотя бы grouped multi-seed with CI.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3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Зафиксировать no-prefix/no-aux stress results в таблицы.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4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Убрать topology из main claims полностью.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5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Для CRR либо сделать stronger split/report, либо честно писать: “CRR recovery is auxiliary and limited by held-out CRR object count.”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6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Переписать claims так, чтобы NSF с лучшим raw RMSE не ломала нарратив: “best physically admissible onset forecaster”, не “best RMSE model”.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Вердикт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План с DPI-Flow как главным героем — правильный. Я бы усилил его так: </w:t>
      </w:r>
      <w:r>
        <w:rPr>
          <w:rFonts w:ascii="Times" w:hAnsi="Times" w:cs="Times"/>
          <w:sz w:val="24"/>
          <w:sz-cs w:val="24"/>
          <w:b/>
          <w:spacing w:val="0"/>
        </w:rPr>
        <w:t xml:space="preserve">AAAI paper = one clean ML contribution: conditional flow over physically constrained differentiable dynamics for censored onset forecasting</w:t>
      </w:r>
      <w:r>
        <w:rPr>
          <w:rFonts w:ascii="Times" w:hAnsi="Times" w:cs="Times"/>
          <w:sz w:val="24"/>
          <w:sz-cs w:val="24"/>
          <w:spacing w:val="0"/>
        </w:rPr>
        <w:t xml:space="preserve">. DPI-EVT/EVT — baselines/extensions; topology — appendix/future work; геотехника — ровно столько, чтобы доказать, что постановка реальная и сложная.</w:t>
      </w:r>
    </w:p>
    <w:sectPr>
      <w:pgSz w:w="11900" w:h="16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