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4"/>
        </w:rPr>
        <w:t>AAAI-oriented literature and DOI map for DPI-Flow liquefaction forecasting</w:t>
      </w:r>
    </w:p>
    <w:p>
      <w:pPr>
        <w:jc w:val="center"/>
      </w:pPr>
      <w:r>
        <w:rPr>
          <w:i/>
          <w:sz w:val="20"/>
        </w:rPr>
        <w:t>Версия для подачи в AAAI-27 / Main Technical Track: physics-structured probabilistic AI, calibrated event-time forecasting, OOD/site-held-out evaluation</w:t>
      </w:r>
    </w:p>
    <w:p>
      <w:pPr>
        <w:pStyle w:val="Heading1"/>
      </w:pPr>
      <w:r>
        <w:t>1. Ключевая стратегия под AAAI</w:t>
      </w:r>
    </w:p>
    <w:p>
      <w:r>
        <w:rPr>
          <w:b/>
        </w:rPr>
        <w:t xml:space="preserve">Главный принцип: </w:t>
      </w:r>
      <w:r>
        <w:t>продавать не «нейросеть для разжижения», а новый AI-метод для физически ограниченного вероятностного прогнозирования траекторий и времени события в инженерной динамической системе. Геотехника должна быть domain-critical benchmark, а не единственная новизна.</w:t>
      </w:r>
    </w:p>
    <w:p>
      <w:pPr>
        <w:pStyle w:val="ListBullet"/>
      </w:pPr>
      <w:r>
        <w:t>Рекомендуемый track: Main Technical Track. AI for Social Impact можно рассматривать только как запасной вариант, если в статье будет акцент на риск инфраструктуры, открытые данные/код и общественную значимость; но для сильной AI-новизны лучше Main Track.</w:t>
      </w:r>
    </w:p>
    <w:p>
      <w:pPr>
        <w:pStyle w:val="ListBullet"/>
      </w:pPr>
      <w:r>
        <w:t>Одна фраза позиционирования: “DPI-Flow is a physics-structured probabilistic latent-ODE/flow architecture for prefix-conditioned event-time forecasting under censoring and site-level distribution shift.”</w:t>
      </w:r>
    </w:p>
    <w:p>
      <w:pPr>
        <w:pStyle w:val="ListBullet"/>
      </w:pPr>
      <w:r>
        <w:t>Что должно быть в названии/abstract: physics-structured, probabilistic, ODE, event-time, calibrated, prefix-conditioned, site-held-out. Слово “liquefaction” лучше оставить как прикладной benchmark, а не как центр AI-claim.</w:t>
      </w:r>
    </w:p>
    <w:p>
      <w:pPr>
        <w:pStyle w:val="Heading1"/>
      </w:pPr>
      <w:r>
        <w:t>2. AAAI review fit: что должны увидеть reviewers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  <w:cantSplit/>
        </w:trPr>
        <w:tc>
          <w:tcPr>
            <w:tcW w:type="dxa" w:w="2088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AAAI criterion</w:t>
            </w:r>
          </w:p>
        </w:tc>
        <w:tc>
          <w:tcPr>
            <w:tcW w:type="dxa" w:w="4464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Что показать в твоей статье</w:t>
            </w:r>
          </w:p>
        </w:tc>
        <w:tc>
          <w:tcPr>
            <w:tcW w:type="dxa" w:w="4464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Как усилить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Significance and novelty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Новая архитектура: amortized inference of physical ODE parameters θ + conditional affine flow + differentiable analytical simulator + prefix calibration.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Не писать как “мы применили PyTorch к грунтам”. Писать как новый способ объединить system identification, normalizing flows и event-time forecasting.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Technical soundness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Формально описать θ, flow, ODE-layer, soft first-hitting для N_liq, censored loss, монотонность/ограничения PPR/CRR, calibration.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Дать абляции: без ODE, без flow, без prefix calibration, без censored N_liq, без site-held-out.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Empirical soundness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Сравнение с CatBoost, XGBoost/GBDT, MLP/GRU/TCN/Transformer/FT-Transformer/TabNet, survival baseline, classical CRR baselines.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Нужны multi-seed, confidence intervals, grouped/site-held-out, OOD by soil/CSR/site.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Relevance to AAAI community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Связать с trustworthy AI, scientific ML, neural ODEs, uncertainty calibration, OOD robustness, event-time modeling.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Геотехнику держать компактно; основной вклад в общую AI-задачу.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Reproducibility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Опубликовать код, synthetic generator, config, splits, ablations, hyperparameters, metrics, README.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AAAI ценит follow-up work; лучше дать benchmark-протокол и генератор.</w:t>
            </w:r>
          </w:p>
        </w:tc>
      </w:tr>
    </w:tbl>
    <w:p/>
    <w:p>
      <w:pPr>
        <w:pStyle w:val="Heading1"/>
      </w:pPr>
      <w:r>
        <w:t>3. Самые релевантные AAAI / AI DOI для введения и методов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  <w:cantSplit/>
        </w:trPr>
        <w:tc>
          <w:tcPr>
            <w:tcW w:type="dxa" w:w="1728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Авторы</w:t>
            </w:r>
          </w:p>
        </w:tc>
        <w:tc>
          <w:tcPr>
            <w:tcW w:type="dxa" w:w="3168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Работа</w:t>
            </w:r>
          </w:p>
        </w:tc>
        <w:tc>
          <w:tcPr>
            <w:tcW w:type="dxa" w:w="1656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Venue</w:t>
            </w:r>
          </w:p>
        </w:tc>
        <w:tc>
          <w:tcPr>
            <w:tcW w:type="dxa" w:w="2376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DOI</w:t>
            </w:r>
          </w:p>
        </w:tc>
        <w:tc>
          <w:tcPr>
            <w:tcW w:type="dxa" w:w="3744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Как использовать под AAAI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Wang et al., 2024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Physics-Informed Representation and Learning: Control and Risk Quantification</w:t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AAAI-24, Safe/Robust/Responsible AI Track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10.1609/aaai.v38i19.30169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Очень сильная AAAI-ссылка: physics-informed representation, risk quantification, stochastic safety-critical systems. Ставить рядом с твоим ODE-risk/N_liq подходом.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Tomani &amp; Buettner, 2021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Towards Trustworthy Predictions from Deep Neural Networks with Fast Adversarial Calibration</w:t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AAAI-21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10.1609/aaai.v35i11.17188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Для uncertainty calibration, trustworthy probabilities and domain shift. Хорошо оправдывает ECE/Brier/calibration в experiments.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Tao, Dong &amp; Xu, 2025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Feature Clipping for Uncertainty Calibration</w:t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AAAI-25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10.1609/aaai.v39i19.34297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Свежая AAAI-ссылка на calibration как актуальную тему. Можно не делать их метод, но сравнить/обсудить calibration family.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Arik &amp; Pfister, 2021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TabNet: Attentive Interpretable Tabular Learning</w:t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AAAI-21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10.1609/aaai.v35i8.16826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Tabular deep learning baseline с интерпретируемостью. Уместно в baseline section, особенно для статических геотехнических признаков.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Chen et al., 2018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Neural Ordinary Differential Equations</w:t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NeurIPS-18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10.5555/3327757.3327764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Базовая ссылка на differentiable ODE-based learning; у тебя сильнее, потому что ODE не generic black-box, а аналитически структурирован физикой.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Rezende &amp; Mohamed, 2015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Variational Inference with Normalizing Flows</w:t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ICML-15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10.5555/3045118.3045281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Методическая база для normalizing flow над латентными физическими параметрами θ.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Kingma &amp; Welling, 2014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Auto-Encoding Variational Bayes</w:t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ICLR-14 / arXiv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10.48550/arXiv.1312.6114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Для probabilistic latent variable inference and reparameterization. Вставлять кратко, если используешь VAE-style θ distribution.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Guo et al., 2017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On Calibration of Modern Neural Networks</w:t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ICML-17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10.5555/3305381.3305518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Классическая ссылка для ECE/temperature scaling and miscalibration. Обязательна, если заявляешь calibrated risk.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Romano, Patterson &amp; Candes, 2019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Conformalized Quantile Regression</w:t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NeurIPS-19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10.5555/3454287.3454605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Для finite-sample interval calibration. Уместно, если у тебя есть conformal/post-hoc intervals по PPR/N_liq.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Katzman et al., 2018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DeepSurv: Cox proportional hazards deep neural network</w:t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BMC Medical Research Methodology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10.1186/s12874-018-0482-1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Для deep survival / censored event-time modeling. В твоей статье это мост к censored N_liq.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Cox, 1972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Regression Models and Life-Tables</w:t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JRSS-B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10.1111/j.2517-6161.1972.tb00899.x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Классическая база цензурированных time-to-event задач. Достаточно одной фразы.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Prokhorenkova et al., 2018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CatBoost: Unbiased Boosting with Categorical Features</w:t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NeurIPS-18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10.5555/3327757.3327770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Сильный tabular baseline для статических свойств грунта, категорий и смешанных признаков.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Gorishniy et al., 2021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Revisiting Deep Learning Models for Tabular Data</w:t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NeurIPS-21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10.5555/3540261.3541708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Обоснование FT-Transformer/ResNet как честных deep tabular baselines.</w:t>
            </w:r>
          </w:p>
        </w:tc>
      </w:tr>
    </w:tbl>
    <w:p/>
    <w:p>
      <w:pPr>
        <w:pStyle w:val="Heading1"/>
      </w:pPr>
      <w:r>
        <w:t>4. Геотехнические DOI: оставлять как domain-critical motivation, но не перегружать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  <w:cantSplit/>
        </w:trPr>
        <w:tc>
          <w:tcPr>
            <w:tcW w:type="dxa" w:w="1728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Авторы</w:t>
            </w:r>
          </w:p>
        </w:tc>
        <w:tc>
          <w:tcPr>
            <w:tcW w:type="dxa" w:w="3456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Работа</w:t>
            </w:r>
          </w:p>
        </w:tc>
        <w:tc>
          <w:tcPr>
            <w:tcW w:type="dxa" w:w="1656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Источник</w:t>
            </w:r>
          </w:p>
        </w:tc>
        <w:tc>
          <w:tcPr>
            <w:tcW w:type="dxa" w:w="2376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DOI</w:t>
            </w:r>
          </w:p>
        </w:tc>
        <w:tc>
          <w:tcPr>
            <w:tcW w:type="dxa" w:w="3456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Роль в AAAI-статье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Maurer &amp; Sanger, 2023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Why “AI” Models for Predicting Soil Liquefaction Have Been Ignored, Plus Some That Shouldn’t Be</w:t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Earthquake Spectra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10.1177/87552930231173711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Главная мотивационная ссылка: AI-модели игнорируют из-за слабого сравнения со state-of-practice, validation и usability. Твоя статья отвечает на этот gap.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Jas &amp; Dodagoudar, 2023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Liquefaction Potential Assessment of Soils Using Machine Learning Techniques: A State-of-the-Art Review from 1994–2021</w:t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IJGNAI / ASCE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10.1061/IJGNAI.GMENG-7788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Обзор ML-поля: показать, что большинство работ — classification/triggering, а не dynamic prefix-conditioned PPR continuation.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Seed &amp; Idriss, 1971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Simplified Procedure for Evaluating Soil Liquefaction Potential</w:t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JSMFD / ASCE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10.1061/JSFEAQ.0001662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Классика CSR/CRR. Нужна для связи с state-of-practice.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Youd et al., 2001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Liquefaction Resistance of Soils: Summary Report from the 1996 NCEER and 1998 NCEER/NSF Workshops</w:t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JGGE / ASCE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10.1061/(ASCE)1090-0241(2001)127:4(297)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Consensus/state-of-practice background.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Boulanger &amp; Idriss, 2016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CPT-Based Liquefaction Triggering Procedure</w:t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JGGE / ASCE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10.1061/(ASCE)GT.1943-5606.0001388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Обязательный state-of-practice baseline для CPT triggering.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Cetin et al., 2004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Standard Penetration Test-Based Probabilistic and Deterministic Assessment of Seismic Soil Liquefaction Potential</w:t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JGGE / ASCE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10.1061/(ASCE)1090-0241(2004)130:12(1314)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Вероятностная triggering-линия; полезна против reviewers, которые спросят про probabilistic geotech baselines.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Moss et al., 2006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CPT-Based Probabilistic and Deterministic Assessment of In Situ Seismic Soil Liquefaction Potential</w:t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JGGE / ASCE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10.1061/(ASCE)1090-0241(2006)132:8(1032)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Probabilistic CPT baseline.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Kayen et al., 2013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Shear-Wave Velocity-Based Probabilistic and Deterministic Assessment of Seismic Soil Liquefaction Potential</w:t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JGGE / ASCE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10.1061/(ASCE)GT.1943-5606.0000743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Vs-based probabilistic baseline. Показывает multi-source state-of-practice.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Seed, Martin &amp; Lysmer, 1976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Pore-Water Pressure Changes During Soil Liquefaction</w:t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JGTD / ASCE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10.1061/AJGEB6.0000258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Ключевая ссылка для PPR trajectory and excess pore pressure buildup.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Cetin &amp; Bilge, 2012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Performance-Based Assessment of Magnitude/Durations and Pore Pressure Generation Characteristics</w:t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JGGE / ASCE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10.1061/(ASCE)GT.1943-5606.0000631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Для cyclic loading duration, PPR generation, N-dependent response.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Brandenberg et al., 2020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Next-Generation Liquefaction Database</w:t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Earthquake Spectra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10.1177/8755293020902477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Показывает, что liquefaction research движется к open data/benchmark. Можно упомянуть вместе с reproducibility.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NASEM, 2021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State of the Art and Practice in the Assessment of Earthquake-Induced Soil Liquefaction and Its Consequences</w:t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National Academies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10.17226/23474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Авторитетный report для актуальности и uncertainty gaps.</w:t>
            </w:r>
          </w:p>
        </w:tc>
      </w:tr>
    </w:tbl>
    <w:p/>
    <w:p>
      <w:pPr>
        <w:pStyle w:val="Heading1"/>
      </w:pPr>
      <w:r>
        <w:t>5. Как разложить литературу по секциям AAAI-статьи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  <w:cantSplit/>
        </w:trPr>
        <w:tc>
          <w:tcPr>
            <w:tcW w:type="dxa" w:w="2088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Секция</w:t>
            </w:r>
          </w:p>
        </w:tc>
        <w:tc>
          <w:tcPr>
            <w:tcW w:type="dxa" w:w="2304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Цель</w:t>
            </w:r>
          </w:p>
        </w:tc>
        <w:tc>
          <w:tcPr>
            <w:tcW w:type="dxa" w:w="3024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Ключевые ссылки</w:t>
            </w:r>
          </w:p>
        </w:tc>
        <w:tc>
          <w:tcPr>
            <w:tcW w:type="dxa" w:w="4536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Как писать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Introduction, paragraph 1</w:t>
            </w:r>
          </w:p>
        </w:tc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Problem and impact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Seed &amp; Idriss 1971; Youd et al. 2001; NASEM 2021</w:t>
            </w:r>
          </w:p>
        </w:tc>
        <w:tc>
          <w:tcPr>
            <w:tcW w:type="dxa" w:w="453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1 абзац: разжижение важно, но не уходить в длинный geotech review.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Introduction, paragraph 2</w:t>
            </w:r>
          </w:p>
        </w:tc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Gap in AI liquefaction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Maurer &amp; Sanger 2023; Jas &amp; Dodagoudar 2023</w:t>
            </w:r>
          </w:p>
        </w:tc>
        <w:tc>
          <w:tcPr>
            <w:tcW w:type="dxa" w:w="453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Подвести к тезису: existing AI often predicts triggering labels, lacks physics, site-held-out validation, usability, and dynamic PPR/N_liq forecasting.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Introduction, paragraph 3</w:t>
            </w:r>
          </w:p>
        </w:tc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AI methodological gap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Wang et al. 2024; Karniadakis et al. 2021; Chen et al. 2018; Rezende &amp; Mohamed 2015</w:t>
            </w:r>
          </w:p>
        </w:tc>
        <w:tc>
          <w:tcPr>
            <w:tcW w:type="dxa" w:w="453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Переход к physics-structured probabilistic latent ODE/flow, а не к domain-only innovation.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Introduction, paragraph 4</w:t>
            </w:r>
          </w:p>
        </w:tc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Your contribution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No citation; сформулировать вклад</w:t>
            </w:r>
          </w:p>
        </w:tc>
        <w:tc>
          <w:tcPr>
            <w:tcW w:type="dxa" w:w="453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Чётко 3–4 bullets: architecture, censored event-time objective, calibrated uncertainty, grouped/OOD benchmark.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Related Work A</w:t>
            </w:r>
          </w:p>
        </w:tc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AI for liquefaction and state-of-practice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Boulanger &amp; Idriss; Cetin; Moss; Kayen; Maurer &amp; Sanger</w:t>
            </w:r>
          </w:p>
        </w:tc>
        <w:tc>
          <w:tcPr>
            <w:tcW w:type="dxa" w:w="453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Сравнить classical triggering и AI classifiers. Подчеркнуть, что твоя цель — continuation forecast.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Related Work B</w:t>
            </w:r>
          </w:p>
        </w:tc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Physics-informed / scientific ML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Wang et al. 2024; Karniadakis; Raissi; Chen</w:t>
            </w:r>
          </w:p>
        </w:tc>
        <w:tc>
          <w:tcPr>
            <w:tcW w:type="dxa" w:w="453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Связать с embedded physical structure, not just penalty regularization.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Related Work C</w:t>
            </w:r>
          </w:p>
        </w:tc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Uncertainty, calibration, censored event-time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Guo; Tomani; Tao; Romano; Cox; Katzman</w:t>
            </w:r>
          </w:p>
        </w:tc>
        <w:tc>
          <w:tcPr>
            <w:tcW w:type="dxa" w:w="453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Обосновать Brier/ECE/conformal/censored N_liq.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Methods</w:t>
            </w:r>
          </w:p>
        </w:tc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DPI-Flow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Chen; Rezende; Kingma; Cox</w:t>
            </w:r>
          </w:p>
        </w:tc>
        <w:tc>
          <w:tcPr>
            <w:tcW w:type="dxa" w:w="453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Сначала общая AI-формулировка, затем геотехническая интерпретация θ/CRR/PPR.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Experiments</w:t>
            </w:r>
          </w:p>
        </w:tc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Strong baselines and validation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CatBoost; TabNet; FT-Transformer; Roberts et al. 2017</w:t>
            </w:r>
          </w:p>
        </w:tc>
        <w:tc>
          <w:tcPr>
            <w:tcW w:type="dxa" w:w="453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Показать, что сравнение не слабое: GBDT + deep tabular + sequence + survival + ablations.</w:t>
            </w:r>
          </w:p>
        </w:tc>
      </w:tr>
    </w:tbl>
    <w:p/>
    <w:p>
      <w:pPr>
        <w:pStyle w:val="Heading1"/>
      </w:pPr>
      <w:r>
        <w:t>6. Минимальный AAAI-ready список ссылок</w:t>
      </w:r>
    </w:p>
    <w:p>
      <w:pPr>
        <w:pStyle w:val="ListBullet"/>
      </w:pPr>
      <w:r>
        <w:t>Wang et al. (2024), Physics-Informed Representation and Learning: Control and Risk Quantification. DOI: 10.1609/aaai.v38i19.30169.</w:t>
      </w:r>
    </w:p>
    <w:p>
      <w:pPr>
        <w:pStyle w:val="ListBullet"/>
      </w:pPr>
      <w:r>
        <w:t>Tomani &amp; Buettner (2021), Towards Trustworthy Predictions from Deep Neural Networks with Fast Adversarial Calibration. DOI: 10.1609/aaai.v35i11.17188.</w:t>
      </w:r>
    </w:p>
    <w:p>
      <w:pPr>
        <w:pStyle w:val="ListBullet"/>
      </w:pPr>
      <w:r>
        <w:t>Tao et al. (2025), Feature Clipping for Uncertainty Calibration. DOI: 10.1609/aaai.v39i19.34297.</w:t>
      </w:r>
    </w:p>
    <w:p>
      <w:pPr>
        <w:pStyle w:val="ListBullet"/>
      </w:pPr>
      <w:r>
        <w:t>Chen et al. (2018), Neural Ordinary Differential Equations. DOI: 10.5555/3327757.3327764.</w:t>
      </w:r>
    </w:p>
    <w:p>
      <w:pPr>
        <w:pStyle w:val="ListBullet"/>
      </w:pPr>
      <w:r>
        <w:t>Rezende &amp; Mohamed (2015), Variational Inference with Normalizing Flows. DOI: 10.5555/3045118.3045281.</w:t>
      </w:r>
    </w:p>
    <w:p>
      <w:pPr>
        <w:pStyle w:val="ListBullet"/>
      </w:pPr>
      <w:r>
        <w:t>Guo et al. (2017), On Calibration of Modern Neural Networks. DOI: 10.5555/3305381.3305518.</w:t>
      </w:r>
    </w:p>
    <w:p>
      <w:pPr>
        <w:pStyle w:val="ListBullet"/>
      </w:pPr>
      <w:r>
        <w:t>Romano et al. (2019), Conformalized Quantile Regression. DOI: 10.5555/3454287.3454605.</w:t>
      </w:r>
    </w:p>
    <w:p>
      <w:pPr>
        <w:pStyle w:val="ListBullet"/>
      </w:pPr>
      <w:r>
        <w:t>Katzman et al. (2018), DeepSurv. DOI: 10.1186/s12874-018-0482-1.</w:t>
      </w:r>
    </w:p>
    <w:p>
      <w:pPr>
        <w:pStyle w:val="ListBullet"/>
      </w:pPr>
      <w:r>
        <w:t>Cox (1972), Regression Models and Life-Tables. DOI: 10.1111/j.2517-6161.1972.tb00899.x.</w:t>
      </w:r>
    </w:p>
    <w:p>
      <w:pPr>
        <w:pStyle w:val="ListBullet"/>
      </w:pPr>
      <w:r>
        <w:t>CatBoost: Prokhorenkova et al. (2018). DOI: 10.5555/3327757.3327770.</w:t>
      </w:r>
    </w:p>
    <w:p>
      <w:pPr>
        <w:pStyle w:val="ListBullet"/>
      </w:pPr>
      <w:r>
        <w:t>TabNet: Arik &amp; Pfister (2021). DOI: 10.1609/aaai.v35i8.16826.</w:t>
      </w:r>
    </w:p>
    <w:p>
      <w:pPr>
        <w:pStyle w:val="ListBullet"/>
      </w:pPr>
      <w:r>
        <w:t>FT-Transformer / tabular DL: Gorishniy et al. (2021). DOI: 10.5555/3540261.3541708.</w:t>
      </w:r>
    </w:p>
    <w:p>
      <w:pPr>
        <w:pStyle w:val="ListBullet"/>
      </w:pPr>
      <w:r>
        <w:t>Maurer &amp; Sanger (2023), Why AI models for liquefaction have been ignored. DOI: 10.1177/87552930231173711.</w:t>
      </w:r>
    </w:p>
    <w:p>
      <w:pPr>
        <w:pStyle w:val="ListBullet"/>
      </w:pPr>
      <w:r>
        <w:t>Jas &amp; Dodagoudar (2023), ML liquefaction review. DOI: 10.1061/IJGNAI.GMENG-7788.</w:t>
      </w:r>
    </w:p>
    <w:p>
      <w:pPr>
        <w:pStyle w:val="ListBullet"/>
      </w:pPr>
      <w:r>
        <w:t>Boulanger &amp; Idriss (2016), CPT-based liquefaction triggering. DOI: 10.1061/(ASCE)GT.1943-5606.0001388.</w:t>
      </w:r>
    </w:p>
    <w:p>
      <w:pPr>
        <w:pStyle w:val="ListBullet"/>
      </w:pPr>
      <w:r>
        <w:t>Seed, Martin &amp; Lysmer (1976), Pore-water pressure changes during liquefaction. DOI: 10.1061/AJGEB6.0000258.</w:t>
      </w:r>
    </w:p>
    <w:p>
      <w:pPr>
        <w:pStyle w:val="ListBullet"/>
      </w:pPr>
      <w:r>
        <w:t>Brandenberg et al. (2020), Next-Generation Liquefaction Database. DOI: 10.1177/8755293020902477.</w:t>
      </w:r>
    </w:p>
    <w:p>
      <w:pPr>
        <w:pStyle w:val="Heading1"/>
      </w:pPr>
      <w:r>
        <w:t>7. Готовая логика введения под AAAI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  <w:cantSplit/>
        </w:trPr>
        <w:tc>
          <w:tcPr>
            <w:tcW w:type="dxa" w:w="1008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Абзац</w:t>
            </w:r>
          </w:p>
        </w:tc>
        <w:tc>
          <w:tcPr>
            <w:tcW w:type="dxa" w:w="9792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Смысл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979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Soil liquefaction is a high-impact dynamic failure process traditionally evaluated through CSR/CRR triggering procedures. These procedures are well established, but they typically compress a cyclic process into a triggering boundary or probability, rather than forecasting the full pore-pressure trajectory and the event time under partial early observations.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979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Machine-learning models for liquefaction have grown rapidly, but prior work has been criticized for weak comparison to state-of-practice procedures, insufficient validation, limited reproducibility, and a tendency to treat the problem as static classification. This creates an opportunity for AI methods that are physically structured, interpretable, and evaluated under site-level distribution shift.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979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We formulate laboratory liquefaction assessment as prefix-conditioned probabilistic event-time forecasting: given static soil/loading descriptors and an early PPR prefix, predict the continuation of PPR(N), the probability of liquefaction, and the censored time-to-event N_liq. This task connects scientific machine learning, latent-variable inference, neural ODEs, normalizing flows, uncertainty calibration, and survival/event-time modeling.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979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We introduce DPI-Flow, a physics-structured probabilistic architecture that amortizes the inference of physically constrained ODE parameters, refines them through prefix calibration, and integrates an analytical differentiable CRR/damage/PPR layer. The model is evaluated against strong tabular and sequence baselines under grouped site-held-out and OOD stress protocols, with calibration and censoring-aware metrics.</w:t>
            </w:r>
          </w:p>
        </w:tc>
      </w:tr>
    </w:tbl>
    <w:p/>
    <w:p>
      <w:pPr>
        <w:pStyle w:val="Heading1"/>
      </w:pPr>
      <w:r>
        <w:t>8. Contribution bullets в стиле AAAI</w:t>
      </w:r>
    </w:p>
    <w:p>
      <w:pPr>
        <w:pStyle w:val="ListBullet"/>
      </w:pPr>
      <w:r>
        <w:t>A physics-structured probabilistic latent-ODE/flow architecture for prefix-conditioned forecasting of monotone damage/PPR trajectories and liquefaction event time.</w:t>
      </w:r>
    </w:p>
    <w:p>
      <w:pPr>
        <w:pStyle w:val="ListBullet"/>
      </w:pPr>
      <w:r>
        <w:t>A differentiable first-hitting formulation of N_liq with censoring-aware losses, enabling training on both liquefied and non-liquefied/censored cyclic tests.</w:t>
      </w:r>
    </w:p>
    <w:p>
      <w:pPr>
        <w:pStyle w:val="ListBullet"/>
      </w:pPr>
      <w:r>
        <w:t>An uncertainty-aware evaluation protocol combining AUROC/AUPRC, Brier, ECE, interval coverage, trajectory continuation error, and site-held-out/OOD stress tests.</w:t>
      </w:r>
    </w:p>
    <w:p>
      <w:pPr>
        <w:pStyle w:val="ListBullet"/>
      </w:pPr>
      <w:r>
        <w:t>A reproducible benchmark pipeline with classical geotechnical baselines, gradient-boosted tabular models, deep tabular/sequence models, ablations, and physics-violation diagnostics.</w:t>
      </w:r>
    </w:p>
    <w:p>
      <w:pPr>
        <w:pStyle w:val="Heading1"/>
      </w:pPr>
      <w:r>
        <w:t>9. Какие baseline надо заявить, чтобы AAAI reviewer не снес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  <w:cantSplit/>
        </w:trPr>
        <w:tc>
          <w:tcPr>
            <w:tcW w:type="dxa" w:w="2448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Группа baseline</w:t>
            </w:r>
          </w:p>
        </w:tc>
        <w:tc>
          <w:tcPr>
            <w:tcW w:type="dxa" w:w="4032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Что включить</w:t>
            </w:r>
          </w:p>
        </w:tc>
        <w:tc>
          <w:tcPr>
            <w:tcW w:type="dxa" w:w="4320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Зачем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State-of-practice geotech</w:t>
            </w:r>
          </w:p>
        </w:tc>
        <w:tc>
          <w:tcPr>
            <w:tcW w:type="dxa" w:w="403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Seed/Idriss, Boulanger/Idriss, Cetin/Moss/Kayen style triggering curves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Нужны для ответа Maurer &amp; Sanger: сравнение с practice, не только с ML.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GBDT/tabular SOTA</w:t>
            </w:r>
          </w:p>
        </w:tc>
        <w:tc>
          <w:tcPr>
            <w:tcW w:type="dxa" w:w="403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CatBoost, XGBoost/LightGBM, Random Forest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Для табличных soil/loading descriptors это сильнейший baseline; без него AAAI reviewer не поверит.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Deep tabular</w:t>
            </w:r>
          </w:p>
        </w:tc>
        <w:tc>
          <w:tcPr>
            <w:tcW w:type="dxa" w:w="403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MLP/ResNet, TabNet, FT-Transformer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Показывает честное сравнение с modern DL for tabular data.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Sequence forecasting</w:t>
            </w:r>
          </w:p>
        </w:tc>
        <w:tc>
          <w:tcPr>
            <w:tcW w:type="dxa" w:w="403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GRU/LSTM, TCN, Transformer encoder/decoder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Так как задача prefix-conditioned PPR continuation.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Survival/event-time</w:t>
            </w:r>
          </w:p>
        </w:tc>
        <w:tc>
          <w:tcPr>
            <w:tcW w:type="dxa" w:w="403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Cox/DeepSurv/discrete-time survival baseline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Для N_liq и цензурированных опытов.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Ablations</w:t>
            </w:r>
          </w:p>
        </w:tc>
        <w:tc>
          <w:tcPr>
            <w:tcW w:type="dxa" w:w="403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DPI-Flow without ODE, without flow, without calibration, without censored loss, no-prefix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Самая важная часть для AAAI: доказывает вклад каждого блока.</w:t>
            </w:r>
          </w:p>
        </w:tc>
      </w:tr>
    </w:tbl>
    <w:p/>
    <w:p>
      <w:pPr>
        <w:pStyle w:val="Heading1"/>
      </w:pPr>
      <w:r>
        <w:t>10. Риски для AAAI и как закрыть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  <w:cantSplit/>
        </w:trPr>
        <w:tc>
          <w:tcPr>
            <w:tcW w:type="dxa" w:w="2448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Риск</w:t>
            </w:r>
          </w:p>
        </w:tc>
        <w:tc>
          <w:tcPr>
            <w:tcW w:type="dxa" w:w="4032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Почему опасно</w:t>
            </w:r>
          </w:p>
        </w:tc>
        <w:tc>
          <w:tcPr>
            <w:tcW w:type="dxa" w:w="4320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Что сделать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Риск: выглядит как application paper</w:t>
            </w:r>
          </w:p>
        </w:tc>
        <w:tc>
          <w:tcPr>
            <w:tcW w:type="dxa" w:w="403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Слишком много геотехники, мало AI-method.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В abstract/title/contributions поставить latent ODE/flow/event-time/calibration. Геотехнику вынести в benchmark and motivation.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Риск: synthetic data skepticism</w:t>
            </w:r>
          </w:p>
        </w:tc>
        <w:tc>
          <w:tcPr>
            <w:tcW w:type="dxa" w:w="403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AAAI reviewer не поверит в claims только на синтетике.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Нужен real-data adapter, хотя бы часть реальных cyclic tests, site-held-out по объектам, clear synthetic-to-real stress test.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Риск: no strong baselines</w:t>
            </w:r>
          </w:p>
        </w:tc>
        <w:tc>
          <w:tcPr>
            <w:tcW w:type="dxa" w:w="403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Сравнение только с MLP/GRU будет слабым.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CatBoost/XGBoost, FT-Transformer, TabNet, survival baselines, classical triggering.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Риск: physics layer кажется hand-crafted</w:t>
            </w:r>
          </w:p>
        </w:tc>
        <w:tc>
          <w:tcPr>
            <w:tcW w:type="dxa" w:w="403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Reviewer может сказать, что это domain engineering.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Показать generalizable AI abstraction: constrained parameter inference + differentiable simulator + event-time loss. Дать ablation и theoretical/algorithmic formulation.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Риск: overclaim</w:t>
            </w:r>
          </w:p>
        </w:tc>
        <w:tc>
          <w:tcPr>
            <w:tcW w:type="dxa" w:w="403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AUROC/AUPRC около 1 может вызвать подозрение leakage/prefix shortcut.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Показать no-prefix stress, object-held-out, OOD soil/CSR, continuation-only metrics, calibration curves.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Риск: reproducibility</w:t>
            </w:r>
          </w:p>
        </w:tc>
        <w:tc>
          <w:tcPr>
            <w:tcW w:type="dxa" w:w="403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AAAI требует checklist/code/data details.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Зафиксировать seeds, splits, configs, model cards, generated dataset schema, code release plan.</w:t>
            </w:r>
          </w:p>
        </w:tc>
      </w:tr>
    </w:tbl>
    <w:p/>
    <w:p>
      <w:pPr>
        <w:pStyle w:val="Heading1"/>
      </w:pPr>
      <w:r>
        <w:t>11. Рекомендуемые keywords для AAAI/OpenReview</w:t>
      </w:r>
    </w:p>
    <w:p>
      <w:r>
        <w:t>Machine Learning; Scientific Machine Learning; Physics-informed Machine Learning; Neural Differential Equations; Uncertainty Quantification; Calibration; Robustness and Generalization; Time-Series Forecasting; Event-Time Prediction; Survival Analysis; Tabular Learning; AI for Engineering.</w:t>
      </w:r>
    </w:p>
    <w:p>
      <w:pPr>
        <w:pStyle w:val="Heading1"/>
      </w:pPr>
      <w:r>
        <w:t>12. Список источников, проверенных для текущей версии</w:t>
      </w:r>
    </w:p>
    <w:p>
      <w:pPr>
        <w:pStyle w:val="ListBullet"/>
      </w:pPr>
      <w:r>
        <w:t>AAAI-27 official page: conference dates, author timetable, and deadlines.</w:t>
      </w:r>
    </w:p>
    <w:p>
      <w:pPr>
        <w:pStyle w:val="ListBullet"/>
      </w:pPr>
      <w:r>
        <w:t>AAAI-27 Main Technical Track call: cross-area AI, application domains, review criteria, reproducibility expectations.</w:t>
      </w:r>
    </w:p>
    <w:p>
      <w:pPr>
        <w:pStyle w:val="ListBullet"/>
      </w:pPr>
      <w:r>
        <w:t>AAAI proceedings pages for AAAI DOI items: Wang et al. 2024; Tomani &amp; Buettner 2021; Tao et al. 2025; Arik &amp; Pfister 2021.</w:t>
      </w:r>
    </w:p>
    <w:p>
      <w:pPr>
        <w:pStyle w:val="ListBullet"/>
      </w:pPr>
      <w:r>
        <w:t>ACM/NeurIPS/PMLR/ASCE/SAGE/Springer pages for method and geotechnical DOI items.</w:t>
      </w:r>
    </w:p>
    <w:sectPr w:rsidR="00FC693F" w:rsidRPr="0006063C" w:rsidSect="00034616">
      <w:footerReference w:type="default" r:id="rId9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AAAI-oriented DOI map for DPI-Flow liquefaction forecasting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