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Карта топовых исследований с DOI для статьи по DPI-Flow и прогнозированию разжижения грунтов</w:t>
      </w:r>
    </w:p>
    <w:p>
      <w:pPr>
        <w:jc w:val="center"/>
      </w:pPr>
      <w:r>
        <w:rPr>
          <w:color w:val="505050"/>
          <w:sz w:val="24"/>
        </w:rPr>
        <w:t>Фокус: введение, описание методов, baseline-сравнение, валидация и обоснование актуальности</w:t>
      </w:r>
    </w:p>
    <w:p/>
    <w:p>
      <w:pPr>
        <w:jc w:val="center"/>
      </w:pPr>
      <w:r>
        <w:rPr>
          <w:b/>
          <w:sz w:val="22"/>
        </w:rPr>
        <w:t>Рабочая логика позиционирования: от classical CSR/CRR triggering к physics-structured probabilistic prefix-conditioned forecasting of PPR and N_liq.</w:t>
      </w:r>
    </w:p>
    <w:p/>
    <w:p>
      <w:pPr>
        <w:spacing w:before="80" w:after="160"/>
        <w:ind w:left="227" w:right="227"/>
      </w:pPr>
      <w:r>
        <w:rPr>
          <w:i/>
          <w:sz w:val="18"/>
        </w:rPr>
        <w:t>Документ собран как практическая карта цитирования: какие работы ставить во введение, какие - в методы, какие - в сравнение с SOTA/baseline и какие - в раздел validation/uncertainty. Для работ NeurIPS/ICML часть записей имеет ACM/Proceedings ID или arXiv ID вместо классического журнального DOI; это отдельно помечено в таблицах.</w:t>
      </w:r>
    </w:p>
    <w:p>
      <w:pPr>
        <w:pStyle w:val="Heading1"/>
      </w:pPr>
      <w:r>
        <w:t>1. Как позиционировать работу</w:t>
      </w:r>
    </w:p>
    <w:p>
      <w:r>
        <w:t>Твою работу лучше подавать не как очередной black-box ML-классификатор разжижения, а как физически структурированную вероятностную модель динамического лабораторного прогноза. Главный methodological gap: существующие empirical и ML triggering-модели хорошо оценивают вероятность/факт разжижения, но хуже закрывают задачу continuation-прогноза полной траектории PPR(N), N_liq и калиброванного риска по раннему префиксу испытания.</w:t>
      </w:r>
    </w:p>
    <w:p>
      <w:pPr>
        <w:pStyle w:val="ListBullet"/>
        <w:spacing w:after="60"/>
      </w:pPr>
      <w:r>
        <w:t>Seed &amp; Idriss / Youd / Boulanger &amp; Idriss дают инженерную базу CSR/CRR и state-of-practice triggering.</w:t>
      </w:r>
    </w:p>
    <w:p>
      <w:pPr>
        <w:pStyle w:val="ListBullet"/>
        <w:spacing w:after="60"/>
      </w:pPr>
      <w:r>
        <w:t>Cetin, Moss, Kayen и NGL показывают развитие вероятностной liquefaction assessment через SPT/CPT/Vs и базы кейсов.</w:t>
      </w:r>
    </w:p>
    <w:p>
      <w:pPr>
        <w:pStyle w:val="ListBullet"/>
        <w:spacing w:after="60"/>
      </w:pPr>
      <w:r>
        <w:t>Maurer &amp; Sanger формулируют сильную критику AI-подходов: без state-of-practice comparison, хорошей валидации и инженерной интерпретируемости такие модели редко принимаются практикой.</w:t>
      </w:r>
    </w:p>
    <w:p>
      <w:pPr>
        <w:pStyle w:val="ListBullet"/>
        <w:spacing w:after="60"/>
      </w:pPr>
      <w:r>
        <w:t>DPI-Flow можно представить как ответ на эту критику: latent physical parameters theta -&gt; CRR/PPR ODE layer -&gt; risk/N_liq, плюс censored event-time logic, uncertainty calibration и site-held-out validation.</w:t>
      </w:r>
    </w:p>
    <w:p>
      <w:pPr>
        <w:pStyle w:val="Heading1"/>
      </w:pPr>
      <w:r>
        <w:t>2. Литература для введения: актуальность и state-of-practice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Блок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Работа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DOI / ID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Роль в статье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Classical CSR/CRR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Seed, H. B.; Idriss, I. M. (1971). Simplified procedure for evaluating soil liquefaction potential.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10.1061/JSFEAQ.0001662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Стартовая точка simplified procedure. Нужна, чтобы показать, от какой инженерной практики отталкивается модель.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Consensus practice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Youd, T. L. et al. (2001). Liquefaction Resistance of Soils: Summary Report from the 1996 NCEER and 1998 NCEER/NSF Workshops.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10.1061/(ASCE)1090-0241(2001)127:4(297)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Закрепляет CSR/CRR как консенсусный инженерный подход.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Modern CPT triggering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Boulanger, R. W.; Idriss, I. M. (2016). CPT-Based Liquefaction Triggering Procedure.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10.1061/(ASCE)GT.1943-5606.0001388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Обязательная современная state-of-practice ссылка для CPT-based triggering.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Probabilistic SPT triggering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Cetin, K. O. et al. (2004). Standard penetration test-based probabilistic and deterministic assessment of seismic soil liquefaction potential.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10.1061/(ASCE)1090-0241(2004)130:12(1314)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 вероятностную традицию в liquefaction triggering.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Probabilistic CPT triggering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Moss, R. E. S. et al. (2006). CPT-Based Probabilistic and Deterministic Assessment of In Situ Seismic Soil Liquefaction Potential.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10.1061/(ASCE)1090-0241(2006)132:8(1032)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Сильная ссылка для CPT/probabilistic baselines.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Vs-based assessment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Kayen, R. et al. (2013). Shear-Wave Velocity-Based Probabilistic and Deterministic Assessment of Seismic Soil Liquefaction Potential.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10.1061/(ASCE)GT.1943-5606.0000743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Показывает, что оценка разжижения давно развивается как multi-source probabilistic assessment.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database / benchmark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Brandenberg, S. J. et al. (2020). Next-Generation Liquefaction Database.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10.1177/8755293020902477; dataset: 10.21222/C2J040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Ссылка на современную data-driven инфраструктуру для liquefaction research.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Research agenda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National Academies of Sciences, Engineering, and Medicine (2021). State of the Art and Practice in the Assessment of Earthquake-Induced Soil Liquefaction and Its Consequences.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10.17226/23474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актуальности: неопределенность, последствия разжижения, необходимость новых моделей.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Critical review of AI practice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Maurer, B. W.; Sanger, M. D. (2023). Why Has Artificial Intelligence Been Overlooked in the Earthquake-Induced Soil Liquefaction Literature?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10.1177/87552930231173711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Ключевая ссылка: обосновывает, почему нужен не просто AI, а AI с инженерной физикой, сравнением и валидацией.</w:t>
            </w:r>
          </w:p>
        </w:tc>
      </w:tr>
      <w:tr>
        <w:tc>
          <w:tcPr>
            <w:tcW w:type="dxa" w:w="187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ML review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Jas, K.; Dodagoudar, G. R. (2023). Artificial intelligence techniques for liquefaction potential assessment: review 1994-2021.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10.1061/IJGNAI.GMENG-7788</w:t>
            </w:r>
          </w:p>
        </w:tc>
        <w:tc>
          <w:tcPr>
            <w:tcW w:type="dxa" w:w="510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Обзор поля ML-liquefaction; помогает показать насыщенность темы и gap.</w:t>
            </w:r>
          </w:p>
        </w:tc>
      </w:tr>
    </w:tbl>
    <w:p/>
    <w:p>
      <w:pPr>
        <w:pStyle w:val="Heading1"/>
      </w:pPr>
      <w:r>
        <w:t>3. Литература для методов: PPR, CRR, ODE, N_liq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Методический элемент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Работа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DOI / ID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Роль в методах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Pore pressure buildup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Seed, H. B.; Martin, P. P.; Lysmer, J. (1976). Pore-water pressure changes during soil liquefaction.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10.1061/AJGEB6.0000258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Обоснование моделирования excess pore-water pressure/PPR как динамической траектории.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Cyclic strain and PPR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Cetin, K. O.; Bilge, H. T. (2012). Cyclic Large Strain and Induced Pore Pressure Models for Saturated Clean Sands.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10.1061/(ASCE)GT.1943-5606.0000631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Подходит для связи cyclic response, large strain, pore pressure accumulation и N-dependent behavior.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Updated probabilistic triggering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Cetin, K. O. et al. (2018). Probabilistic models for the assessment of cyclically induced reconsolidation volumetric settlements.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10.1016/j.soildyn.2018.09.012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использовать как современный probabilistic geotechnical modeling reference.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Censored event-time logic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Nafday, A. M. (2010). Consequence-based structural reliability analysis for liquefaction.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10.1080/17499510903061836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Аргумент для right-censoring: отсутствие разжижения в горизонте опыта не равно обычной регрессионной метке.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Survival analysis base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Cox, D. R. (1972). Regression models and life-tables.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10.1111/j.2517-6161.1972.tb00899.x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Общая методическая база для censored event-time / time-to-event modeling.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Physics-informed ML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Karniadakis, G. E. et al. (2021). Physics-informed machine learning.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10.1038/s42254-021-00314-5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Общий фрейм: объединение данных, физических ограничений и дифференцируемых моделей.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PINNs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Raissi, M.; Perdikaris, P.; Karniadakis, G. E. (2019). Physics-informed neural networks.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10.1016/j.jcp.2018.10.045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Предшественник physics-informed neural modeling; можно контрастировать с твоим physics-structured ODE layer.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Neural ODE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Chen, R. T. Q. et al. (2018). Neural Ordinary Differential Equations.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10.5555/3327757.3327764; arXiv:1806.07366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differentiable ODE layer и end-to-end обучения через динамику.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Normalizing flows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Rezende, D. J.; Mohamed, S. (2015). Variational Inference with Normalizing Flows.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10.5555/3045118.3045281; arXiv:1505.05770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conditional affine flow и гибкого распределения латентных физических параметров theta.</w:t>
            </w:r>
          </w:p>
        </w:tc>
      </w:tr>
      <w:tr>
        <w:tc>
          <w:tcPr>
            <w:tcW w:type="dxa" w:w="209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Variational latent variables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Kingma, D. P.; Welling, M. (2014). Auto-Encoding Variational Bayes.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arXiv:1312.6114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reparameterization trick и вероятностного латентного пространства theta. Классического DOI у конференционной версии обычно не указывают.</w:t>
            </w:r>
          </w:p>
        </w:tc>
      </w:tr>
    </w:tbl>
    <w:p/>
    <w:p>
      <w:pPr>
        <w:pStyle w:val="Heading1"/>
      </w:pPr>
      <w:r>
        <w:t>4. Литература для SOTA/baseline-сравнения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Направление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Работа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DOI / ID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Зачем сравнивать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Early ML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Samui, P.; Sitharam, T. G. (2011). Machine learning modelling for predicting soil liquefaction susceptibility.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10.5194/nhess-11-1-2011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Классическая ранняя ссылка на ANN/SVM для liquefaction susceptibility.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SVM/RF/XGBoost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Demir, S.; Sahin, E. K. (2022). Liquefaction prediction with robust ML models.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10.1007/s12665-022-10578-4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Подходит для baseline-блока SVM/RF/XGBoost.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Explainable ML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Jas, K.; Dodagoudar, G. R. (2023). XGBoost-SHAP framework for liquefaction assessment.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10.1016/j.soildyn.2022.107662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explainable ML и SHAP-сравнения.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Manifold / embedding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Njock, P. G. A. et al. (2020). Evaluation of soil liquefaction using AI technology incorporating a coupled ENN/t-SNE model.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10.1016/j.soildyn.2019.105988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Показывает, что latent/manifold методы уже применялись, но не как физический PPR-ODE forecast.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Fine-grained soils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Ozsagir, M. et al. (2022). Machine learning approaches for prediction of fine-grained soils liquefaction.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10.1016/j.compgeo.2022.105014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Важна, если в данных есть не только чистые пески, но и fine-grained/mixed soils.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Ensemble multi-dataset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Zhang, W.; Wang, G. (2021). An ensemble method to improve prediction of earthquake-induced soil liquefaction: a multi-dataset study.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10.1007/s00521-020-05084-2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сравнения с ensemble ML на нескольких liquefaction datasets.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Bayesian + XGBoost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Zhao, Y. et al. (2022). CPT-based fully probabilistic seismic liquefaction potential assessment integrating XGBoost and Bayesian theorem.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10.1016/j.compgeo.2022.104868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Сильный probabilistic ML competitor, но без твоего dynamic PPR/N_liq continuation layer.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Mechanics-informed ML</w:t>
            </w:r>
          </w:p>
        </w:tc>
        <w:tc>
          <w:tcPr>
            <w:tcW w:type="dxa" w:w="481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Sanger, M. D.; Geyin, M.; Maurer, B. W. (2025). Mechanics-informed machine learning for liquefaction assessment.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10.1061/JGGEFK.GTENG-13737</w:t>
            </w:r>
          </w:p>
        </w:tc>
        <w:tc>
          <w:tcPr>
            <w:tcW w:type="dxa" w:w="487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Очень близко по духу: mechanics-informed ML. Отличие твоей работы - лабораторная динамика PPR/N_liq и prefix-conditioned forecasting.</w:t>
            </w:r>
          </w:p>
        </w:tc>
      </w:tr>
    </w:tbl>
    <w:p/>
    <w:p>
      <w:pPr>
        <w:pStyle w:val="Heading1"/>
      </w:pPr>
      <w:r>
        <w:t>5. Валидация, метрики и неопределенность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Что обосновать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Работа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DOI / ID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Как использовать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Grouped/site-held-out validation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Roberts, D. R. et al. (2017). Cross-validation strategies for data with temporal, spatial, hierarchical, or phylogenetic structure.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10.1111/ecog.02881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Обоснование grouped/site-held-out split, чтобы исключить leakage между объектами/площадками.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Calibration / ECE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Guo, C. et al. (2017). On Calibration of Modern Neural Networks.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10.5555/3305381.3305518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Expected Calibration Error и калибровки probabilistic risk.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Brier score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Brier, G. W. (1950). Verification of forecasts expressed in terms of probability.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10.1175/1520-0493(1950)078&lt;0001:VOFEIT&gt;2.0.CO;2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вероятностной оценки качества risk predictions.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ROC/AUROC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Fawcett, T. (2006). An introduction to ROC analysis.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10.1016/j.patrec.2005.10.010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AUROC как метрики ранжирования бинарного риска.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AUPRC and imbalance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Davis, J.; Goadrich, M. (2006). The Relationship Between Precision-Recall and ROC Curves.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10.1145/1143844.1143874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AUPRC, особенно если классы liquefaction/non-liquefaction несбалансированы.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Conformal prediction</w:t>
            </w:r>
          </w:p>
        </w:tc>
        <w:tc>
          <w:tcPr>
            <w:tcW w:type="dxa" w:w="459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Romano, Y.; Patterson, E.; Candes, E. (2019). Conformalized Quantile Regression.</w:t>
            </w:r>
          </w:p>
        </w:tc>
        <w:tc>
          <w:tcPr>
            <w:tcW w:type="dxa" w:w="311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10.5555/3454287.3454605</w:t>
            </w:r>
          </w:p>
        </w:tc>
        <w:tc>
          <w:tcPr>
            <w:tcW w:type="dxa" w:w="470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interval coverage и post-hoc uncertainty calibration.</w:t>
            </w:r>
          </w:p>
        </w:tc>
      </w:tr>
    </w:tbl>
    <w:p/>
    <w:p>
      <w:pPr>
        <w:pStyle w:val="Heading1"/>
      </w:pPr>
      <w:r>
        <w:t>6. Минимальный набор из 15 ссылок</w:t>
      </w:r>
    </w:p>
    <w:p>
      <w:pPr>
        <w:spacing w:after="80"/>
        <w:ind w:left="312" w:hanging="312"/>
      </w:pPr>
      <w:r>
        <w:rPr>
          <w:b w:val="0"/>
        </w:rPr>
        <w:t xml:space="preserve">1.  </w:t>
      </w:r>
      <w:r>
        <w:t>Seed &amp; Idriss (1971) - 10.1061/JSFEAQ.0001662</w:t>
      </w:r>
    </w:p>
    <w:p>
      <w:pPr>
        <w:spacing w:after="80"/>
        <w:ind w:left="312" w:hanging="312"/>
      </w:pPr>
      <w:r>
        <w:rPr>
          <w:b w:val="0"/>
        </w:rPr>
        <w:t xml:space="preserve">2.  </w:t>
      </w:r>
      <w:r>
        <w:t>Youd et al. (2001) - 10.1061/(ASCE)1090-0241(2001)127:4(297)</w:t>
      </w:r>
    </w:p>
    <w:p>
      <w:pPr>
        <w:spacing w:after="80"/>
        <w:ind w:left="312" w:hanging="312"/>
      </w:pPr>
      <w:r>
        <w:rPr>
          <w:b w:val="0"/>
        </w:rPr>
        <w:t xml:space="preserve">3.  </w:t>
      </w:r>
      <w:r>
        <w:t>Boulanger &amp; Idriss (2016) - 10.1061/(ASCE)GT.1943-5606.0001388</w:t>
      </w:r>
    </w:p>
    <w:p>
      <w:pPr>
        <w:spacing w:after="80"/>
        <w:ind w:left="312" w:hanging="312"/>
      </w:pPr>
      <w:r>
        <w:rPr>
          <w:b w:val="0"/>
        </w:rPr>
        <w:t xml:space="preserve">4.  </w:t>
      </w:r>
      <w:r>
        <w:t>Cetin et al. (2004) - 10.1061/(ASCE)1090-0241(2004)130:12(1314)</w:t>
      </w:r>
    </w:p>
    <w:p>
      <w:pPr>
        <w:spacing w:after="80"/>
        <w:ind w:left="312" w:hanging="312"/>
      </w:pPr>
      <w:r>
        <w:rPr>
          <w:b w:val="0"/>
        </w:rPr>
        <w:t xml:space="preserve">5.  </w:t>
      </w:r>
      <w:r>
        <w:t>Moss et al. (2006) - 10.1061/(ASCE)1090-0241(2006)132:8(1032)</w:t>
      </w:r>
    </w:p>
    <w:p>
      <w:pPr>
        <w:spacing w:after="80"/>
        <w:ind w:left="312" w:hanging="312"/>
      </w:pPr>
      <w:r>
        <w:rPr>
          <w:b w:val="0"/>
        </w:rPr>
        <w:t xml:space="preserve">6.  </w:t>
      </w:r>
      <w:r>
        <w:t>Kayen et al. (2013) - 10.1061/(ASCE)GT.1943-5606.0000743</w:t>
      </w:r>
    </w:p>
    <w:p>
      <w:pPr>
        <w:spacing w:after="80"/>
        <w:ind w:left="312" w:hanging="312"/>
      </w:pPr>
      <w:r>
        <w:rPr>
          <w:b w:val="0"/>
        </w:rPr>
        <w:t xml:space="preserve">7.  </w:t>
      </w:r>
      <w:r>
        <w:t>Brandenberg et al. (2020) - 10.1177/8755293020902477; dataset 10.21222/C2J040</w:t>
      </w:r>
    </w:p>
    <w:p>
      <w:pPr>
        <w:spacing w:after="80"/>
        <w:ind w:left="312" w:hanging="312"/>
      </w:pPr>
      <w:r>
        <w:rPr>
          <w:b w:val="0"/>
        </w:rPr>
        <w:t xml:space="preserve">8.  </w:t>
      </w:r>
      <w:r>
        <w:t>Maurer &amp; Sanger (2023) - 10.1177/87552930231173711</w:t>
      </w:r>
    </w:p>
    <w:p>
      <w:pPr>
        <w:spacing w:after="80"/>
        <w:ind w:left="312" w:hanging="312"/>
      </w:pPr>
      <w:r>
        <w:rPr>
          <w:b w:val="0"/>
        </w:rPr>
        <w:t xml:space="preserve">9.  </w:t>
      </w:r>
      <w:r>
        <w:t>Jas &amp; Dodagoudar (2023 review) - 10.1061/IJGNAI.GMENG-7788</w:t>
      </w:r>
    </w:p>
    <w:p>
      <w:pPr>
        <w:spacing w:after="80"/>
        <w:ind w:left="312" w:hanging="312"/>
      </w:pPr>
      <w:r>
        <w:rPr>
          <w:b w:val="0"/>
        </w:rPr>
        <w:t xml:space="preserve">10.  </w:t>
      </w:r>
      <w:r>
        <w:t>Seed, Martin &amp; Lysmer (1976) - 10.1061/AJGEB6.0000258</w:t>
      </w:r>
    </w:p>
    <w:p>
      <w:pPr>
        <w:spacing w:after="80"/>
        <w:ind w:left="312" w:hanging="312"/>
      </w:pPr>
      <w:r>
        <w:rPr>
          <w:b w:val="0"/>
        </w:rPr>
        <w:t xml:space="preserve">11.  </w:t>
      </w:r>
      <w:r>
        <w:t>Cetin &amp; Bilge (2012) - 10.1061/(ASCE)GT.1943-5606.0000631</w:t>
      </w:r>
    </w:p>
    <w:p>
      <w:pPr>
        <w:spacing w:after="80"/>
        <w:ind w:left="312" w:hanging="312"/>
      </w:pPr>
      <w:r>
        <w:rPr>
          <w:b w:val="0"/>
        </w:rPr>
        <w:t xml:space="preserve">12.  </w:t>
      </w:r>
      <w:r>
        <w:t>Nafday (2010) - 10.1080/17499510903061836</w:t>
      </w:r>
    </w:p>
    <w:p>
      <w:pPr>
        <w:spacing w:after="80"/>
        <w:ind w:left="312" w:hanging="312"/>
      </w:pPr>
      <w:r>
        <w:rPr>
          <w:b w:val="0"/>
        </w:rPr>
        <w:t xml:space="preserve">13.  </w:t>
      </w:r>
      <w:r>
        <w:t>Karniadakis et al. (2021) - 10.1038/s42254-021-00314-5</w:t>
      </w:r>
    </w:p>
    <w:p>
      <w:pPr>
        <w:spacing w:after="80"/>
        <w:ind w:left="312" w:hanging="312"/>
      </w:pPr>
      <w:r>
        <w:rPr>
          <w:b w:val="0"/>
        </w:rPr>
        <w:t xml:space="preserve">14.  </w:t>
      </w:r>
      <w:r>
        <w:t>Chen et al. (2018) - 10.5555/3327757.3327764; arXiv:1806.07366</w:t>
      </w:r>
    </w:p>
    <w:p>
      <w:pPr>
        <w:spacing w:after="80"/>
        <w:ind w:left="312" w:hanging="312"/>
      </w:pPr>
      <w:r>
        <w:rPr>
          <w:b w:val="0"/>
        </w:rPr>
        <w:t xml:space="preserve">15.  </w:t>
      </w:r>
      <w:r>
        <w:t>Rezende &amp; Mohamed (2015) - 10.5555/3045118.3045281; arXiv:1505.05770</w:t>
      </w:r>
    </w:p>
    <w:p>
      <w:pPr>
        <w:pStyle w:val="Heading1"/>
      </w:pPr>
      <w:r>
        <w:t>7. Готовая логика абзацев для введения</w:t>
      </w:r>
    </w:p>
    <w:p>
      <w:pPr>
        <w:spacing w:after="80"/>
        <w:ind w:left="312" w:hanging="312"/>
      </w:pPr>
      <w:r>
        <w:rPr>
          <w:b w:val="0"/>
        </w:rPr>
        <w:t xml:space="preserve">1.  </w:t>
      </w:r>
      <w:r>
        <w:t>Инженерная оценка разжижения исторически строится вокруг simplified procedure и CSR/CRR framework, начиная с Seed &amp; Idriss и далее закрепляясь в consensus-рекомендациях Youd et al.</w:t>
      </w:r>
    </w:p>
    <w:p>
      <w:pPr>
        <w:spacing w:after="80"/>
        <w:ind w:left="312" w:hanging="312"/>
      </w:pPr>
      <w:r>
        <w:rPr>
          <w:b w:val="0"/>
        </w:rPr>
        <w:t xml:space="preserve">2.  </w:t>
      </w:r>
      <w:r>
        <w:t>Современные SPT/CPT/Vs-based процедуры Boulanger &amp; Idriss, Cetin et al., Moss et al. и Kayen et al. усилили эту традицию вероятностными моделями и более богатыми базами наблюдений.</w:t>
      </w:r>
    </w:p>
    <w:p>
      <w:pPr>
        <w:spacing w:after="80"/>
        <w:ind w:left="312" w:hanging="312"/>
      </w:pPr>
      <w:r>
        <w:rPr>
          <w:b w:val="0"/>
        </w:rPr>
        <w:t xml:space="preserve">3.  </w:t>
      </w:r>
      <w:r>
        <w:t>Несмотря на развитие triggering-моделей, большая часть практических подходов оценивает вероятность или факт разжижения, но не решает напрямую задачу прогнозирования траектории PPR(N), времени/числа циклов до события N_liq и неопределенности по раннему фрагменту лабораторного опыта.</w:t>
      </w:r>
    </w:p>
    <w:p>
      <w:pPr>
        <w:spacing w:after="80"/>
        <w:ind w:left="312" w:hanging="312"/>
      </w:pPr>
      <w:r>
        <w:rPr>
          <w:b w:val="0"/>
        </w:rPr>
        <w:t xml:space="preserve">4.  </w:t>
      </w:r>
      <w:r>
        <w:t>AI-модели активно применяются в liquefaction assessment, однако Maurer &amp; Sanger показывают, что такие модели часто остаются вне инженерной практики из-за недостаточного сравнения со state-of-practice, слабой переносимости и слабой физической интерпретируемости.</w:t>
      </w:r>
    </w:p>
    <w:p>
      <w:pPr>
        <w:spacing w:after="80"/>
        <w:ind w:left="312" w:hanging="312"/>
      </w:pPr>
      <w:r>
        <w:rPr>
          <w:b w:val="0"/>
        </w:rPr>
        <w:t xml:space="preserve">5.  </w:t>
      </w:r>
      <w:r>
        <w:t>Поэтому настоящая работа формулирует задачу как prefix-conditioned probabilistic forecasting: модель получает ранний префикс PPR и статические свойства грунта, выводит латентные физические параметры theta, интегрирует CRR/PPR ODE-слой и предсказывает траекторию PPR, риск и N_liq.</w:t>
      </w:r>
    </w:p>
    <w:p>
      <w:pPr>
        <w:pStyle w:val="Heading1"/>
      </w:pPr>
      <w:r>
        <w:t>8. Готовая логика абзацев для методов</w:t>
      </w:r>
    </w:p>
    <w:p>
      <w:pPr>
        <w:spacing w:after="80"/>
        <w:ind w:left="312" w:hanging="312"/>
      </w:pPr>
      <w:r>
        <w:rPr>
          <w:b w:val="0"/>
        </w:rPr>
        <w:t xml:space="preserve">1.  </w:t>
      </w:r>
      <w:r>
        <w:t>Физическая часть модели опирается на представление PPR как накопительной циклической динамики, связанной с CSR/CRR и повреждением/деградацией сопротивления. Поэтому в методах уместно цитировать Seed, Martin &amp; Lysmer, Cetin &amp; Bilge и классический CRR framework.</w:t>
      </w:r>
    </w:p>
    <w:p>
      <w:pPr>
        <w:spacing w:after="80"/>
        <w:ind w:left="312" w:hanging="312"/>
      </w:pPr>
      <w:r>
        <w:rPr>
          <w:b w:val="0"/>
        </w:rPr>
        <w:t xml:space="preserve">2.  </w:t>
      </w:r>
      <w:r>
        <w:t>Латентные параметры theta должны интерпретироваться как физически ограниченные параметры модели, а не как произвольный embedding. Для этого можно описать softmax/sigmoid-проекции параметров в допустимые диапазоны и связь theta с CRR(N), damage z(N), trigger g(N) и PPR(N).</w:t>
      </w:r>
    </w:p>
    <w:p>
      <w:pPr>
        <w:spacing w:after="80"/>
        <w:ind w:left="312" w:hanging="312"/>
      </w:pPr>
      <w:r>
        <w:rPr>
          <w:b w:val="0"/>
        </w:rPr>
        <w:t xml:space="preserve">3.  </w:t>
      </w:r>
      <w:r>
        <w:t>Дифференцируемый ODE-слой оправдывается через Neural ODE и physics-informed machine learning: динамика не декодируется полностью black-box последовательностью, а проходит через структурированную вычислительную модель.</w:t>
      </w:r>
    </w:p>
    <w:p>
      <w:pPr>
        <w:spacing w:after="80"/>
        <w:ind w:left="312" w:hanging="312"/>
      </w:pPr>
      <w:r>
        <w:rPr>
          <w:b w:val="0"/>
        </w:rPr>
        <w:t xml:space="preserve">4.  </w:t>
      </w:r>
      <w:r>
        <w:t>Conditional affine flow оправдывается через normalizing flows: он повышает гибкость posterior/latent distribution по theta, сохраняя возможность end-to-end обучения.</w:t>
      </w:r>
    </w:p>
    <w:p>
      <w:pPr>
        <w:spacing w:after="80"/>
        <w:ind w:left="312" w:hanging="312"/>
      </w:pPr>
      <w:r>
        <w:rPr>
          <w:b w:val="0"/>
        </w:rPr>
        <w:t xml:space="preserve">5.  </w:t>
      </w:r>
      <w:r>
        <w:t>N_liq следует описывать как censored event-time target: если разжижение не наступило в горизонте опыта, это право-цензурированное наблюдение, а не обычная точная регрессионная метка.</w:t>
      </w:r>
    </w:p>
    <w:p>
      <w:pPr>
        <w:spacing w:after="80"/>
        <w:ind w:left="312" w:hanging="312"/>
      </w:pPr>
      <w:r>
        <w:rPr>
          <w:b w:val="0"/>
        </w:rPr>
        <w:t xml:space="preserve">6.  </w:t>
      </w:r>
      <w:r>
        <w:t>Для валидации нужно подчеркнуть site-held-out/grouped split: ни один объект не должен одновременно попадать в train и test, иначе модель может переоценить качество за счет leakage по площадке.</w:t>
      </w:r>
    </w:p>
    <w:p>
      <w:pPr>
        <w:pStyle w:val="Heading1"/>
      </w:pPr>
      <w:r>
        <w:t>9. Карта claim -&gt; citation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Claim в статье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Основные ссылки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Liquefaction triggering has a strong empirical state-of-practice.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Seed &amp; Idriss 1971; Youd et al. 2001; Boulanger &amp; Idriss 2016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Probabilistic liquefaction assessment is already standard in modern SPT/CPT/Vs procedures.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Cetin et al. 2004; Moss et al. 2006; Kayen et al. 2013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Open databases and modern benchmark infrastructure are growing in liquefaction research.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Brandenberg et al. 2020; NASEM 2021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Black-box AI in liquefaction needs better engineering acceptance, comparison and validation.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Maurer &amp; Sanger 2023; Jas &amp; Dodagoudar 2023 review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PPR should be treated as a dynamic cyclic response rather than only a binary label.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Seed, Martin &amp; Lysmer 1976; Cetin &amp; Bilge 2012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ODE-based differentiable dynamics can be trained end-to-end.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Chen et al. 2018; Karniadakis et al. 2021; Raissi et al. 2019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Latent probabilistic parameters and flows are justified for flexible uncertainty modeling.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Kingma &amp; Welling 2014; Rezende &amp; Mohamed 2015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N_liq is naturally a time-to-event variable with censoring.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Cox 1972; Nafday 2010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Grouped/site-held-out validation is needed to avoid optimistic leakage.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Roberts et al. 2017</w:t>
            </w:r>
          </w:p>
        </w:tc>
      </w:tr>
      <w:tr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Calibration, Brier, AUROC/AUPRC and conformal intervals are standard uncertainty/risk metrics.</w:t>
            </w:r>
          </w:p>
        </w:tc>
        <w:tc>
          <w:tcPr>
            <w:tcW w:type="dxa" w:w="82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Guo et al. 2017; Brier 1950; Fawcett 2006; Davis &amp; Goadrich 2006; Romano et al. 2019</w:t>
            </w:r>
          </w:p>
        </w:tc>
      </w:tr>
    </w:tbl>
    <w:p/>
    <w:p>
      <w:pPr>
        <w:pStyle w:val="Heading1"/>
      </w:pPr>
      <w:r>
        <w:t>10. Рекомендуемая структура related work</w:t>
      </w:r>
    </w:p>
    <w:p>
      <w:pPr>
        <w:pStyle w:val="ListBullet"/>
        <w:spacing w:after="60"/>
      </w:pPr>
      <w:r>
        <w:t>Section 2.1 Classical and probabilistic liquefaction triggering: Seed &amp; Idriss, Youd, Cetin, Moss, Kayen, Boulanger &amp; Idriss.</w:t>
      </w:r>
    </w:p>
    <w:p>
      <w:pPr>
        <w:pStyle w:val="ListBullet"/>
        <w:spacing w:after="60"/>
      </w:pPr>
      <w:r>
        <w:t>Section 2.2 Data-driven liquefaction assessment and limitations of AI: Samui, Demir &amp; Sahin, Jas &amp; Dodagoudar, Zhao, Zhang &amp; Wang, Maurer &amp; Sanger.</w:t>
      </w:r>
    </w:p>
    <w:p>
      <w:pPr>
        <w:pStyle w:val="ListBullet"/>
        <w:spacing w:after="60"/>
      </w:pPr>
      <w:r>
        <w:t>Section 2.3 Dynamic PPR/N_liq modeling: Seed, Martin &amp; Lysmer; Cetin &amp; Bilge; censored event-time references.</w:t>
      </w:r>
    </w:p>
    <w:p>
      <w:pPr>
        <w:pStyle w:val="ListBullet"/>
        <w:spacing w:after="60"/>
      </w:pPr>
      <w:r>
        <w:t>Section 2.4 Physics-informed probabilistic forecasting: Karniadakis, Raissi, Chen, Rezende &amp; Mohamed, Kingma &amp; Welling.</w:t>
      </w:r>
    </w:p>
    <w:p>
      <w:pPr>
        <w:pStyle w:val="ListBullet"/>
        <w:spacing w:after="60"/>
      </w:pPr>
      <w:r>
        <w:t>Section 2.5 Validation and uncertainty: Roberts, Guo, Brier, Fawcett, Davis &amp; Goadrich, Romano et al.</w:t>
      </w:r>
    </w:p>
    <w:p>
      <w:pPr>
        <w:pStyle w:val="Heading1"/>
      </w:pPr>
      <w:r>
        <w:t>11. Что особенно подчеркнуть как новизну DPI-Flow</w:t>
      </w:r>
    </w:p>
    <w:p>
      <w:pPr>
        <w:pStyle w:val="ListBullet"/>
        <w:spacing w:after="60"/>
      </w:pPr>
      <w:r>
        <w:t>Не только binary liquefaction triggering, а forecast полной траектории PPR(N), риска и N_liq.</w:t>
      </w:r>
    </w:p>
    <w:p>
      <w:pPr>
        <w:pStyle w:val="ListBullet"/>
        <w:spacing w:after="60"/>
      </w:pPr>
      <w:r>
        <w:t>Не black-box sequence decoder, а latent theta -&gt; physically constrained parameter unpacking -&gt; CRR(N) mixture -&gt; damage/PPR ODE integration.</w:t>
      </w:r>
    </w:p>
    <w:p>
      <w:pPr>
        <w:pStyle w:val="ListBullet"/>
        <w:spacing w:after="60"/>
      </w:pPr>
      <w:r>
        <w:t>Prefix-conditioned постановка: модель использует ранний наблюдаемый фрагмент опыта и прогнозирует continuation.</w:t>
      </w:r>
    </w:p>
    <w:p>
      <w:pPr>
        <w:pStyle w:val="ListBullet"/>
        <w:spacing w:after="60"/>
      </w:pPr>
      <w:r>
        <w:t>Censored N_liq protocol: корректная работа с опытами, где разжижение не наступило в горизонте наблюдений.</w:t>
      </w:r>
    </w:p>
    <w:p>
      <w:pPr>
        <w:pStyle w:val="ListBullet"/>
        <w:spacing w:after="60"/>
      </w:pPr>
      <w:r>
        <w:t>Site-held-out оценка: проверка переносимости между объектами/площадками, а не случайное перемешивание похожих опытов.</w:t>
      </w:r>
    </w:p>
    <w:p>
      <w:pPr>
        <w:pStyle w:val="ListBullet"/>
        <w:spacing w:after="60"/>
      </w:pPr>
      <w:r>
        <w:t>Uncertainty-aware protocol: risk calibration, Brier, ECE, interval coverage, conformal/post-hoc калибровка.</w:t>
      </w:r>
    </w:p>
    <w:p>
      <w:pPr>
        <w:pStyle w:val="ListBullet"/>
        <w:spacing w:after="60"/>
      </w:pPr>
      <w:r>
        <w:t>Абляции: без ODE layer, без flow, без calibration step, без observed auxiliary loss, no-prefix stress test.</w:t>
      </w:r>
    </w:p>
    <w:p>
      <w:r>
        <w:br w:type="page"/>
      </w:r>
    </w:p>
    <w:p>
      <w:pPr>
        <w:pStyle w:val="Heading1"/>
      </w:pPr>
      <w:r>
        <w:t>12. Короткий вариант формулировки contribution</w:t>
      </w:r>
    </w:p>
    <w:p>
      <w:r>
        <w:rPr>
          <w:b/>
        </w:rPr>
        <w:t xml:space="preserve">Вариант для статьи: </w:t>
      </w:r>
      <w:r>
        <w:t>We propose DPI-Flow, a probabilistic physics-structured framework for prefix-conditioned liquefaction forecasting. The model infers constrained latent parameters, applies conditional affine flow and prefix calibration, and integrates a differentiable CRR/damage/PPR ODE layer to predict PPR(N), liquefaction risk and censored N_liq under site-held-out validation.</w:t>
      </w:r>
    </w:p>
    <w:p>
      <w:pPr>
        <w:pStyle w:val="Heading1"/>
      </w:pPr>
      <w:r>
        <w:t>13. Практическая рекомендация по списку литературы</w:t>
      </w:r>
    </w:p>
    <w:p>
      <w:pPr>
        <w:spacing w:before="80" w:after="160"/>
        <w:ind w:left="227" w:right="227"/>
      </w:pPr>
      <w:r>
        <w:rPr>
          <w:i/>
          <w:sz w:val="18"/>
        </w:rPr>
        <w:t>Для Q1/Q2 статьи не стоит перегружать введение 40+ источниками. Оптимально: 8-10 источников на classical/probabilistic liquefaction, 5-7 на ML/baseline, 4-6 на physics-informed/ODE/flow, 4-5 на validation/uncertainty. В методах лучше цитировать не все, а только те работы, которые прямо обосновывают элементы архитектуры и протокола оценки.</w:t>
      </w:r>
    </w:p>
    <w:sectPr w:rsidR="00FC693F" w:rsidRPr="0006063C" w:rsidSect="00034616">
      <w:footerReference w:type="default" r:id="rId9"/>
      <w:pgSz w:w="16838" w:h="11906" w:orient="landscape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Literature map for DPI-Flow liquefaction 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литературы с DOI для DPI-Flow liquefaction paper</dc:title>
  <dc:subject>Liquefaction, DPI-Flow, PPR, N_liq, physics-informed ML, DOI literature map</dc:subject>
  <dc:creator>python-docx</dc:creator>
  <cp:keywords/>
  <dc:description>Generated as a literature map for introduction and methods sections.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