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4762500" cy="2676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76525"/>
                    </a:xfrm>
                    <a:prstGeom prst="rect">
                      <a:avLst/>
                    </a:prstGeom>
                  </pic:spPr>
                </pic:pic>
              </a:graphicData>
            </a:graphic>
          </wp:inline>
        </w:drawing>
      </w:r>
    </w:p>
    <w:p>
      <w:pPr>
        <w:spacing w:after="120" w:before="400"/>
        <w:jc w:val="center"/>
      </w:pPr>
      <w:r>
        <w:rPr>
          <w:rFonts w:ascii="Calibri" w:cs="Calibri" w:eastAsia="Calibri" w:hAnsi="Calibri"/>
          <w:b/>
          <w:bCs/>
          <w:color w:val="0E2A33"/>
          <w:sz w:val="44"/>
          <w:szCs w:val="44"/>
        </w:rPr>
        <w:t xml:space="preserve">SDN.Leistung — Leistungsmanagement Grundsicherung</w:t>
      </w:r>
    </w:p>
    <w:p>
      <w:pPr>
        <w:spacing w:after="500"/>
        <w:jc w:val="center"/>
      </w:pPr>
      <w:r>
        <w:rPr>
          <w:rFonts w:ascii="Calibri" w:cs="Calibri" w:eastAsia="Calibri" w:hAnsi="Calibri"/>
          <w:b/>
          <w:bCs/>
          <w:color w:val="526570"/>
          <w:sz w:val="64"/>
          <w:szCs w:val="64"/>
        </w:rPr>
        <w:t xml:space="preserve">Testreport</w:t>
      </w:r>
    </w:p>
    <w:p>
      <w:pPr>
        <w:spacing w:after="100"/>
        <w:jc w:val="center"/>
      </w:pPr>
      <w:r>
        <w:rPr>
          <w:rFonts w:ascii="Calibri" w:cs="Calibri" w:eastAsia="Calibri" w:hAnsi="Calibri"/>
          <w:color w:val="0E2A33"/>
          <w:sz w:val="24"/>
          <w:szCs w:val="24"/>
        </w:rPr>
        <w:t xml:space="preserve">Softwareversion 0.5.8</w:t>
      </w:r>
    </w:p>
    <w:p>
      <w:pPr>
        <w:jc w:val="center"/>
      </w:pPr>
      <w:r>
        <w:rPr>
          <w:rFonts w:ascii="Calibri" w:cs="Calibri" w:eastAsia="Calibri" w:hAnsi="Calibri"/>
          <w:color w:val="526570"/>
          <w:sz w:val="22"/>
          <w:szCs w:val="22"/>
        </w:rPr>
        <w:t xml:space="preserve">Erstellt am 27.10.2026 · Report-Kennung D9F999A2</w:t>
      </w:r>
    </w:p>
    <w:p>
      <w:pPr>
        <w:spacing w:before="500"/>
        <w:jc w:val="center"/>
      </w:pPr>
      <w:r>
        <w:rPr>
          <w:rFonts w:ascii="Calibri" w:cs="Calibri" w:eastAsia="Calibri" w:hAnsi="Calibri"/>
          <w:i/>
          <w:iCs/>
          <w:color w:val="526570"/>
          <w:sz w:val="20"/>
          <w:szCs w:val="20"/>
        </w:rPr>
        <w:t xml:space="preserve">Automatisch erzeugter Prüfbericht — bei jeder Erneuerung vollständig neu berechnet.</w:t>
      </w:r>
    </w:p>
    <w:p>
      <w:r>
        <w:br w:type="page"/>
      </w:r>
    </w:p>
    <w:p>
      <w:pPr>
        <w:pStyle w:val="Heading1"/>
        <w:keepNext/>
        <w:spacing w:after="180" w:before="120"/>
      </w:pPr>
      <w:r>
        <w:rPr>
          <w:rFonts w:ascii="Calibri" w:cs="Calibri" w:eastAsia="Calibri" w:hAnsi="Calibri"/>
          <w:b/>
          <w:bCs/>
          <w:color w:val="0E2A33"/>
          <w:sz w:val="30"/>
          <w:szCs w:val="30"/>
        </w:rPr>
        <w:t xml:space="preserve">Inhaltsverzeichnis</w:t>
      </w:r>
    </w:p>
    <w:p>
      <w:pPr>
        <w:tabs>
          <w:tab w:val="right" w:pos="9026" w:leader="dot"/>
        </w:tabs>
        <w:spacing w:after="90"/>
      </w:pPr>
      <w:r>
        <w:rPr>
          <w:rFonts w:ascii="Calibri" w:cs="Calibri" w:eastAsia="Calibri" w:hAnsi="Calibri"/>
          <w:b/>
          <w:bCs/>
          <w:color w:val="0E2A33"/>
          <w:sz w:val="22"/>
          <w:szCs w:val="22"/>
        </w:rPr>
        <w:t xml:space="preserve">Einleitung	</w:t>
      </w:r>
      <w:r>
        <w:rPr>
          <w:rFonts w:ascii="Calibri" w:cs="Calibri" w:eastAsia="Calibri" w:hAnsi="Calibri"/>
          <w:color w:val="0E2A33"/>
          <w:sz w:val="22"/>
          <w:szCs w:val="22"/>
        </w:rPr>
        <w:t xml:space="preserve">3</w:t>
      </w:r>
    </w:p>
    <w:p>
      <w:pPr>
        <w:tabs>
          <w:tab w:val="right" w:pos="9026" w:leader="dot"/>
        </w:tabs>
        <w:spacing w:after="90"/>
      </w:pPr>
      <w:r>
        <w:rPr>
          <w:rFonts w:ascii="Calibri" w:cs="Calibri" w:eastAsia="Calibri" w:hAnsi="Calibri"/>
          <w:b w:val="false"/>
          <w:bCs w:val="false"/>
          <w:color w:val="0E2A33"/>
          <w:sz w:val="22"/>
          <w:szCs w:val="22"/>
        </w:rPr>
        <w:t xml:space="preserve">1  Testarten im Projekt: Unit-Tests und Regressionstests	</w:t>
      </w:r>
      <w:r>
        <w:rPr>
          <w:rFonts w:ascii="Calibri" w:cs="Calibri" w:eastAsia="Calibri" w:hAnsi="Calibri"/>
          <w:color w:val="0E2A33"/>
          <w:sz w:val="22"/>
          <w:szCs w:val="22"/>
        </w:rPr>
        <w:t xml:space="preserve">4</w:t>
      </w:r>
    </w:p>
    <w:p>
      <w:pPr>
        <w:tabs>
          <w:tab w:val="right" w:pos="9026" w:leader="dot"/>
        </w:tabs>
        <w:spacing w:after="90"/>
      </w:pPr>
      <w:r>
        <w:rPr>
          <w:rFonts w:ascii="Calibri" w:cs="Calibri" w:eastAsia="Calibri" w:hAnsi="Calibri"/>
          <w:b w:val="false"/>
          <w:bCs w:val="false"/>
          <w:color w:val="0E2A33"/>
          <w:sz w:val="22"/>
          <w:szCs w:val="22"/>
        </w:rPr>
        <w:t xml:space="preserve">2  Zwei Prüfwege: Fachschicht und Weboberfläche (Selenium)	</w:t>
      </w:r>
      <w:r>
        <w:rPr>
          <w:rFonts w:ascii="Calibri" w:cs="Calibri" w:eastAsia="Calibri" w:hAnsi="Calibri"/>
          <w:color w:val="0E2A33"/>
          <w:sz w:val="22"/>
          <w:szCs w:val="22"/>
        </w:rPr>
        <w:t xml:space="preserve">5</w:t>
      </w:r>
    </w:p>
    <w:p>
      <w:pPr>
        <w:tabs>
          <w:tab w:val="right" w:pos="9026" w:leader="dot"/>
        </w:tabs>
        <w:spacing w:after="90"/>
      </w:pPr>
      <w:r>
        <w:rPr>
          <w:rFonts w:ascii="Calibri" w:cs="Calibri" w:eastAsia="Calibri" w:hAnsi="Calibri"/>
          <w:b w:val="false"/>
          <w:bCs w:val="false"/>
          <w:color w:val="0E2A33"/>
          <w:sz w:val="22"/>
          <w:szCs w:val="22"/>
        </w:rPr>
        <w:t xml:space="preserve">3  Herkunft der Testfälle und ihrer Sollwerte	</w:t>
      </w:r>
      <w:r>
        <w:rPr>
          <w:rFonts w:ascii="Calibri" w:cs="Calibri" w:eastAsia="Calibri" w:hAnsi="Calibri"/>
          <w:color w:val="0E2A33"/>
          <w:sz w:val="22"/>
          <w:szCs w:val="22"/>
        </w:rPr>
        <w:t xml:space="preserve">6</w:t>
      </w:r>
    </w:p>
    <w:p>
      <w:pPr>
        <w:tabs>
          <w:tab w:val="right" w:pos="9026" w:leader="dot"/>
        </w:tabs>
        <w:spacing w:after="90"/>
      </w:pPr>
      <w:r>
        <w:rPr>
          <w:rFonts w:ascii="Calibri" w:cs="Calibri" w:eastAsia="Calibri" w:hAnsi="Calibri"/>
          <w:b w:val="false"/>
          <w:bCs w:val="false"/>
          <w:color w:val="0E2A33"/>
          <w:sz w:val="22"/>
          <w:szCs w:val="22"/>
        </w:rPr>
        <w:t xml:space="preserve">4  Echte Fälle aus dem Internet	</w:t>
      </w:r>
      <w:r>
        <w:rPr>
          <w:rFonts w:ascii="Calibri" w:cs="Calibri" w:eastAsia="Calibri" w:hAnsi="Calibri"/>
          <w:color w:val="0E2A33"/>
          <w:sz w:val="22"/>
          <w:szCs w:val="22"/>
        </w:rPr>
        <w:t xml:space="preserve">7</w:t>
      </w:r>
    </w:p>
    <w:p>
      <w:pPr>
        <w:tabs>
          <w:tab w:val="right" w:pos="9026" w:leader="dot"/>
        </w:tabs>
        <w:spacing w:after="90"/>
      </w:pPr>
      <w:r>
        <w:rPr>
          <w:rFonts w:ascii="Calibri" w:cs="Calibri" w:eastAsia="Calibri" w:hAnsi="Calibri"/>
          <w:b w:val="false"/>
          <w:bCs w:val="false"/>
          <w:color w:val="0E2A33"/>
          <w:sz w:val="22"/>
          <w:szCs w:val="22"/>
        </w:rPr>
        <w:t xml:space="preserve">5  Unabhängige Gegenrechnung mit externem Online-Rechner	</w:t>
      </w:r>
      <w:r>
        <w:rPr>
          <w:rFonts w:ascii="Calibri" w:cs="Calibri" w:eastAsia="Calibri" w:hAnsi="Calibri"/>
          <w:color w:val="0E2A33"/>
          <w:sz w:val="22"/>
          <w:szCs w:val="22"/>
        </w:rPr>
        <w:t xml:space="preserve">8</w:t>
      </w:r>
    </w:p>
    <w:p>
      <w:pPr>
        <w:tabs>
          <w:tab w:val="right" w:pos="9026" w:leader="dot"/>
        </w:tabs>
        <w:spacing w:after="90"/>
      </w:pPr>
      <w:r>
        <w:rPr>
          <w:rFonts w:ascii="Calibri" w:cs="Calibri" w:eastAsia="Calibri" w:hAnsi="Calibri"/>
          <w:b w:val="false"/>
          <w:bCs w:val="false"/>
          <w:color w:val="0E2A33"/>
          <w:sz w:val="22"/>
          <w:szCs w:val="22"/>
        </w:rPr>
        <w:t xml:space="preserve">6  Transaktionssteuerung unter parallelen Prozessen	</w:t>
      </w:r>
      <w:r>
        <w:rPr>
          <w:rFonts w:ascii="Calibri" w:cs="Calibri" w:eastAsia="Calibri" w:hAnsi="Calibri"/>
          <w:color w:val="0E2A33"/>
          <w:sz w:val="22"/>
          <w:szCs w:val="22"/>
        </w:rPr>
        <w:t xml:space="preserve">9</w:t>
      </w:r>
    </w:p>
    <w:p>
      <w:pPr>
        <w:tabs>
          <w:tab w:val="right" w:pos="9026" w:leader="dot"/>
        </w:tabs>
        <w:spacing w:after="90"/>
      </w:pPr>
      <w:r>
        <w:rPr>
          <w:rFonts w:ascii="Calibri" w:cs="Calibri" w:eastAsia="Calibri" w:hAnsi="Calibri"/>
          <w:b w:val="false"/>
          <w:bCs w:val="false"/>
          <w:color w:val="0E2A33"/>
          <w:sz w:val="22"/>
          <w:szCs w:val="22"/>
        </w:rPr>
        <w:t xml:space="preserve">7  Ergebnisübersicht der Prüfläufe	</w:t>
      </w:r>
      <w:r>
        <w:rPr>
          <w:rFonts w:ascii="Calibri" w:cs="Calibri" w:eastAsia="Calibri" w:hAnsi="Calibri"/>
          <w:color w:val="0E2A33"/>
          <w:sz w:val="22"/>
          <w:szCs w:val="22"/>
        </w:rPr>
        <w:t xml:space="preserve">10</w:t>
      </w:r>
    </w:p>
    <w:p>
      <w:pPr>
        <w:tabs>
          <w:tab w:val="right" w:pos="9026" w:leader="dot"/>
        </w:tabs>
        <w:spacing w:after="90"/>
      </w:pPr>
      <w:r>
        <w:rPr>
          <w:rFonts w:ascii="Calibri" w:cs="Calibri" w:eastAsia="Calibri" w:hAnsi="Calibri"/>
          <w:b w:val="false"/>
          <w:bCs w:val="false"/>
          <w:color w:val="0E2A33"/>
          <w:sz w:val="22"/>
          <w:szCs w:val="22"/>
        </w:rPr>
        <w:t xml:space="preserve">8  Fazit	</w:t>
      </w:r>
      <w:r>
        <w:rPr>
          <w:rFonts w:ascii="Calibri" w:cs="Calibri" w:eastAsia="Calibri" w:hAnsi="Calibri"/>
          <w:color w:val="0E2A33"/>
          <w:sz w:val="22"/>
          <w:szCs w:val="22"/>
        </w:rPr>
        <w:t xml:space="preserve">11</w:t>
      </w:r>
    </w:p>
    <w:p>
      <w:pPr>
        <w:tabs>
          <w:tab w:val="right" w:pos="9026" w:leader="dot"/>
        </w:tabs>
        <w:spacing w:after="90"/>
      </w:pPr>
      <w:r>
        <w:rPr>
          <w:rFonts w:ascii="Calibri" w:cs="Calibri" w:eastAsia="Calibri" w:hAnsi="Calibri"/>
          <w:b/>
          <w:bCs/>
          <w:color w:val="0E2A33"/>
          <w:sz w:val="22"/>
          <w:szCs w:val="22"/>
        </w:rPr>
        <w:t xml:space="preserve">Gesamtbewertung des Prüfumfangs	</w:t>
      </w:r>
      <w:r>
        <w:rPr>
          <w:rFonts w:ascii="Calibri" w:cs="Calibri" w:eastAsia="Calibri" w:hAnsi="Calibri"/>
          <w:color w:val="0E2A33"/>
          <w:sz w:val="22"/>
          <w:szCs w:val="22"/>
        </w:rPr>
        <w:t xml:space="preserve">12</w:t>
      </w:r>
    </w:p>
    <w:p>
      <w:pPr>
        <w:pStyle w:val="Heading1"/>
        <w:keepNext/>
        <w:pageBreakBefore/>
        <w:spacing w:after="180" w:before="120"/>
      </w:pPr>
      <w:r>
        <w:rPr>
          <w:rFonts w:ascii="Calibri" w:cs="Calibri" w:eastAsia="Calibri" w:hAnsi="Calibri"/>
          <w:b/>
          <w:bCs/>
          <w:color w:val="0E2A33"/>
          <w:sz w:val="30"/>
          <w:szCs w:val="30"/>
        </w:rPr>
        <w:t xml:space="preserve">Einleitung</w:t>
      </w:r>
    </w:p>
    <w:p>
      <w:pPr>
        <w:spacing w:after="120" w:line="275"/>
        <w:jc w:val="both"/>
      </w:pPr>
      <w:r>
        <w:rPr>
          <w:rFonts w:ascii="Calibri" w:cs="Calibri" w:eastAsia="Calibri" w:hAnsi="Calibri"/>
          <w:color w:val="0E2A33"/>
          <w:sz w:val="21"/>
          <w:szCs w:val="21"/>
        </w:rPr>
        <w:t xml:space="preserve">Dieser Managementreport erläutert die Prüfverfahren der Fachsoftware SDN.Leistung — Leistungsmanagement Grundsicherung (LMG). Er zeigt den beim Export vorgefundenen und auf Aktualität geprüften Nachweisstand. Eine Methodenbeschreibung belegt allein noch keine erfolgreiche Durchführung.</w:t>
      </w:r>
    </w:p>
    <w:p>
      <w:pPr>
        <w:spacing w:after="120" w:line="275"/>
        <w:jc w:val="both"/>
      </w:pPr>
      <w:r>
        <w:rPr>
          <w:rFonts w:ascii="Calibri" w:cs="Calibri" w:eastAsia="Calibri" w:hAnsi="Calibri"/>
          <w:color w:val="0E2A33"/>
          <w:sz w:val="21"/>
          <w:szCs w:val="21"/>
        </w:rPr>
        <w:t xml:space="preserve">Der erklärte Umfang umfasst neun Simulator-Kombinationen: Fachschicht mit POSITIV, NEGATIV, ECHT, RECHNER, LAST und STRESS sowie Weboberfläche mit POSITIV, NEGATIV und LAST. Hinzu kommen die laufgebundenen JUnit-Prüfungen beider Module und die GLM-Stichprobe aus Positiv- und Negativfällen. Fehlende Ebenen bleiben ausdrücklich unvollständig.</w:t>
      </w:r>
    </w:p>
    <w:p>
      <w:pPr>
        <w:spacing w:after="120" w:line="275"/>
        <w:jc w:val="both"/>
      </w:pPr>
      <w:r>
        <w:rPr>
          <w:rFonts w:ascii="Calibri" w:cs="Calibri" w:eastAsia="Calibri" w:hAnsi="Calibri"/>
          <w:color w:val="0E2A33"/>
          <w:sz w:val="21"/>
          <w:szCs w:val="21"/>
        </w:rPr>
        <w:t xml:space="preserve">Die Software unterstützt Berechnung und Auszahlung von Grundsicherungsleistungen nach SGB XII mit Java und Oracle. Die folgenden Kapitel beschreiben, welche Kontrollen vorgesehen sind. Kapitel 7 und die Gesamtbewertung entscheiden anhand tatsächlicher Belege, welche davon für den aktuellen Stand nachgewiesen sind.</w:t>
      </w:r>
    </w:p>
    <w:p>
      <w:pPr>
        <w:spacing w:after="120" w:line="275"/>
        <w:jc w:val="both"/>
      </w:pPr>
      <w:r>
        <w:rPr>
          <w:rFonts w:ascii="Calibri" w:cs="Calibri" w:eastAsia="Calibri" w:hAnsi="Calibri"/>
          <w:color w:val="0E2A33"/>
          <w:sz w:val="21"/>
          <w:szCs w:val="21"/>
        </w:rPr>
        <w:t xml:space="preserve">Der Report ist eine datierte Momentaufnahme. Sein Abruf prüft PDF-Integrität und den unveränderten Eingabebestand. Der gesonderte formale Zertifikatsnachweis bleibt das Dokument SDN-Leistung-LMG-Testzertifikat.</w:t>
      </w:r>
    </w:p>
    <w:p>
      <w:pPr>
        <w:shd w:fill="EDF2F5" w:val="clear"/>
        <w:spacing w:after="140"/>
      </w:pPr>
      <w:r>
        <w:rPr>
          <w:rFonts w:ascii="Calibri" w:cs="Calibri" w:eastAsia="Calibri" w:hAnsi="Calibri"/>
          <w:i/>
          <w:iCs/>
          <w:color w:val="526570"/>
          <w:sz w:val="20"/>
          <w:szCs w:val="20"/>
        </w:rPr>
        <w:t xml:space="preserve">Stand dieses Reports: 27.10.2026. Alle Kapitel 7-Tabellen werden je Erneuerung aus den aktuellen Prüfläufen neu gebildet.</w:t>
      </w:r>
    </w:p>
    <w:p>
      <w:pPr>
        <w:pStyle w:val="Heading1"/>
        <w:keepNext/>
        <w:pageBreakBefore/>
        <w:spacing w:after="180" w:before="120"/>
      </w:pPr>
      <w:r>
        <w:rPr>
          <w:rFonts w:ascii="Calibri" w:cs="Calibri" w:eastAsia="Calibri" w:hAnsi="Calibri"/>
          <w:b/>
          <w:bCs/>
          <w:color w:val="0E2A33"/>
          <w:sz w:val="30"/>
          <w:szCs w:val="30"/>
        </w:rPr>
        <w:t xml:space="preserve">1  Testarten im Projekt: Unit-Tests und Regressionstests</w:t>
      </w:r>
    </w:p>
    <w:p>
      <w:pPr>
        <w:pStyle w:val="Heading2"/>
        <w:keepNext/>
        <w:spacing w:after="100" w:before="200"/>
      </w:pPr>
      <w:r>
        <w:rPr>
          <w:rFonts w:ascii="Calibri" w:cs="Calibri" w:eastAsia="Calibri" w:hAnsi="Calibri"/>
          <w:b/>
          <w:bCs/>
          <w:color w:val="526570"/>
          <w:sz w:val="24"/>
          <w:szCs w:val="24"/>
        </w:rPr>
        <w:t xml:space="preserve">Was sind Unit-Tests?</w:t>
      </w:r>
    </w:p>
    <w:p>
      <w:pPr>
        <w:spacing w:after="120" w:line="275"/>
        <w:jc w:val="both"/>
      </w:pPr>
      <w:r>
        <w:rPr>
          <w:rFonts w:ascii="Calibri" w:cs="Calibri" w:eastAsia="Calibri" w:hAnsi="Calibri"/>
          <w:color w:val="0E2A33"/>
          <w:sz w:val="21"/>
          <w:szCs w:val="21"/>
        </w:rPr>
        <w:t xml:space="preserve">Ein Unit-Test vergleicht einen Softwarebaustein mit festgelegten Erwartungen, etwa gültige und ungültige IBANs oder handgerechnete Beträge. Maven führt diese Prüfungen aus. Ein übersprungener, noch laufender oder veralteter Test ist kein bestandener aktueller Nachweis.</w:t>
      </w:r>
    </w:p>
    <w:p>
      <w:pPr>
        <w:pStyle w:val="Heading2"/>
        <w:keepNext/>
        <w:spacing w:after="100" w:before="200"/>
      </w:pPr>
      <w:r>
        <w:rPr>
          <w:rFonts w:ascii="Calibri" w:cs="Calibri" w:eastAsia="Calibri" w:hAnsi="Calibri"/>
          <w:b/>
          <w:bCs/>
          <w:color w:val="526570"/>
          <w:sz w:val="24"/>
          <w:szCs w:val="24"/>
        </w:rPr>
        <w:t xml:space="preserve">Was sind Regressionstests?</w:t>
      </w:r>
    </w:p>
    <w:p>
      <w:pPr>
        <w:spacing w:after="120" w:line="275"/>
        <w:jc w:val="both"/>
      </w:pPr>
      <w:r>
        <w:rPr>
          <w:rFonts w:ascii="Calibri" w:cs="Calibri" w:eastAsia="Calibri" w:hAnsi="Calibri"/>
          <w:color w:val="0E2A33"/>
          <w:sz w:val="21"/>
          <w:szCs w:val="21"/>
        </w:rPr>
        <w:t xml:space="preserve">Regressionstests wiederholen festgelegte Abläufe, damit frühere Fehler nicht erneut auftreten. Zu den Verfahren gehören zehn dokumentierte Nutzer-Szenarien mit SQL-Prüfung persistierter Endzustände. Separate Goldwerttests vergleichen ausgewählte Rechnungen mit handgerechneten Konstanten; sie machen nicht jeden generierten Sollwert unabhängig.</w:t>
      </w:r>
    </w:p>
    <w:p>
      <w:pPr>
        <w:pStyle w:val="Heading2"/>
        <w:keepNext/>
        <w:spacing w:after="100" w:before="200"/>
      </w:pPr>
      <w:r>
        <w:rPr>
          <w:rFonts w:ascii="Calibri" w:cs="Calibri" w:eastAsia="Calibri" w:hAnsi="Calibri"/>
          <w:b/>
          <w:bCs/>
          <w:color w:val="526570"/>
          <w:sz w:val="24"/>
          <w:szCs w:val="24"/>
        </w:rPr>
        <w:t xml:space="preserve">Wie ihr Stand bewertet wird</w:t>
      </w:r>
    </w:p>
    <w:p>
      <w:pPr>
        <w:spacing w:after="120" w:line="275"/>
        <w:jc w:val="both"/>
      </w:pPr>
      <w:r>
        <w:rPr>
          <w:rFonts w:ascii="Calibri" w:cs="Calibri" w:eastAsia="Calibri" w:hAnsi="Calibri"/>
          <w:color w:val="0E2A33"/>
          <w:sz w:val="21"/>
          <w:szCs w:val="21"/>
        </w:rPr>
        <w:t xml:space="preserve">Die Ergebnistabelle verwendet laufgebundene XML-Belege, Klassen- und Methodeninventar sowie Quellen- und Buildbindung. Alte lose XML-Dateien werden nicht als ein neuer Gesamtlauf addiert. Fehler erhalten Vorrang vor fehlender Vollständigkeit; übersprungene Pflichtprüfungen verhindern BESTANDEN.</w:t>
      </w:r>
    </w:p>
    <w:p>
      <w:pPr>
        <w:pStyle w:val="Heading1"/>
        <w:keepNext/>
        <w:pageBreakBefore/>
        <w:spacing w:after="180" w:before="120"/>
      </w:pPr>
      <w:r>
        <w:rPr>
          <w:rFonts w:ascii="Calibri" w:cs="Calibri" w:eastAsia="Calibri" w:hAnsi="Calibri"/>
          <w:b/>
          <w:bCs/>
          <w:color w:val="0E2A33"/>
          <w:sz w:val="30"/>
          <w:szCs w:val="30"/>
        </w:rPr>
        <w:t xml:space="preserve">2  Zwei Prüfwege: Fachschicht und Weboberfläche (Selenium)</w:t>
      </w:r>
    </w:p>
    <w:p>
      <w:pPr>
        <w:pStyle w:val="Heading2"/>
        <w:keepNext/>
        <w:spacing w:after="100" w:before="200"/>
      </w:pPr>
      <w:r>
        <w:rPr>
          <w:rFonts w:ascii="Calibri" w:cs="Calibri" w:eastAsia="Calibri" w:hAnsi="Calibri"/>
          <w:b/>
          <w:bCs/>
          <w:color w:val="526570"/>
          <w:sz w:val="24"/>
          <w:szCs w:val="24"/>
        </w:rPr>
        <w:t xml:space="preserve">Prüfweg Fachschicht</w:t>
      </w:r>
    </w:p>
    <w:p>
      <w:pPr>
        <w:spacing w:after="120" w:line="275"/>
        <w:jc w:val="both"/>
      </w:pPr>
      <w:r>
        <w:rPr>
          <w:rFonts w:ascii="Calibri" w:cs="Calibri" w:eastAsia="Calibri" w:hAnsi="Calibri"/>
          <w:color w:val="0E2A33"/>
          <w:sz w:val="21"/>
          <w:szCs w:val="21"/>
        </w:rPr>
        <w:t xml:space="preserve">Simulierte Sachbearbeiter rufen die Fachservices direkt auf und prüfen anschließend Datenbank-Endzustände. Kategorie, Anzahl und Grad der Parallelität werden für jeden Lauf festgelegt. Laufzeiten und Durchsatz sind Messwerte dieses Laufs und keine allgemeine Kapazitätszusage.</w:t>
      </w:r>
    </w:p>
    <w:p>
      <w:pPr>
        <w:pStyle w:val="Heading2"/>
        <w:keepNext/>
        <w:spacing w:after="100" w:before="200"/>
      </w:pPr>
      <w:r>
        <w:rPr>
          <w:rFonts w:ascii="Calibri" w:cs="Calibri" w:eastAsia="Calibri" w:hAnsi="Calibri"/>
          <w:b/>
          <w:bCs/>
          <w:color w:val="526570"/>
          <w:sz w:val="24"/>
          <w:szCs w:val="24"/>
        </w:rPr>
        <w:t xml:space="preserve">Prüfweg Weboberfläche</w:t>
      </w:r>
    </w:p>
    <w:p>
      <w:pPr>
        <w:spacing w:after="120" w:line="275"/>
        <w:jc w:val="both"/>
      </w:pPr>
      <w:r>
        <w:rPr>
          <w:rFonts w:ascii="Calibri" w:cs="Calibri" w:eastAsia="Calibri" w:hAnsi="Calibri"/>
          <w:color w:val="0E2A33"/>
          <w:sz w:val="21"/>
          <w:szCs w:val="21"/>
        </w:rPr>
        <w:t xml:space="preserve">Selenium bedient die tatsächliche Weboberfläche im Chrome-Browser. Dazu gehören Anmeldung, Formulare, Auszahlungs- und Freigabeschritte mit getrennten Kennungen. SQL prüft die Ergebnisse. Screenshots ergänzen die Ablaufbelege; sie ersetzen keine eigenständige Prüfung der Bedienbarkeit.</w:t>
      </w:r>
    </w:p>
    <w:p>
      <w:pPr>
        <w:pStyle w:val="Heading2"/>
        <w:keepNext/>
        <w:spacing w:after="100" w:before="200"/>
      </w:pPr>
      <w:r>
        <w:rPr>
          <w:rFonts w:ascii="Calibri" w:cs="Calibri" w:eastAsia="Calibri" w:hAnsi="Calibri"/>
          <w:b/>
          <w:bCs/>
          <w:color w:val="526570"/>
          <w:sz w:val="24"/>
          <w:szCs w:val="24"/>
        </w:rPr>
        <w:t xml:space="preserve">Aussage beider Wege</w:t>
      </w:r>
    </w:p>
    <w:p>
      <w:pPr>
        <w:spacing w:after="120" w:line="275"/>
        <w:jc w:val="both"/>
      </w:pPr>
      <w:r>
        <w:rPr>
          <w:rFonts w:ascii="Calibri" w:cs="Calibri" w:eastAsia="Calibri" w:hAnsi="Calibri"/>
          <w:color w:val="0E2A33"/>
          <w:sz w:val="21"/>
          <w:szCs w:val="21"/>
        </w:rPr>
        <w:t xml:space="preserve">Beide Wege prüfen unterschiedliche Zugänge zur Fachlogik. Ob die vorgesehenen Abläufe auf beiden Wegen aktuell erfolgreich waren, zeigt erst Kapitel 7. ECHT, RECHNER und STRESS sind ausschließlich für die Fachschicht vorgesehen.</w:t>
      </w:r>
    </w:p>
    <w:p>
      <w:pPr>
        <w:pStyle w:val="Heading1"/>
        <w:keepNext/>
        <w:pageBreakBefore/>
        <w:spacing w:after="180" w:before="120"/>
      </w:pPr>
      <w:r>
        <w:rPr>
          <w:rFonts w:ascii="Calibri" w:cs="Calibri" w:eastAsia="Calibri" w:hAnsi="Calibri"/>
          <w:b/>
          <w:bCs/>
          <w:color w:val="0E2A33"/>
          <w:sz w:val="30"/>
          <w:szCs w:val="30"/>
        </w:rPr>
        <w:t xml:space="preserve">3  Herkunft der Testfälle und ihrer Sollwerte</w:t>
      </w:r>
    </w:p>
    <w:p>
      <w:pPr>
        <w:pStyle w:val="Heading2"/>
        <w:keepNext/>
        <w:spacing w:after="100" w:before="200"/>
      </w:pPr>
      <w:r>
        <w:rPr>
          <w:rFonts w:ascii="Calibri" w:cs="Calibri" w:eastAsia="Calibri" w:hAnsi="Calibri"/>
          <w:b/>
          <w:bCs/>
          <w:color w:val="526570"/>
          <w:sz w:val="24"/>
          <w:szCs w:val="24"/>
        </w:rPr>
        <w:t xml:space="preserve">Wie die Testfälle entstehen</w:t>
      </w:r>
    </w:p>
    <w:p>
      <w:pPr>
        <w:spacing w:after="120" w:line="275"/>
        <w:jc w:val="both"/>
      </w:pPr>
      <w:r>
        <w:rPr>
          <w:rFonts w:ascii="Calibri" w:cs="Calibri" w:eastAsia="Calibri" w:hAnsi="Calibri"/>
          <w:color w:val="0E2A33"/>
          <w:sz w:val="21"/>
          <w:szCs w:val="21"/>
        </w:rPr>
        <w:t xml:space="preserve">Die Töpfe kombinieren kuratierte Abläufe, feste Grenzfälle und generierte Konstellationen. Eine Signatur-Menge verhindert Wiederholungen innerhalb des jeweiligen generierten Topfs. Wiederholte Läufe sind keine zusätzliche Zahl unterschiedlicher fachlich geprüfter Fälle.</w:t>
      </w:r>
    </w:p>
    <w:p>
      <w:pPr>
        <w:pStyle w:val="Heading2"/>
        <w:keepNext/>
        <w:spacing w:after="100" w:before="200"/>
      </w:pPr>
      <w:r>
        <w:rPr>
          <w:rFonts w:ascii="Calibri" w:cs="Calibri" w:eastAsia="Calibri" w:hAnsi="Calibri"/>
          <w:b/>
          <w:bCs/>
          <w:color w:val="526570"/>
          <w:sz w:val="24"/>
          <w:szCs w:val="24"/>
        </w:rPr>
        <w:t xml:space="preserve">Wo Sollwerte herkommen</w:t>
      </w:r>
    </w:p>
    <w:p>
      <w:pPr>
        <w:spacing w:after="120" w:line="275"/>
        <w:jc w:val="both"/>
      </w:pPr>
      <w:r>
        <w:rPr>
          <w:rFonts w:ascii="Calibri" w:cs="Calibri" w:eastAsia="Calibri" w:hAnsi="Calibri"/>
          <w:color w:val="0E2A33"/>
          <w:sz w:val="21"/>
          <w:szCs w:val="21"/>
        </w:rPr>
        <w:t xml:space="preserve">Viele Rechenblöcke und technische Erwartungen stammen aus derselben Berechnungsklasse wie das Produkt. Sie prüfen vor allem Persistenz und Workflow. Separate Handkonstanten und externe Gegenproben begrenzen gemeinsame Rechenfehler für ausgewählte Ergebnisse. Bei ECHT und RECHNER sind feste Zahlbeträge hinterlegt; Vermögenseinsatz und Endvermögen sind teilweise weiter aus der Produktreferenz abgeleitet.</w:t>
      </w:r>
    </w:p>
    <w:p>
      <w:pPr>
        <w:pStyle w:val="Heading2"/>
        <w:keepNext/>
        <w:spacing w:after="100" w:before="200"/>
      </w:pPr>
      <w:r>
        <w:rPr>
          <w:rFonts w:ascii="Calibri" w:cs="Calibri" w:eastAsia="Calibri" w:hAnsi="Calibri"/>
          <w:b/>
          <w:bCs/>
          <w:color w:val="526570"/>
          <w:sz w:val="24"/>
          <w:szCs w:val="24"/>
        </w:rPr>
        <w:t xml:space="preserve">Rolle des Sprachmodells</w:t>
      </w:r>
    </w:p>
    <w:p>
      <w:pPr>
        <w:spacing w:after="120" w:line="275"/>
        <w:jc w:val="both"/>
      </w:pPr>
      <w:r>
        <w:rPr>
          <w:rFonts w:ascii="Calibri" w:cs="Calibri" w:eastAsia="Calibri" w:hAnsi="Calibri"/>
          <w:color w:val="0E2A33"/>
          <w:sz w:val="21"/>
          <w:szCs w:val="21"/>
        </w:rPr>
        <w:t xml:space="preserve">GLM kann fertige Positiv- und Negativfälle mit Eingaben, Rechenwegen und Gesetzesunterlagen nachprüfen. Die Auswertung verlangt tatsächliche API-Belege, strukturierte Fallabdeckung und geprüfte Dokumenthashes. Kapitel 7 nennt den aktuellen Zustand. ECHT und RECHNER gehören nicht zu dieser GLM-Stichprobe. Ein fehlender oder veralteter GLM-Nachweis bestätigt keine Fachrechnung.</w:t>
      </w:r>
    </w:p>
    <w:p>
      <w:pPr>
        <w:shd w:fill="EDF2F5" w:val="clear"/>
        <w:spacing w:after="140"/>
      </w:pPr>
      <w:r>
        <w:rPr>
          <w:rFonts w:ascii="Calibri" w:cs="Calibri" w:eastAsia="Calibri" w:hAnsi="Calibri"/>
          <w:i/>
          <w:iCs/>
          <w:color w:val="526570"/>
          <w:sz w:val="20"/>
          <w:szCs w:val="20"/>
        </w:rPr>
        <w:t xml:space="preserve">Kurzantwort auf die häufige Frage „Hat ein KI-Modell die Sollwerte geliefert?“ — Nein. Die Software rechnet, das Sprachmodell rechnet zur Kontrolle ein zweites Mal nach; Abweichungen werden als Befund gemeldet.</w:t>
      </w:r>
    </w:p>
    <w:p>
      <w:pPr>
        <w:pStyle w:val="Heading1"/>
        <w:keepNext/>
        <w:pageBreakBefore/>
        <w:spacing w:after="180" w:before="120"/>
      </w:pPr>
      <w:r>
        <w:rPr>
          <w:rFonts w:ascii="Calibri" w:cs="Calibri" w:eastAsia="Calibri" w:hAnsi="Calibri"/>
          <w:b/>
          <w:bCs/>
          <w:color w:val="0E2A33"/>
          <w:sz w:val="30"/>
          <w:szCs w:val="30"/>
        </w:rPr>
        <w:t xml:space="preserve">4  Echte Fälle aus dem Internet</w:t>
      </w:r>
    </w:p>
    <w:p>
      <w:pPr>
        <w:spacing w:after="120" w:line="275"/>
        <w:jc w:val="both"/>
      </w:pPr>
      <w:r>
        <w:rPr>
          <w:rFonts w:ascii="Calibri" w:cs="Calibri" w:eastAsia="Calibri" w:hAnsi="Calibri"/>
          <w:color w:val="0E2A33"/>
          <w:sz w:val="21"/>
          <w:szCs w:val="21"/>
        </w:rPr>
        <w:t xml:space="preserve">ECHT bezeichnet fünf quellenbasierte Modellkonstellationen. Bei der dokumentierten Recherche wurde kein geeigneter vollständiger öffentlicher Fallbestand gefunden. Daraus folgt weder die Nichtexistenz aller anonymisierten Fälle noch ein pauschales Veröffentlichungsverbot.</w:t>
      </w:r>
    </w:p>
    <w:p>
      <w:pPr>
        <w:spacing w:after="120" w:line="275"/>
        <w:jc w:val="both"/>
      </w:pPr>
      <w:r>
        <w:rPr>
          <w:rFonts w:ascii="Calibri" w:cs="Calibri" w:eastAsia="Calibri" w:hAnsi="Calibri"/>
          <w:color w:val="0E2A33"/>
          <w:sz w:val="21"/>
          <w:szCs w:val="21"/>
        </w:rPr>
        <w:t xml:space="preserve">Die Fälle verwenden Regelbedarfsstufen, einen historischen BSG-Vermögenswert von 44.500 EUR, einen historischen Kfz-Gesamtwert von 31.000 EUR, ein Verbandsbeispiel mit 800 EUR sowie örtliche Unterkunftswerte. Ergänzte Rente und Wohnkosten sind Modellannahmen. Die Fälle sind keine vollständige Nachprüfung damaliger Leistungsbescheide.</w:t>
      </w:r>
    </w:p>
    <w:p>
      <w:pPr>
        <w:spacing w:after="120" w:line="275"/>
        <w:jc w:val="both"/>
      </w:pPr>
      <w:r>
        <w:rPr>
          <w:rFonts w:ascii="Calibri" w:cs="Calibri" w:eastAsia="Calibri" w:hAnsi="Calibri"/>
          <w:color w:val="0E2A33"/>
          <w:sz w:val="21"/>
          <w:szCs w:val="21"/>
        </w:rPr>
        <w:t xml:space="preserve">Die Vermögensabwehr prüft die Produktformel und unveränderte Fachzustände. Zusätzliche heutige Privilegierungen einzelner Vermögensarten, insbesondere angemessener Kfz, werden dabei nicht vollständig abgebildet. Der KdU-Fall verwendet einen aus Einzelwerten abgeleiteten Gesamtdeckel von 590 EUR; er belegt keine vollständige komponentenweise Anwendung der kommunalen Richtlinie. Betriebs- und Heizwerte sind dort Prüfschwellen mit Einzelfallprüfung.</w:t>
      </w:r>
    </w:p>
    <w:p>
      <w:pPr>
        <w:pStyle w:val="Heading1"/>
        <w:keepNext/>
        <w:pageBreakBefore/>
        <w:spacing w:after="180" w:before="120"/>
      </w:pPr>
      <w:r>
        <w:rPr>
          <w:rFonts w:ascii="Calibri" w:cs="Calibri" w:eastAsia="Calibri" w:hAnsi="Calibri"/>
          <w:b/>
          <w:bCs/>
          <w:color w:val="0E2A33"/>
          <w:sz w:val="30"/>
          <w:szCs w:val="30"/>
        </w:rPr>
        <w:t xml:space="preserve">5  Unabhängige Gegenrechnung mit externem Online-Rechner</w:t>
      </w:r>
    </w:p>
    <w:p>
      <w:pPr>
        <w:spacing w:after="120" w:line="275"/>
        <w:jc w:val="both"/>
      </w:pPr>
      <w:r>
        <w:rPr>
          <w:rFonts w:ascii="Calibri" w:cs="Calibri" w:eastAsia="Calibri" w:hAnsi="Calibri"/>
          <w:color w:val="0E2A33"/>
          <w:sz w:val="21"/>
          <w:szCs w:val="21"/>
        </w:rPr>
        <w:t xml:space="preserve">Die Kategorie RECHNER enthält zwölf feste Zahlbetragserwartungen für eine begrenzte Schnittmenge zum SGB-XII-Rechner unter https://www.steuerschroeder.de/Steuerrechner/Grundsicherung.html. Betriebskosten sind null, Warmwasser zentral, Vermögen null; Sonderregeln wie Grundrentenfreibetrag und zusätzliche Altersvorsorge sind nicht Gegenstand des Vergleichs.</w:t>
      </w:r>
    </w:p>
    <w:p>
      <w:pPr>
        <w:spacing w:after="120" w:line="275"/>
        <w:jc w:val="both"/>
      </w:pPr>
      <w:r>
        <w:rPr>
          <w:rFonts w:ascii="Calibri" w:cs="Calibri" w:eastAsia="Calibri" w:hAnsi="Calibri"/>
          <w:color w:val="0E2A33"/>
          <w:sz w:val="21"/>
          <w:szCs w:val="21"/>
        </w:rPr>
        <w:t xml:space="preserve">Die ursprüngliche Behauptung zwölf externer Aufrufe ist nicht für jeden Fall durch Eingabe-/Ergebnisbelege gesichert. Die Review-Gegenprobe vom 27.10.2026 bestätigt die Fälle 1, 6 und 12 mit 978,00 EUR, 268,71 EUR und 1.077,00 EUR. Diese neue Stichprobe ist von der früheren Erhebung getrennt dokumentiert.</w:t>
      </w:r>
    </w:p>
    <w:p>
      <w:pPr>
        <w:spacing w:after="120" w:line="275"/>
        <w:jc w:val="both"/>
      </w:pPr>
      <w:r>
        <w:rPr>
          <w:rFonts w:ascii="Calibri" w:cs="Calibri" w:eastAsia="Calibri" w:hAnsi="Calibri"/>
          <w:color w:val="0E2A33"/>
          <w:sz w:val="21"/>
          <w:szCs w:val="21"/>
        </w:rPr>
        <w:t xml:space="preserve">Alle zwölf festen Erwartungen reichen von 227,00 bis 1.427,00 EUR. JUnit prüft die Berechnung gegen diese Konstanten; ein gesondert gestarteter RECHNER-Simulatorlauf prüft die SQL-Ergebnisse. Die Kategorie läuft nicht automatisch bei jedem Simulatorlauf und ist nicht Teil der GLM-Stichprobe. Änderungen werden nur erkannt, soweit sie kontrollierte Ergebnisse oder Verträge betreffen.</w:t>
      </w:r>
    </w:p>
    <w:p>
      <w:pPr>
        <w:pStyle w:val="Heading1"/>
        <w:keepNext/>
        <w:pageBreakBefore/>
        <w:spacing w:after="180" w:before="120"/>
      </w:pPr>
      <w:r>
        <w:rPr>
          <w:rFonts w:ascii="Calibri" w:cs="Calibri" w:eastAsia="Calibri" w:hAnsi="Calibri"/>
          <w:b/>
          <w:bCs/>
          <w:color w:val="0E2A33"/>
          <w:sz w:val="30"/>
          <w:szCs w:val="30"/>
        </w:rPr>
        <w:t xml:space="preserve">6  Transaktionssteuerung unter parallelen Prozessen</w:t>
      </w:r>
    </w:p>
    <w:p>
      <w:pPr>
        <w:pStyle w:val="Heading2"/>
        <w:keepNext/>
        <w:spacing w:after="100" w:before="200"/>
      </w:pPr>
      <w:r>
        <w:rPr>
          <w:rFonts w:ascii="Calibri" w:cs="Calibri" w:eastAsia="Calibri" w:hAnsi="Calibri"/>
          <w:b/>
          <w:bCs/>
          <w:color w:val="526570"/>
          <w:sz w:val="24"/>
          <w:szCs w:val="24"/>
        </w:rPr>
        <w:t xml:space="preserve">Was geprüft werden soll</w:t>
      </w:r>
    </w:p>
    <w:p>
      <w:pPr>
        <w:spacing w:after="120" w:line="275"/>
        <w:jc w:val="both"/>
      </w:pPr>
      <w:r>
        <w:rPr>
          <w:rFonts w:ascii="Calibri" w:cs="Calibri" w:eastAsia="Calibri" w:hAnsi="Calibri"/>
          <w:color w:val="0E2A33"/>
          <w:sz w:val="21"/>
          <w:szCs w:val="21"/>
        </w:rPr>
        <w:t xml:space="preserve">Parallele Abläufe können verlorene Änderungen, doppelte Zahlungen, Sperrkonflikte oder Poolengpässe offenlegen. Oracle stellt die transaktionalen Datenbankmechanismen bereit. Ein unklarer Commit-Ausgang erfordert Statusklärung; eine Zeitüberschreitung beweist keinen bereits erfolgten Rollback.</w:t>
      </w:r>
    </w:p>
    <w:p>
      <w:pPr>
        <w:pStyle w:val="Heading2"/>
        <w:keepNext/>
        <w:spacing w:after="100" w:before="200"/>
      </w:pPr>
      <w:r>
        <w:rPr>
          <w:rFonts w:ascii="Calibri" w:cs="Calibri" w:eastAsia="Calibri" w:hAnsi="Calibri"/>
          <w:b/>
          <w:bCs/>
          <w:color w:val="526570"/>
          <w:sz w:val="24"/>
          <w:szCs w:val="24"/>
        </w:rPr>
        <w:t xml:space="preserve">Lasttest</w:t>
      </w:r>
    </w:p>
    <w:p>
      <w:pPr>
        <w:spacing w:after="120" w:line="275"/>
        <w:jc w:val="both"/>
      </w:pPr>
      <w:r>
        <w:rPr>
          <w:rFonts w:ascii="Calibri" w:cs="Calibri" w:eastAsia="Calibri" w:hAnsi="Calibri"/>
          <w:color w:val="0E2A33"/>
          <w:sz w:val="21"/>
          <w:szCs w:val="21"/>
        </w:rPr>
        <w:t xml:space="preserve">Viele Mitarbeiter wiederholen eine schlanke Fachkette. SQL vergleicht Betrag und Budget mit den Szenarioerwartungen. Der aggregierte Bericht beschreibt diesen Lauf; daraus folgt keine allgemeine Kapazitätsgrenze.</w:t>
      </w:r>
    </w:p>
    <w:p>
      <w:pPr>
        <w:pStyle w:val="Heading2"/>
        <w:keepNext/>
        <w:spacing w:after="100" w:before="200"/>
      </w:pPr>
      <w:r>
        <w:rPr>
          <w:rFonts w:ascii="Calibri" w:cs="Calibri" w:eastAsia="Calibri" w:hAnsi="Calibri"/>
          <w:b/>
          <w:bCs/>
          <w:color w:val="526570"/>
          <w:sz w:val="24"/>
          <w:szCs w:val="24"/>
        </w:rPr>
        <w:t xml:space="preserve">Stresstest</w:t>
      </w:r>
    </w:p>
    <w:p>
      <w:pPr>
        <w:spacing w:after="120" w:line="275"/>
        <w:jc w:val="both"/>
      </w:pPr>
      <w:r>
        <w:rPr>
          <w:rFonts w:ascii="Calibri" w:cs="Calibri" w:eastAsia="Calibri" w:hAnsi="Calibri"/>
          <w:color w:val="0E2A33"/>
          <w:sz w:val="21"/>
          <w:szCs w:val="21"/>
        </w:rPr>
        <w:t xml:space="preserve">Zwei Wellen bearbeiten dieselben Vorgänge mit einer Phasenbarriere dazwischen. Die zweite Welle findet die Daten wieder, ändert Miete und ordnet die Zahlung an. SQL kontrolliert Endzustand und Versionen.</w:t>
      </w:r>
    </w:p>
    <w:p>
      <w:pPr>
        <w:pStyle w:val="Heading2"/>
        <w:keepNext/>
        <w:spacing w:after="100" w:before="200"/>
      </w:pPr>
      <w:r>
        <w:rPr>
          <w:rFonts w:ascii="Calibri" w:cs="Calibri" w:eastAsia="Calibri" w:hAnsi="Calibri"/>
          <w:b/>
          <w:bCs/>
          <w:color w:val="526570"/>
          <w:sz w:val="24"/>
          <w:szCs w:val="24"/>
        </w:rPr>
        <w:t xml:space="preserve">Deadlock und aktueller Nachweis</w:t>
      </w:r>
    </w:p>
    <w:p>
      <w:pPr>
        <w:spacing w:after="120" w:line="275"/>
        <w:jc w:val="both"/>
      </w:pPr>
      <w:r>
        <w:rPr>
          <w:rFonts w:ascii="Calibri" w:cs="Calibri" w:eastAsia="Calibri" w:hAnsi="Calibri"/>
          <w:color w:val="0E2A33"/>
          <w:sz w:val="21"/>
          <w:szCs w:val="21"/>
        </w:rPr>
        <w:t xml:space="preserve">Ein eigener Oracle-Test erzeugt gekreuzte Sperren und prüft die Wiederholung. Seine Existenz belegt keine aktuelle Ausführung: Er benötigt eine konfigurierte Datenbank. Ob die benötigten aktuellen JUnit- und Simulatorbelege vorliegen, entscheidet die folgende Übersicht.</w:t>
      </w:r>
    </w:p>
    <w:p>
      <w:pPr>
        <w:pStyle w:val="Heading1"/>
        <w:keepNext/>
        <w:pageBreakBefore/>
        <w:spacing w:after="180" w:before="120"/>
      </w:pPr>
      <w:r>
        <w:rPr>
          <w:rFonts w:ascii="Calibri" w:cs="Calibri" w:eastAsia="Calibri" w:hAnsi="Calibri"/>
          <w:b/>
          <w:bCs/>
          <w:color w:val="0E2A33"/>
          <w:sz w:val="30"/>
          <w:szCs w:val="30"/>
        </w:rPr>
        <w:t xml:space="preserve">7  Ergebnisübersicht der Prüfläufe</w:t>
      </w:r>
    </w:p>
    <w:p>
      <w:pPr>
        <w:spacing w:after="120" w:line="275"/>
        <w:jc w:val="both"/>
      </w:pPr>
      <w:r>
        <w:rPr>
          <w:rFonts w:ascii="Calibri" w:cs="Calibri" w:eastAsia="Calibri" w:hAnsi="Calibri"/>
          <w:color w:val="0E2A33"/>
          <w:sz w:val="21"/>
          <w:szCs w:val="21"/>
        </w:rPr>
        <w:t xml:space="preserve">Der erklärte Umfang steht vollständig in der Tabelle, auch wenn ein Nachweis fehlt. Bekannte Fach-/SQL-/Testfehler heißen FEHLGESCHLAGEN. Abbruch, laufende Prüfung, fehlende Buildbindung und fehlende Evidenz sind eigenständige unvollständige Zustände.</w:t>
      </w:r>
    </w:p>
    <w:tbl>
      <w:tblPr>
        <w:tblW w:type="pct" w:w="5000"/>
        <w:tblBorders>
          <w:top w:val="single" w:color="D5DDE2" w:sz="3"/>
          <w:left w:val="single" w:color="D5DDE2" w:sz="3"/>
          <w:bottom w:val="single" w:color="D5DDE2" w:sz="3"/>
          <w:right w:val="single" w:color="D5DDE2" w:sz="3"/>
          <w:insideH w:val="single" w:color="D5DDE2" w:sz="3"/>
          <w:insideV w:val="single" w:color="D5DDE2" w:sz="3"/>
        </w:tblBorders>
      </w:tblPr>
      <w:tblGrid>
        <w:gridCol w:w="1805"/>
        <w:gridCol w:w="1805"/>
        <w:gridCol w:w="1805"/>
        <w:gridCol w:w="1805"/>
        <w:gridCol w:w="1805"/>
      </w:tblGrid>
      <w:tr>
        <w:trPr>
          <w:cantSplit/>
          <w:tblHeader/>
        </w:trPr>
        <w:tc>
          <w:tcPr>
            <w:shd w:fill="EDF2F5"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Prüfebene</w:t>
            </w:r>
          </w:p>
        </w:tc>
        <w:tc>
          <w:tcPr>
            <w:shd w:fill="EDF2F5"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Datum</w:t>
            </w:r>
          </w:p>
        </w:tc>
        <w:tc>
          <w:tcPr>
            <w:shd w:fill="EDF2F5"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Fälle</w:t>
            </w:r>
          </w:p>
        </w:tc>
        <w:tc>
          <w:tcPr>
            <w:shd w:fill="EDF2F5"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verifiziert</w:t>
            </w:r>
          </w:p>
        </w:tc>
        <w:tc>
          <w:tcPr>
            <w:shd w:fill="EDF2F5"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Ergebnis</w:t>
            </w:r>
          </w:p>
        </w:tc>
      </w:tr>
      <w:tr>
        <w:trPr>
          <w:cantSplit/>
        </w:trPr>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Fachschicht: POSITIV</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500</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500</w:t>
            </w:r>
          </w:p>
        </w:tc>
        <w:tc>
          <w:tcP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Fachschicht: NEGATIV</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500</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500</w:t>
            </w:r>
          </w:p>
        </w:tc>
        <w:tc>
          <w:tcPr>
            <w:shd w:fill="F7FAFB"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Fachschicht: ECHT</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27.10.2026</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5</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5</w:t>
            </w:r>
          </w:p>
        </w:tc>
        <w:tc>
          <w:tcPr>
            <w:tcMar>
              <w:top w:type="dxa" w:w="70"/>
              <w:left w:type="dxa" w:w="110"/>
              <w:bottom w:type="dxa" w:w="70"/>
              <w:right w:type="dxa" w:w="110"/>
            </w:tcMar>
          </w:tcPr>
          <w:p>
            <w:pPr>
              <w:jc w:val="left"/>
            </w:pPr>
            <w:r>
              <w:rPr>
                <w:rFonts w:ascii="Calibri" w:cs="Calibri" w:eastAsia="Calibri" w:hAnsi="Calibri"/>
                <w:b/>
                <w:bCs/>
                <w:color w:val="157534"/>
                <w:sz w:val="20"/>
                <w:szCs w:val="20"/>
              </w:rPr>
              <w:t xml:space="preserve">BESTANDEN</w:t>
            </w:r>
          </w:p>
        </w:tc>
      </w:tr>
      <w:tr>
        <w:trPr>
          <w:cantSplit/>
        </w:trPr>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Fachschicht: RECHNER</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27.10.2026</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12</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12</w:t>
            </w:r>
          </w:p>
        </w:tc>
        <w:tc>
          <w:tcPr>
            <w:shd w:fill="F7FAFB" w:val="clear"/>
            <w:tcMar>
              <w:top w:type="dxa" w:w="70"/>
              <w:left w:type="dxa" w:w="110"/>
              <w:bottom w:type="dxa" w:w="70"/>
              <w:right w:type="dxa" w:w="110"/>
            </w:tcMar>
          </w:tcPr>
          <w:p>
            <w:pPr>
              <w:jc w:val="left"/>
            </w:pPr>
            <w:r>
              <w:rPr>
                <w:rFonts w:ascii="Calibri" w:cs="Calibri" w:eastAsia="Calibri" w:hAnsi="Calibri"/>
                <w:b/>
                <w:bCs/>
                <w:color w:val="157534"/>
                <w:sz w:val="20"/>
                <w:szCs w:val="20"/>
              </w:rPr>
              <w:t xml:space="preserve">BESTANDEN</w:t>
            </w:r>
          </w:p>
        </w:tc>
      </w:tr>
      <w:tr>
        <w:trPr>
          <w:cantSplit/>
        </w:trPr>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Fachschicht: LAST</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120</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120</w:t>
            </w:r>
          </w:p>
        </w:tc>
        <w:tc>
          <w:tcP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Fachschicht: STRESS</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42</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42</w:t>
            </w:r>
          </w:p>
        </w:tc>
        <w:tc>
          <w:tcPr>
            <w:shd w:fill="F7FAFB"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WEB: POSITIV</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100</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100</w:t>
            </w:r>
          </w:p>
        </w:tc>
        <w:tc>
          <w:tcP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WEB: NEGATIV</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100</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100</w:t>
            </w:r>
          </w:p>
        </w:tc>
        <w:tc>
          <w:tcPr>
            <w:shd w:fill="F7FAFB"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WEB: LAST</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30</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30</w:t>
            </w:r>
          </w:p>
        </w:tc>
        <w:tc>
          <w:tcP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JUnit: Hauptprojekt</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27.10.2026</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395</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294</w:t>
            </w:r>
          </w:p>
        </w:tc>
        <w:tc>
          <w:tcPr>
            <w:shd w:fill="F7FAFB"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JUnit: testsweet</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27.10.2026</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346</w:t>
            </w:r>
          </w:p>
        </w:tc>
        <w:tc>
          <w:tcP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309</w:t>
            </w:r>
          </w:p>
        </w:tc>
        <w:tc>
          <w:tcP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r>
        <w:trPr>
          <w:cantSplit/>
        </w:trPr>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GLM: Positiv-/Negativstichprobe</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15.10.2026</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200</w:t>
            </w:r>
          </w:p>
        </w:tc>
        <w:tc>
          <w:tcPr>
            <w:shd w:fill="F7FAFB" w:val="clear"/>
            <w:tcMar>
              <w:top w:type="dxa" w:w="70"/>
              <w:left w:type="dxa" w:w="110"/>
              <w:bottom w:type="dxa" w:w="70"/>
              <w:right w:type="dxa" w:w="110"/>
            </w:tcMar>
          </w:tcPr>
          <w:p>
            <w:pPr>
              <w:jc w:val="left"/>
            </w:pPr>
            <w:r>
              <w:rPr>
                <w:rFonts w:ascii="Calibri" w:cs="Calibri" w:eastAsia="Calibri" w:hAnsi="Calibri"/>
                <w:b w:val="false"/>
                <w:bCs w:val="false"/>
                <w:color w:val="0E2A33"/>
                <w:sz w:val="20"/>
                <w:szCs w:val="20"/>
              </w:rPr>
              <w:t xml:space="preserve">0</w:t>
            </w:r>
          </w:p>
        </w:tc>
        <w:tc>
          <w:tcPr>
            <w:shd w:fill="F7FAFB" w:val="clear"/>
            <w:tcMar>
              <w:top w:type="dxa" w:w="70"/>
              <w:left w:type="dxa" w:w="110"/>
              <w:bottom w:type="dxa" w:w="70"/>
              <w:right w:type="dxa" w:w="110"/>
            </w:tcMar>
          </w:tcPr>
          <w:p>
            <w:pPr>
              <w:jc w:val="left"/>
            </w:pPr>
            <w:r>
              <w:rPr>
                <w:rFonts w:ascii="Calibri" w:cs="Calibri" w:eastAsia="Calibri" w:hAnsi="Calibri"/>
                <w:b/>
                <w:bCs/>
                <w:color w:val="0E2A33"/>
                <w:sz w:val="20"/>
                <w:szCs w:val="20"/>
              </w:rPr>
              <w:t xml:space="preserve">UNVOLLSTÄNDIG</w:t>
            </w:r>
          </w:p>
        </w:tc>
      </w:tr>
    </w:tbl>
    <w:p>
      <w:pPr>
        <w:shd w:fill="EDF2F5" w:val="clear"/>
        <w:spacing w:after="140"/>
      </w:pPr>
      <w:r>
        <w:rPr>
          <w:rFonts w:ascii="Calibri" w:cs="Calibri" w:eastAsia="Calibri" w:hAnsi="Calibri"/>
          <w:i/>
          <w:iCs/>
          <w:color w:val="526570"/>
          <w:sz w:val="20"/>
          <w:szCs w:val="20"/>
        </w:rPr>
        <w:t xml:space="preserve">Fachschicht|POSITIV: Getesteter Build ist nicht aktuell gebunden</w:t>
      </w:r>
    </w:p>
    <w:p>
      <w:pPr>
        <w:shd w:fill="EDF2F5" w:val="clear"/>
        <w:spacing w:after="140"/>
      </w:pPr>
      <w:r>
        <w:rPr>
          <w:rFonts w:ascii="Calibri" w:cs="Calibri" w:eastAsia="Calibri" w:hAnsi="Calibri"/>
          <w:i/>
          <w:iCs/>
          <w:color w:val="526570"/>
          <w:sz w:val="20"/>
          <w:szCs w:val="20"/>
        </w:rPr>
        <w:t xml:space="preserve">Fachschicht|NEGATIV: Getesteter Build ist nicht aktuell gebunden</w:t>
      </w:r>
    </w:p>
    <w:p>
      <w:pPr>
        <w:shd w:fill="EDF2F5" w:val="clear"/>
        <w:spacing w:after="140"/>
      </w:pPr>
      <w:r>
        <w:rPr>
          <w:rFonts w:ascii="Calibri" w:cs="Calibri" w:eastAsia="Calibri" w:hAnsi="Calibri"/>
          <w:i/>
          <w:iCs/>
          <w:color w:val="526570"/>
          <w:sz w:val="20"/>
          <w:szCs w:val="20"/>
        </w:rPr>
        <w:t xml:space="preserve">Fachschicht|LAST: Getesteter Build ist nicht aktuell gebunden</w:t>
      </w:r>
    </w:p>
    <w:p>
      <w:pPr>
        <w:shd w:fill="EDF2F5" w:val="clear"/>
        <w:spacing w:after="140"/>
      </w:pPr>
      <w:r>
        <w:rPr>
          <w:rFonts w:ascii="Calibri" w:cs="Calibri" w:eastAsia="Calibri" w:hAnsi="Calibri"/>
          <w:i/>
          <w:iCs/>
          <w:color w:val="526570"/>
          <w:sz w:val="20"/>
          <w:szCs w:val="20"/>
        </w:rPr>
        <w:t xml:space="preserve">Fachschicht|STRESS: Getesteter Build ist nicht aktuell gebunden</w:t>
      </w:r>
    </w:p>
    <w:p>
      <w:pPr>
        <w:shd w:fill="EDF2F5" w:val="clear"/>
        <w:spacing w:after="140"/>
      </w:pPr>
      <w:r>
        <w:rPr>
          <w:rFonts w:ascii="Calibri" w:cs="Calibri" w:eastAsia="Calibri" w:hAnsi="Calibri"/>
          <w:i/>
          <w:iCs/>
          <w:color w:val="526570"/>
          <w:sz w:val="20"/>
          <w:szCs w:val="20"/>
        </w:rPr>
        <w:t xml:space="preserve">WEB|POSITIV: Getesteter Build ist nicht aktuell gebunden</w:t>
      </w:r>
    </w:p>
    <w:p>
      <w:pPr>
        <w:shd w:fill="EDF2F5" w:val="clear"/>
        <w:spacing w:after="140"/>
      </w:pPr>
      <w:r>
        <w:rPr>
          <w:rFonts w:ascii="Calibri" w:cs="Calibri" w:eastAsia="Calibri" w:hAnsi="Calibri"/>
          <w:i/>
          <w:iCs/>
          <w:color w:val="526570"/>
          <w:sz w:val="20"/>
          <w:szCs w:val="20"/>
        </w:rPr>
        <w:t xml:space="preserve">WEB|NEGATIV: Getesteter Build ist nicht aktuell gebunden</w:t>
      </w:r>
    </w:p>
    <w:p>
      <w:pPr>
        <w:shd w:fill="EDF2F5" w:val="clear"/>
        <w:spacing w:after="140"/>
      </w:pPr>
      <w:r>
        <w:rPr>
          <w:rFonts w:ascii="Calibri" w:cs="Calibri" w:eastAsia="Calibri" w:hAnsi="Calibri"/>
          <w:i/>
          <w:iCs/>
          <w:color w:val="526570"/>
          <w:sz w:val="20"/>
          <w:szCs w:val="20"/>
        </w:rPr>
        <w:t xml:space="preserve">WEB|LAST: Getesteter Build ist nicht aktuell gebunden</w:t>
      </w:r>
    </w:p>
    <w:p>
      <w:pPr>
        <w:shd w:fill="EDF2F5" w:val="clear"/>
        <w:spacing w:after="140"/>
      </w:pPr>
      <w:r>
        <w:rPr>
          <w:rFonts w:ascii="Calibri" w:cs="Calibri" w:eastAsia="Calibri" w:hAnsi="Calibri"/>
          <w:i/>
          <w:iCs/>
          <w:color w:val="526570"/>
          <w:sz w:val="20"/>
          <w:szCs w:val="20"/>
        </w:rPr>
        <w:t xml:space="preserve">JUnit: Hauptprojekt: 101 Tests übersprungen; erforderlicher Umfang nicht vollständig geprüft</w:t>
      </w:r>
    </w:p>
    <w:p>
      <w:pPr>
        <w:shd w:fill="EDF2F5" w:val="clear"/>
        <w:spacing w:after="140"/>
      </w:pPr>
      <w:r>
        <w:rPr>
          <w:rFonts w:ascii="Calibri" w:cs="Calibri" w:eastAsia="Calibri" w:hAnsi="Calibri"/>
          <w:i/>
          <w:iCs/>
          <w:color w:val="526570"/>
          <w:sz w:val="20"/>
          <w:szCs w:val="20"/>
        </w:rPr>
        <w:t xml:space="preserve">JUnit: testsweet: 37 Tests übersprungen; erforderlicher Umfang nicht vollständig geprüft</w:t>
      </w:r>
    </w:p>
    <w:p>
      <w:pPr>
        <w:shd w:fill="EDF2F5" w:val="clear"/>
        <w:spacing w:after="140"/>
      </w:pPr>
      <w:r>
        <w:rPr>
          <w:rFonts w:ascii="Calibri" w:cs="Calibri" w:eastAsia="Calibri" w:hAnsi="Calibri"/>
          <w:i/>
          <w:iCs/>
          <w:color w:val="526570"/>
          <w:sz w:val="20"/>
          <w:szCs w:val="20"/>
        </w:rPr>
        <w:t xml:space="preserve">GLM: Positiv-/Negativstichprobe: Getesteter Software-/Buildstand ist veraltet oder nicht gebunden</w:t>
      </w:r>
    </w:p>
    <w:p>
      <w:pPr>
        <w:shd w:fill="EDF2F5" w:val="clear"/>
        <w:spacing w:after="140"/>
      </w:pPr>
      <w:r>
        <w:rPr>
          <w:rFonts w:ascii="Calibri" w:cs="Calibri" w:eastAsia="Calibri" w:hAnsi="Calibri"/>
          <w:i/>
          <w:iCs/>
          <w:color w:val="526570"/>
          <w:sz w:val="20"/>
          <w:szCs w:val="20"/>
        </w:rPr>
        <w:t xml:space="preserve">GLM prüft eine Positiv-/Negativstichprobe; ECHT/RECHNER haben eigene SQL-Läufe. Dieser Managementreport ersetzt nicht das gesonderte formale Zertifikatsdokument.</w:t>
      </w:r>
    </w:p>
    <w:p>
      <w:pPr>
        <w:pStyle w:val="Heading1"/>
        <w:keepNext/>
        <w:pageBreakBefore/>
        <w:spacing w:after="180" w:before="120"/>
      </w:pPr>
      <w:r>
        <w:rPr>
          <w:rFonts w:ascii="Calibri" w:cs="Calibri" w:eastAsia="Calibri" w:hAnsi="Calibri"/>
          <w:b/>
          <w:bCs/>
          <w:color w:val="0E2A33"/>
          <w:sz w:val="30"/>
          <w:szCs w:val="30"/>
        </w:rPr>
        <w:t xml:space="preserve">8  Fazit</w:t>
      </w:r>
    </w:p>
    <w:p>
      <w:pPr>
        <w:spacing w:after="120" w:line="275"/>
        <w:jc w:val="both"/>
      </w:pPr>
      <w:r>
        <w:rPr>
          <w:rFonts w:ascii="Calibri" w:cs="Calibri" w:eastAsia="Calibri" w:hAnsi="Calibri"/>
          <w:color w:val="0E2A33"/>
          <w:sz w:val="21"/>
          <w:szCs w:val="21"/>
        </w:rPr>
        <w:t xml:space="preserve">Gesamtbewertung: UNVOLLSTÄNDIG. Von 12 erklärten Prüfebenen sind 2 aktuell vollständig belegt.</w:t>
      </w:r>
    </w:p>
    <w:p>
      <w:pPr>
        <w:spacing w:after="120" w:line="275"/>
        <w:jc w:val="both"/>
      </w:pPr>
      <w:r>
        <w:rPr>
          <w:rFonts w:ascii="Calibri" w:cs="Calibri" w:eastAsia="Calibri" w:hAnsi="Calibri"/>
          <w:color w:val="0E2A33"/>
          <w:sz w:val="21"/>
          <w:szCs w:val="21"/>
        </w:rPr>
        <w:t xml:space="preserve">Eine vollständige positive Bestätigung ist mit diesem Nachweisstand nicht möglich. Die nicht bestandenen oder unvollständigen Ebenen und ihre Gründe stehen in Kapitel 7.</w:t>
      </w:r>
    </w:p>
    <w:p>
      <w:pPr>
        <w:spacing w:after="120" w:line="275"/>
        <w:jc w:val="both"/>
      </w:pPr>
      <w:r>
        <w:rPr>
          <w:rFonts w:ascii="Calibri" w:cs="Calibri" w:eastAsia="Calibri" w:hAnsi="Calibri"/>
          <w:color w:val="0E2A33"/>
          <w:sz w:val="21"/>
          <w:szCs w:val="21"/>
        </w:rPr>
        <w:t xml:space="preserve">Vor einer Freigabe sind bekannte Fehler zu klären und fehlende aktuelle Prüfungen nachzuholen. Eine erfolgreiche Wiederholung ersetzt ältere Ergebnisse nur bei eindeutig späterer Laufzeit und gültigen Belegen.</w:t>
      </w:r>
    </w:p>
    <w:p>
      <w:pPr>
        <w:pStyle w:val="Heading1"/>
        <w:keepNext/>
        <w:pageBreakBefore/>
        <w:spacing w:after="180" w:before="120"/>
      </w:pPr>
      <w:r>
        <w:rPr>
          <w:rFonts w:ascii="Calibri" w:cs="Calibri" w:eastAsia="Calibri" w:hAnsi="Calibri"/>
          <w:b/>
          <w:bCs/>
          <w:color w:val="0E2A33"/>
          <w:sz w:val="30"/>
          <w:szCs w:val="30"/>
        </w:rPr>
        <w:t xml:space="preserve">Gesamtbewertung des Prüfumfangs</w:t>
      </w:r>
    </w:p>
    <w:p>
      <w:pPr>
        <w:spacing w:after="120" w:line="275"/>
        <w:jc w:val="both"/>
      </w:pPr>
      <w:r>
        <w:rPr>
          <w:rFonts w:ascii="Calibri" w:cs="Calibri" w:eastAsia="Calibri" w:hAnsi="Calibri"/>
          <w:color w:val="0E2A33"/>
          <w:sz w:val="21"/>
          <w:szCs w:val="21"/>
        </w:rPr>
        <w:t xml:space="preserve">Diese Seite fasst den erklärten Prüfumfang aus Kapitel 7 zum Erstellungsdatum 27.10.2026 zusammen. Sie bestätigt keine zusätzliche Prüfung und keine über die dort ausgewiesenen Belege hinausgehende Fachabdeckung.</w:t>
      </w:r>
    </w:p>
    <w:p>
      <w:pPr>
        <w:spacing w:after="200" w:before="200"/>
      </w:pPr>
      <w:r>
        <w:rPr>
          <w:rFonts w:ascii="Calibri" w:cs="Calibri" w:eastAsia="Calibri" w:hAnsi="Calibri"/>
          <w:b/>
          <w:bCs/>
          <w:color w:val="925B00"/>
          <w:sz w:val="28"/>
          <w:szCs w:val="28"/>
        </w:rPr>
        <w:t xml:space="preserve">Gesamtbewertung: UNVOLLSTÄNDIG</w:t>
      </w:r>
    </w:p>
    <w:p>
      <w:pPr>
        <w:spacing w:after="120" w:line="275"/>
        <w:jc w:val="both"/>
      </w:pPr>
      <w:r>
        <w:rPr>
          <w:rFonts w:ascii="Calibri" w:cs="Calibri" w:eastAsia="Calibri" w:hAnsi="Calibri"/>
          <w:color w:val="0E2A33"/>
          <w:sz w:val="21"/>
          <w:szCs w:val="21"/>
        </w:rPr>
        <w:t xml:space="preserve">Report-Kennung D9F999A2. Nur vollständig aktuelle PASS-Ebenen tragen eine positive Gesamtbewertung; bekannte Fehler haben Vorrang vor Unvollständigkeit. Die Eingaben und PDF-Bytes sind beim Abruf erneut zu prüfen.</w:t>
      </w:r>
    </w:p>
    <w:p>
      <w:pPr>
        <w:shd w:fill="EDF2F5" w:val="clear"/>
        <w:spacing w:after="140"/>
      </w:pPr>
      <w:r>
        <w:rPr>
          <w:rFonts w:ascii="Calibri" w:cs="Calibri" w:eastAsia="Calibri" w:hAnsi="Calibri"/>
          <w:i/>
          <w:iCs/>
          <w:color w:val="526570"/>
          <w:sz w:val="20"/>
          <w:szCs w:val="20"/>
        </w:rPr>
        <w:t xml:space="preserve">Der formale, beleggebundene Zertifikatsnachweis ist ausschließlich das separate Dokument SDN-Leistung-LMG-Testzertifikat. Die Kategorien ECHT/RECHNER belegen quellenbasierte Modellfälle und feste Ergebnissperren; sie ersetzen keine vollständige Prüfung realer Bescheide.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570"/>
        <w:sz w:val="18"/>
        <w:szCs w:val="18"/>
      </w:rPr>
      <w:t xml:space="preserve">SDN.Leistung Testreport · Report D9F999A2 · Seite </w:t>
    </w:r>
    <w:r>
      <w:rPr>
        <w:rFonts w:ascii="Calibri" w:cs="Calibri" w:eastAsia="Calibri" w:hAnsi="Calibri"/>
        <w:color w:val="5265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c254f79acf786362506390e987abf967b54c820.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SDN.Leistung Testreport</dc:title>
  <dc:creator>testsweet Testreport-Werkzeug</dc:creator>
  <cp:lastModifiedBy>Un-named</cp:lastModifiedBy>
  <cp:revision>1</cp:revision>
  <dcterms:created xsi:type="dcterms:W3CDTF">2026-10-27T09:16:24.134Z</dcterms:created>
  <dcterms:modified xsi:type="dcterms:W3CDTF">2026-10-27T09:16:24.134Z</dcterms:modified>
</cp:coreProperties>
</file>

<file path=docProps/custom.xml><?xml version="1.0" encoding="utf-8"?>
<Properties xmlns="http://schemas.openxmlformats.org/officeDocument/2006/custom-properties" xmlns:vt="http://schemas.openxmlformats.org/officeDocument/2006/docPropsVTypes"/>
</file>