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11906"/>
      </w:tblGrid>
      <w:tr w:rsidR="00EC7D8B" w14:paraId="2C5EB115" w14:textId="77777777">
        <w:trPr>
          <w:trHeight w:hRule="exact" w:val="16838"/>
        </w:trPr>
        <w:tc>
          <w:tcPr>
            <w:tcW w:w="11906" w:type="dxa"/>
            <w:tcBorders>
              <w:top w:val="none" w:sz="0" w:space="0" w:color="FFFFFF"/>
              <w:left w:val="none" w:sz="0" w:space="0" w:color="FFFFFF"/>
              <w:bottom w:val="none" w:sz="0" w:space="0" w:color="FFFFFF"/>
              <w:right w:val="none" w:sz="0" w:space="0" w:color="FFFFFF"/>
            </w:tcBorders>
            <w:shd w:val="clear" w:color="auto" w:fill="162235"/>
          </w:tcPr>
          <w:p w14:paraId="67828FED" w14:textId="77777777" w:rsidR="00EC7D8B" w:rsidRDefault="00EC7D8B">
            <w:pPr>
              <w:spacing w:before="4241"/>
            </w:pPr>
          </w:p>
          <w:p w14:paraId="16D8664B" w14:textId="77777777" w:rsidR="00EC7D8B" w:rsidRDefault="00000000">
            <w:pPr>
              <w:pBdr>
                <w:bottom w:val="single" w:sz="6" w:space="8" w:color="37DCF2"/>
              </w:pBdr>
              <w:spacing w:after="500"/>
              <w:ind w:left="1200" w:right="800"/>
            </w:pPr>
            <w:r>
              <w:rPr>
                <w:color w:val="37DCF2"/>
                <w:spacing w:val="40"/>
                <w:sz w:val="18"/>
                <w:szCs w:val="18"/>
              </w:rPr>
              <w:t xml:space="preserve">C L A S </w:t>
            </w:r>
            <w:proofErr w:type="spellStart"/>
            <w:r>
              <w:rPr>
                <w:color w:val="37DCF2"/>
                <w:spacing w:val="40"/>
                <w:sz w:val="18"/>
                <w:szCs w:val="18"/>
              </w:rPr>
              <w:t>S</w:t>
            </w:r>
            <w:proofErr w:type="spellEnd"/>
            <w:r>
              <w:rPr>
                <w:color w:val="37DCF2"/>
                <w:spacing w:val="40"/>
                <w:sz w:val="18"/>
                <w:szCs w:val="18"/>
              </w:rPr>
              <w:t xml:space="preserve">   R E F E R E N C E</w:t>
            </w:r>
          </w:p>
          <w:p w14:paraId="06D91401" w14:textId="77777777" w:rsidR="00EC7D8B" w:rsidRDefault="00000000">
            <w:pPr>
              <w:spacing w:after="100" w:line="920" w:lineRule="atLeast"/>
              <w:ind w:left="1200"/>
            </w:pPr>
            <w:r>
              <w:rPr>
                <w:rFonts w:ascii="Arial" w:hAnsi="Arial"/>
                <w:b/>
                <w:bCs/>
                <w:color w:val="FFFFFF"/>
                <w:sz w:val="80"/>
                <w:szCs w:val="80"/>
              </w:rPr>
              <w:t>Klassen- und</w:t>
            </w:r>
          </w:p>
          <w:p w14:paraId="50E12C26" w14:textId="77777777" w:rsidR="00EC7D8B" w:rsidRDefault="00000000">
            <w:pPr>
              <w:spacing w:after="300" w:line="920" w:lineRule="atLeast"/>
              <w:ind w:left="1200"/>
            </w:pPr>
            <w:r>
              <w:rPr>
                <w:rFonts w:ascii="Arial" w:hAnsi="Arial"/>
                <w:b/>
                <w:bCs/>
                <w:color w:val="FFFFFF"/>
                <w:sz w:val="80"/>
                <w:szCs w:val="80"/>
              </w:rPr>
              <w:t>Architekturüberblick</w:t>
            </w:r>
          </w:p>
          <w:p w14:paraId="69679A13" w14:textId="77777777" w:rsidR="00EC7D8B" w:rsidRDefault="00000000">
            <w:pPr>
              <w:spacing w:after="800"/>
              <w:ind w:left="1200"/>
            </w:pPr>
            <w:proofErr w:type="spellStart"/>
            <w:r>
              <w:rPr>
                <w:color w:val="B0B8C0"/>
                <w:sz w:val="24"/>
                <w:szCs w:val="24"/>
              </w:rPr>
              <w:t>SDN.Leistung</w:t>
            </w:r>
            <w:proofErr w:type="spellEnd"/>
            <w:r>
              <w:rPr>
                <w:color w:val="B0B8C0"/>
                <w:sz w:val="24"/>
                <w:szCs w:val="24"/>
              </w:rPr>
              <w:t xml:space="preserve"> LMG — Transaktionssteuerung und Fachschicht auf Java 21 und Oracle</w:t>
            </w:r>
          </w:p>
          <w:p w14:paraId="468EB6CD" w14:textId="77777777" w:rsidR="00EC7D8B" w:rsidRDefault="00000000">
            <w:pPr>
              <w:pBdr>
                <w:left w:val="single" w:sz="8" w:space="12" w:color="37DCF2"/>
              </w:pBdr>
              <w:spacing w:after="80"/>
              <w:ind w:left="1400"/>
            </w:pPr>
            <w:r>
              <w:rPr>
                <w:color w:val="90989F"/>
                <w:sz w:val="24"/>
                <w:szCs w:val="24"/>
              </w:rPr>
              <w:t>Projekt Leistungsmanagement Grundsicherung</w:t>
            </w:r>
          </w:p>
          <w:p w14:paraId="6C079F86" w14:textId="77777777" w:rsidR="00EC7D8B" w:rsidRDefault="00000000">
            <w:pPr>
              <w:pBdr>
                <w:left w:val="single" w:sz="8" w:space="12" w:color="37DCF2"/>
              </w:pBdr>
              <w:spacing w:after="80"/>
              <w:ind w:left="1400"/>
            </w:pPr>
            <w:r>
              <w:rPr>
                <w:color w:val="90989F"/>
                <w:sz w:val="24"/>
                <w:szCs w:val="24"/>
              </w:rPr>
              <w:t>69 Klassen in 12 Paketen, mit Erklärungen und Lernpfad</w:t>
            </w:r>
          </w:p>
          <w:p w14:paraId="7B7FDBB3" w14:textId="77777777" w:rsidR="00EC7D8B" w:rsidRDefault="00000000">
            <w:pPr>
              <w:pBdr>
                <w:left w:val="single" w:sz="8" w:space="12" w:color="37DCF2"/>
              </w:pBdr>
              <w:spacing w:after="80"/>
              <w:ind w:left="1400"/>
            </w:pPr>
            <w:r>
              <w:rPr>
                <w:color w:val="90989F"/>
                <w:sz w:val="24"/>
                <w:szCs w:val="24"/>
              </w:rPr>
              <w:t>Stand: 12. Oktober 2026 (Version 0.5.8)</w:t>
            </w:r>
          </w:p>
          <w:p w14:paraId="731C6453" w14:textId="77777777" w:rsidR="00EC7D8B" w:rsidRDefault="00EC7D8B">
            <w:pPr>
              <w:spacing w:before="4241"/>
            </w:pPr>
          </w:p>
          <w:p w14:paraId="2341BF90" w14:textId="77777777" w:rsidR="00EC7D8B" w:rsidRDefault="00000000">
            <w:pPr>
              <w:pBdr>
                <w:top w:val="single" w:sz="2" w:space="8" w:color="37DCF2"/>
              </w:pBdr>
              <w:spacing w:before="200"/>
              <w:ind w:left="1200" w:right="800"/>
            </w:pPr>
            <w:proofErr w:type="spellStart"/>
            <w:r>
              <w:rPr>
                <w:color w:val="687078"/>
                <w:sz w:val="16"/>
                <w:szCs w:val="16"/>
              </w:rPr>
              <w:t>SDN.Leistung</w:t>
            </w:r>
            <w:proofErr w:type="spellEnd"/>
            <w:r>
              <w:rPr>
                <w:color w:val="687078"/>
                <w:sz w:val="16"/>
                <w:szCs w:val="16"/>
              </w:rPr>
              <w:t xml:space="preserve"> LMG</w:t>
            </w:r>
            <w:r>
              <w:rPr>
                <w:sz w:val="16"/>
                <w:szCs w:val="16"/>
              </w:rPr>
              <w:t xml:space="preserve">                                                                  </w:t>
            </w:r>
            <w:r>
              <w:rPr>
                <w:color w:val="687078"/>
                <w:sz w:val="16"/>
                <w:szCs w:val="16"/>
              </w:rPr>
              <w:t>Version 0.5.8 · Oktober 2026</w:t>
            </w:r>
          </w:p>
        </w:tc>
      </w:tr>
    </w:tbl>
    <w:p w14:paraId="47BC4E31" w14:textId="77777777" w:rsidR="00EC7D8B" w:rsidRDefault="00EC7D8B">
      <w:pPr>
        <w:sectPr w:rsidR="00EC7D8B">
          <w:pgSz w:w="11906" w:h="16838"/>
          <w:pgMar w:top="0" w:right="0" w:bottom="0" w:left="0" w:header="708" w:footer="708" w:gutter="0"/>
          <w:cols w:space="720"/>
          <w:docGrid w:linePitch="360"/>
        </w:sectPr>
      </w:pPr>
    </w:p>
    <w:p w14:paraId="1E10864B" w14:textId="77777777" w:rsidR="00EC7D8B" w:rsidRDefault="00000000">
      <w:pPr>
        <w:pBdr>
          <w:bottom w:val="single" w:sz="6" w:space="6" w:color="1B6B7A"/>
        </w:pBdr>
        <w:spacing w:before="240" w:after="120"/>
      </w:pPr>
      <w:r>
        <w:rPr>
          <w:rFonts w:ascii="Arial" w:hAnsi="Arial"/>
          <w:b/>
          <w:bCs/>
          <w:color w:val="0E2A33"/>
          <w:sz w:val="32"/>
          <w:szCs w:val="32"/>
        </w:rPr>
        <w:lastRenderedPageBreak/>
        <w:t>Inhaltsverzeichnis</w:t>
      </w:r>
    </w:p>
    <w:sdt>
      <w:sdtPr>
        <w:alias w:val="Inhaltsverzeichnis"/>
        <w:id w:val="1424677240"/>
      </w:sdtPr>
      <w:sdtContent>
        <w:p w14:paraId="7AFCB293" w14:textId="19E79BF6" w:rsidR="0050756B" w:rsidRDefault="00000000">
          <w:pPr>
            <w:pStyle w:val="Verzeichnis1"/>
            <w:tabs>
              <w:tab w:val="right" w:leader="dot" w:pos="8778"/>
            </w:tabs>
            <w:rPr>
              <w:noProof/>
            </w:rPr>
          </w:pPr>
          <w:r>
            <w:fldChar w:fldCharType="begin"/>
          </w:r>
          <w:r>
            <w:instrText xml:space="preserve"> TOC \h \o "1-2" </w:instrText>
          </w:r>
          <w:r>
            <w:fldChar w:fldCharType="separate"/>
          </w:r>
          <w:hyperlink w:anchor="_Toc242983998" w:history="1">
            <w:r w:rsidR="0050756B" w:rsidRPr="002A74A6">
              <w:rPr>
                <w:rStyle w:val="Hyperlink"/>
                <w:noProof/>
              </w:rPr>
              <w:t>1 Das Projekt in Kürze</w:t>
            </w:r>
            <w:r w:rsidR="0050756B">
              <w:rPr>
                <w:noProof/>
              </w:rPr>
              <w:tab/>
            </w:r>
            <w:r w:rsidR="0050756B">
              <w:rPr>
                <w:noProof/>
              </w:rPr>
              <w:fldChar w:fldCharType="begin"/>
            </w:r>
            <w:r w:rsidR="0050756B">
              <w:rPr>
                <w:noProof/>
              </w:rPr>
              <w:instrText xml:space="preserve"> PAGEREF _Toc242983998 \h </w:instrText>
            </w:r>
            <w:r w:rsidR="0050756B">
              <w:rPr>
                <w:noProof/>
              </w:rPr>
            </w:r>
            <w:r w:rsidR="0050756B">
              <w:rPr>
                <w:noProof/>
              </w:rPr>
              <w:fldChar w:fldCharType="separate"/>
            </w:r>
            <w:r w:rsidR="0050756B">
              <w:rPr>
                <w:noProof/>
              </w:rPr>
              <w:t>3</w:t>
            </w:r>
            <w:r w:rsidR="0050756B">
              <w:rPr>
                <w:noProof/>
              </w:rPr>
              <w:fldChar w:fldCharType="end"/>
            </w:r>
          </w:hyperlink>
        </w:p>
        <w:p w14:paraId="4B5BAE9B" w14:textId="5AD7494C" w:rsidR="0050756B" w:rsidRDefault="0050756B">
          <w:pPr>
            <w:pStyle w:val="Verzeichnis2"/>
            <w:tabs>
              <w:tab w:val="right" w:leader="dot" w:pos="8778"/>
            </w:tabs>
            <w:rPr>
              <w:noProof/>
            </w:rPr>
          </w:pPr>
          <w:hyperlink w:anchor="_Toc242983999" w:history="1">
            <w:r w:rsidRPr="002A74A6">
              <w:rPr>
                <w:rStyle w:val="Hyperlink"/>
                <w:noProof/>
              </w:rPr>
              <w:t>1.1 Worum es geht</w:t>
            </w:r>
            <w:r>
              <w:rPr>
                <w:noProof/>
              </w:rPr>
              <w:tab/>
            </w:r>
            <w:r>
              <w:rPr>
                <w:noProof/>
              </w:rPr>
              <w:fldChar w:fldCharType="begin"/>
            </w:r>
            <w:r>
              <w:rPr>
                <w:noProof/>
              </w:rPr>
              <w:instrText xml:space="preserve"> PAGEREF _Toc242983999 \h </w:instrText>
            </w:r>
            <w:r>
              <w:rPr>
                <w:noProof/>
              </w:rPr>
            </w:r>
            <w:r>
              <w:rPr>
                <w:noProof/>
              </w:rPr>
              <w:fldChar w:fldCharType="separate"/>
            </w:r>
            <w:r>
              <w:rPr>
                <w:noProof/>
              </w:rPr>
              <w:t>3</w:t>
            </w:r>
            <w:r>
              <w:rPr>
                <w:noProof/>
              </w:rPr>
              <w:fldChar w:fldCharType="end"/>
            </w:r>
          </w:hyperlink>
        </w:p>
        <w:p w14:paraId="17465E3B" w14:textId="4920ADD8" w:rsidR="0050756B" w:rsidRDefault="0050756B">
          <w:pPr>
            <w:pStyle w:val="Verzeichnis2"/>
            <w:tabs>
              <w:tab w:val="right" w:leader="dot" w:pos="8778"/>
            </w:tabs>
            <w:rPr>
              <w:noProof/>
            </w:rPr>
          </w:pPr>
          <w:hyperlink w:anchor="_Toc242984000" w:history="1">
            <w:r w:rsidRPr="002A74A6">
              <w:rPr>
                <w:rStyle w:val="Hyperlink"/>
                <w:noProof/>
              </w:rPr>
              <w:t>1.2 Die Paketstruktur im Überblick</w:t>
            </w:r>
            <w:r>
              <w:rPr>
                <w:noProof/>
              </w:rPr>
              <w:tab/>
            </w:r>
            <w:r>
              <w:rPr>
                <w:noProof/>
              </w:rPr>
              <w:fldChar w:fldCharType="begin"/>
            </w:r>
            <w:r>
              <w:rPr>
                <w:noProof/>
              </w:rPr>
              <w:instrText xml:space="preserve"> PAGEREF _Toc242984000 \h </w:instrText>
            </w:r>
            <w:r>
              <w:rPr>
                <w:noProof/>
              </w:rPr>
            </w:r>
            <w:r>
              <w:rPr>
                <w:noProof/>
              </w:rPr>
              <w:fldChar w:fldCharType="separate"/>
            </w:r>
            <w:r>
              <w:rPr>
                <w:noProof/>
              </w:rPr>
              <w:t>3</w:t>
            </w:r>
            <w:r>
              <w:rPr>
                <w:noProof/>
              </w:rPr>
              <w:fldChar w:fldCharType="end"/>
            </w:r>
          </w:hyperlink>
        </w:p>
        <w:p w14:paraId="0199C2D2" w14:textId="4C98E7FE" w:rsidR="0050756B" w:rsidRDefault="0050756B">
          <w:pPr>
            <w:pStyle w:val="Verzeichnis2"/>
            <w:tabs>
              <w:tab w:val="right" w:leader="dot" w:pos="8778"/>
            </w:tabs>
            <w:rPr>
              <w:noProof/>
            </w:rPr>
          </w:pPr>
          <w:hyperlink w:anchor="_Toc242984001" w:history="1">
            <w:r w:rsidRPr="002A74A6">
              <w:rPr>
                <w:rStyle w:val="Hyperlink"/>
                <w:noProof/>
              </w:rPr>
              <w:t>1.3 Wie man dieses Dokument nutzt</w:t>
            </w:r>
            <w:r>
              <w:rPr>
                <w:noProof/>
              </w:rPr>
              <w:tab/>
            </w:r>
            <w:r>
              <w:rPr>
                <w:noProof/>
              </w:rPr>
              <w:fldChar w:fldCharType="begin"/>
            </w:r>
            <w:r>
              <w:rPr>
                <w:noProof/>
              </w:rPr>
              <w:instrText xml:space="preserve"> PAGEREF _Toc242984001 \h </w:instrText>
            </w:r>
            <w:r>
              <w:rPr>
                <w:noProof/>
              </w:rPr>
            </w:r>
            <w:r>
              <w:rPr>
                <w:noProof/>
              </w:rPr>
              <w:fldChar w:fldCharType="separate"/>
            </w:r>
            <w:r>
              <w:rPr>
                <w:noProof/>
              </w:rPr>
              <w:t>4</w:t>
            </w:r>
            <w:r>
              <w:rPr>
                <w:noProof/>
              </w:rPr>
              <w:fldChar w:fldCharType="end"/>
            </w:r>
          </w:hyperlink>
        </w:p>
        <w:p w14:paraId="02D3AD69" w14:textId="6D852CF1" w:rsidR="0050756B" w:rsidRDefault="0050756B">
          <w:pPr>
            <w:pStyle w:val="Verzeichnis1"/>
            <w:tabs>
              <w:tab w:val="right" w:leader="dot" w:pos="8778"/>
            </w:tabs>
            <w:rPr>
              <w:noProof/>
            </w:rPr>
          </w:pPr>
          <w:hyperlink w:anchor="_Toc242984002" w:history="1">
            <w:r w:rsidRPr="002A74A6">
              <w:rPr>
                <w:rStyle w:val="Hyperlink"/>
                <w:noProof/>
              </w:rPr>
              <w:t>2 Der Transaktionskern: de.allgemein.tx</w:t>
            </w:r>
            <w:r>
              <w:rPr>
                <w:noProof/>
              </w:rPr>
              <w:tab/>
            </w:r>
            <w:r>
              <w:rPr>
                <w:noProof/>
              </w:rPr>
              <w:fldChar w:fldCharType="begin"/>
            </w:r>
            <w:r>
              <w:rPr>
                <w:noProof/>
              </w:rPr>
              <w:instrText xml:space="preserve"> PAGEREF _Toc242984002 \h </w:instrText>
            </w:r>
            <w:r>
              <w:rPr>
                <w:noProof/>
              </w:rPr>
            </w:r>
            <w:r>
              <w:rPr>
                <w:noProof/>
              </w:rPr>
              <w:fldChar w:fldCharType="separate"/>
            </w:r>
            <w:r>
              <w:rPr>
                <w:noProof/>
              </w:rPr>
              <w:t>5</w:t>
            </w:r>
            <w:r>
              <w:rPr>
                <w:noProof/>
              </w:rPr>
              <w:fldChar w:fldCharType="end"/>
            </w:r>
          </w:hyperlink>
        </w:p>
        <w:p w14:paraId="0DB054B0" w14:textId="68805CB0" w:rsidR="0050756B" w:rsidRDefault="0050756B">
          <w:pPr>
            <w:pStyle w:val="Verzeichnis2"/>
            <w:tabs>
              <w:tab w:val="right" w:leader="dot" w:pos="8778"/>
            </w:tabs>
            <w:rPr>
              <w:noProof/>
            </w:rPr>
          </w:pPr>
          <w:hyperlink w:anchor="_Toc242984003" w:history="1">
            <w:r w:rsidRPr="002A74A6">
              <w:rPr>
                <w:rStyle w:val="Hyperlink"/>
                <w:noProof/>
              </w:rPr>
              <w:t>2.1 Idee und Zusammenspiel</w:t>
            </w:r>
            <w:r>
              <w:rPr>
                <w:noProof/>
              </w:rPr>
              <w:tab/>
            </w:r>
            <w:r>
              <w:rPr>
                <w:noProof/>
              </w:rPr>
              <w:fldChar w:fldCharType="begin"/>
            </w:r>
            <w:r>
              <w:rPr>
                <w:noProof/>
              </w:rPr>
              <w:instrText xml:space="preserve"> PAGEREF _Toc242984003 \h </w:instrText>
            </w:r>
            <w:r>
              <w:rPr>
                <w:noProof/>
              </w:rPr>
            </w:r>
            <w:r>
              <w:rPr>
                <w:noProof/>
              </w:rPr>
              <w:fldChar w:fldCharType="separate"/>
            </w:r>
            <w:r>
              <w:rPr>
                <w:noProof/>
              </w:rPr>
              <w:t>5</w:t>
            </w:r>
            <w:r>
              <w:rPr>
                <w:noProof/>
              </w:rPr>
              <w:fldChar w:fldCharType="end"/>
            </w:r>
          </w:hyperlink>
        </w:p>
        <w:p w14:paraId="40ADA41D" w14:textId="41801EDA" w:rsidR="0050756B" w:rsidRDefault="0050756B">
          <w:pPr>
            <w:pStyle w:val="Verzeichnis2"/>
            <w:tabs>
              <w:tab w:val="right" w:leader="dot" w:pos="8778"/>
            </w:tabs>
            <w:rPr>
              <w:noProof/>
            </w:rPr>
          </w:pPr>
          <w:hyperlink w:anchor="_Toc242984004" w:history="1">
            <w:r w:rsidRPr="002A74A6">
              <w:rPr>
                <w:rStyle w:val="Hyperlink"/>
                <w:noProof/>
              </w:rPr>
              <w:t>2.2 Transaktionsführung (Paketwurzel)</w:t>
            </w:r>
            <w:r>
              <w:rPr>
                <w:noProof/>
              </w:rPr>
              <w:tab/>
            </w:r>
            <w:r>
              <w:rPr>
                <w:noProof/>
              </w:rPr>
              <w:fldChar w:fldCharType="begin"/>
            </w:r>
            <w:r>
              <w:rPr>
                <w:noProof/>
              </w:rPr>
              <w:instrText xml:space="preserve"> PAGEREF _Toc242984004 \h </w:instrText>
            </w:r>
            <w:r>
              <w:rPr>
                <w:noProof/>
              </w:rPr>
            </w:r>
            <w:r>
              <w:rPr>
                <w:noProof/>
              </w:rPr>
              <w:fldChar w:fldCharType="separate"/>
            </w:r>
            <w:r>
              <w:rPr>
                <w:noProof/>
              </w:rPr>
              <w:t>5</w:t>
            </w:r>
            <w:r>
              <w:rPr>
                <w:noProof/>
              </w:rPr>
              <w:fldChar w:fldCharType="end"/>
            </w:r>
          </w:hyperlink>
        </w:p>
        <w:p w14:paraId="607DB241" w14:textId="1FE2832A" w:rsidR="0050756B" w:rsidRDefault="0050756B">
          <w:pPr>
            <w:pStyle w:val="Verzeichnis2"/>
            <w:tabs>
              <w:tab w:val="right" w:leader="dot" w:pos="8778"/>
            </w:tabs>
            <w:rPr>
              <w:noProof/>
            </w:rPr>
          </w:pPr>
          <w:hyperlink w:anchor="_Toc242984005" w:history="1">
            <w:r w:rsidRPr="002A74A6">
              <w:rPr>
                <w:rStyle w:val="Hyperlink"/>
                <w:noProof/>
              </w:rPr>
              <w:t>2.3 Task-Steuerung (Transaktionsmonitor-Rolle)</w:t>
            </w:r>
            <w:r>
              <w:rPr>
                <w:noProof/>
              </w:rPr>
              <w:tab/>
            </w:r>
            <w:r>
              <w:rPr>
                <w:noProof/>
              </w:rPr>
              <w:fldChar w:fldCharType="begin"/>
            </w:r>
            <w:r>
              <w:rPr>
                <w:noProof/>
              </w:rPr>
              <w:instrText xml:space="preserve"> PAGEREF _Toc242984005 \h </w:instrText>
            </w:r>
            <w:r>
              <w:rPr>
                <w:noProof/>
              </w:rPr>
            </w:r>
            <w:r>
              <w:rPr>
                <w:noProof/>
              </w:rPr>
              <w:fldChar w:fldCharType="separate"/>
            </w:r>
            <w:r>
              <w:rPr>
                <w:noProof/>
              </w:rPr>
              <w:t>7</w:t>
            </w:r>
            <w:r>
              <w:rPr>
                <w:noProof/>
              </w:rPr>
              <w:fldChar w:fldCharType="end"/>
            </w:r>
          </w:hyperlink>
        </w:p>
        <w:p w14:paraId="512C554F" w14:textId="42F7231B" w:rsidR="0050756B" w:rsidRDefault="0050756B">
          <w:pPr>
            <w:pStyle w:val="Verzeichnis2"/>
            <w:tabs>
              <w:tab w:val="right" w:leader="dot" w:pos="8778"/>
            </w:tabs>
            <w:rPr>
              <w:noProof/>
            </w:rPr>
          </w:pPr>
          <w:hyperlink w:anchor="_Toc242984006" w:history="1">
            <w:r w:rsidRPr="002A74A6">
              <w:rPr>
                <w:rStyle w:val="Hyperlink"/>
                <w:noProof/>
              </w:rPr>
              <w:t>2.4 Verbindungspools</w:t>
            </w:r>
            <w:r>
              <w:rPr>
                <w:noProof/>
              </w:rPr>
              <w:tab/>
            </w:r>
            <w:r>
              <w:rPr>
                <w:noProof/>
              </w:rPr>
              <w:fldChar w:fldCharType="begin"/>
            </w:r>
            <w:r>
              <w:rPr>
                <w:noProof/>
              </w:rPr>
              <w:instrText xml:space="preserve"> PAGEREF _Toc242984006 \h </w:instrText>
            </w:r>
            <w:r>
              <w:rPr>
                <w:noProof/>
              </w:rPr>
            </w:r>
            <w:r>
              <w:rPr>
                <w:noProof/>
              </w:rPr>
              <w:fldChar w:fldCharType="separate"/>
            </w:r>
            <w:r>
              <w:rPr>
                <w:noProof/>
              </w:rPr>
              <w:t>8</w:t>
            </w:r>
            <w:r>
              <w:rPr>
                <w:noProof/>
              </w:rPr>
              <w:fldChar w:fldCharType="end"/>
            </w:r>
          </w:hyperlink>
        </w:p>
        <w:p w14:paraId="2CD18E8B" w14:textId="1A9B01C9" w:rsidR="0050756B" w:rsidRDefault="0050756B">
          <w:pPr>
            <w:pStyle w:val="Verzeichnis2"/>
            <w:tabs>
              <w:tab w:val="right" w:leader="dot" w:pos="8778"/>
            </w:tabs>
            <w:rPr>
              <w:noProof/>
            </w:rPr>
          </w:pPr>
          <w:hyperlink w:anchor="_Toc242984007" w:history="1">
            <w:r w:rsidRPr="002A74A6">
              <w:rPr>
                <w:rStyle w:val="Hyperlink"/>
                <w:noProof/>
              </w:rPr>
              <w:t>2.5 Das Saga-Paket tx.saga — lange Geschäftsvorgänge</w:t>
            </w:r>
            <w:r>
              <w:rPr>
                <w:noProof/>
              </w:rPr>
              <w:tab/>
            </w:r>
            <w:r>
              <w:rPr>
                <w:noProof/>
              </w:rPr>
              <w:fldChar w:fldCharType="begin"/>
            </w:r>
            <w:r>
              <w:rPr>
                <w:noProof/>
              </w:rPr>
              <w:instrText xml:space="preserve"> PAGEREF _Toc242984007 \h </w:instrText>
            </w:r>
            <w:r>
              <w:rPr>
                <w:noProof/>
              </w:rPr>
            </w:r>
            <w:r>
              <w:rPr>
                <w:noProof/>
              </w:rPr>
              <w:fldChar w:fldCharType="separate"/>
            </w:r>
            <w:r>
              <w:rPr>
                <w:noProof/>
              </w:rPr>
              <w:t>8</w:t>
            </w:r>
            <w:r>
              <w:rPr>
                <w:noProof/>
              </w:rPr>
              <w:fldChar w:fldCharType="end"/>
            </w:r>
          </w:hyperlink>
        </w:p>
        <w:p w14:paraId="7E5631F9" w14:textId="6A92470B" w:rsidR="0050756B" w:rsidRDefault="0050756B">
          <w:pPr>
            <w:pStyle w:val="Verzeichnis2"/>
            <w:tabs>
              <w:tab w:val="right" w:leader="dot" w:pos="8778"/>
            </w:tabs>
            <w:rPr>
              <w:noProof/>
            </w:rPr>
          </w:pPr>
          <w:hyperlink w:anchor="_Toc242984008" w:history="1">
            <w:r w:rsidRPr="002A74A6">
              <w:rPr>
                <w:rStyle w:val="Hyperlink"/>
                <w:noProof/>
              </w:rPr>
              <w:t>2.6 Das Audit-Paket tx.audit</w:t>
            </w:r>
            <w:r>
              <w:rPr>
                <w:noProof/>
              </w:rPr>
              <w:tab/>
            </w:r>
            <w:r>
              <w:rPr>
                <w:noProof/>
              </w:rPr>
              <w:fldChar w:fldCharType="begin"/>
            </w:r>
            <w:r>
              <w:rPr>
                <w:noProof/>
              </w:rPr>
              <w:instrText xml:space="preserve"> PAGEREF _Toc242984008 \h </w:instrText>
            </w:r>
            <w:r>
              <w:rPr>
                <w:noProof/>
              </w:rPr>
            </w:r>
            <w:r>
              <w:rPr>
                <w:noProof/>
              </w:rPr>
              <w:fldChar w:fldCharType="separate"/>
            </w:r>
            <w:r>
              <w:rPr>
                <w:noProof/>
              </w:rPr>
              <w:t>13</w:t>
            </w:r>
            <w:r>
              <w:rPr>
                <w:noProof/>
              </w:rPr>
              <w:fldChar w:fldCharType="end"/>
            </w:r>
          </w:hyperlink>
        </w:p>
        <w:p w14:paraId="4BC82899" w14:textId="3E21DC4A" w:rsidR="0050756B" w:rsidRDefault="0050756B">
          <w:pPr>
            <w:pStyle w:val="Verzeichnis2"/>
            <w:tabs>
              <w:tab w:val="right" w:leader="dot" w:pos="8778"/>
            </w:tabs>
            <w:rPr>
              <w:noProof/>
            </w:rPr>
          </w:pPr>
          <w:hyperlink w:anchor="_Toc242984009" w:history="1">
            <w:r w:rsidRPr="002A74A6">
              <w:rPr>
                <w:rStyle w:val="Hyperlink"/>
                <w:noProof/>
              </w:rPr>
              <w:t>2.7 Das Monitoring-Paket tx.monitoring (JMX)</w:t>
            </w:r>
            <w:r>
              <w:rPr>
                <w:noProof/>
              </w:rPr>
              <w:tab/>
            </w:r>
            <w:r>
              <w:rPr>
                <w:noProof/>
              </w:rPr>
              <w:fldChar w:fldCharType="begin"/>
            </w:r>
            <w:r>
              <w:rPr>
                <w:noProof/>
              </w:rPr>
              <w:instrText xml:space="preserve"> PAGEREF _Toc242984009 \h </w:instrText>
            </w:r>
            <w:r>
              <w:rPr>
                <w:noProof/>
              </w:rPr>
            </w:r>
            <w:r>
              <w:rPr>
                <w:noProof/>
              </w:rPr>
              <w:fldChar w:fldCharType="separate"/>
            </w:r>
            <w:r>
              <w:rPr>
                <w:noProof/>
              </w:rPr>
              <w:t>14</w:t>
            </w:r>
            <w:r>
              <w:rPr>
                <w:noProof/>
              </w:rPr>
              <w:fldChar w:fldCharType="end"/>
            </w:r>
          </w:hyperlink>
        </w:p>
        <w:p w14:paraId="58CA5B42" w14:textId="6B7F8242" w:rsidR="0050756B" w:rsidRDefault="0050756B">
          <w:pPr>
            <w:pStyle w:val="Verzeichnis2"/>
            <w:tabs>
              <w:tab w:val="right" w:leader="dot" w:pos="8778"/>
            </w:tabs>
            <w:rPr>
              <w:noProof/>
            </w:rPr>
          </w:pPr>
          <w:hyperlink w:anchor="_Toc242984010" w:history="1">
            <w:r w:rsidRPr="002A74A6">
              <w:rPr>
                <w:rStyle w:val="Hyperlink"/>
                <w:noProof/>
              </w:rPr>
              <w:t>2.8 Das Demo-Paket tx.demo</w:t>
            </w:r>
            <w:r>
              <w:rPr>
                <w:noProof/>
              </w:rPr>
              <w:tab/>
            </w:r>
            <w:r>
              <w:rPr>
                <w:noProof/>
              </w:rPr>
              <w:fldChar w:fldCharType="begin"/>
            </w:r>
            <w:r>
              <w:rPr>
                <w:noProof/>
              </w:rPr>
              <w:instrText xml:space="preserve"> PAGEREF _Toc242984010 \h </w:instrText>
            </w:r>
            <w:r>
              <w:rPr>
                <w:noProof/>
              </w:rPr>
            </w:r>
            <w:r>
              <w:rPr>
                <w:noProof/>
              </w:rPr>
              <w:fldChar w:fldCharType="separate"/>
            </w:r>
            <w:r>
              <w:rPr>
                <w:noProof/>
              </w:rPr>
              <w:t>15</w:t>
            </w:r>
            <w:r>
              <w:rPr>
                <w:noProof/>
              </w:rPr>
              <w:fldChar w:fldCharType="end"/>
            </w:r>
          </w:hyperlink>
        </w:p>
        <w:p w14:paraId="661BDF79" w14:textId="5D1D8172" w:rsidR="0050756B" w:rsidRDefault="0050756B">
          <w:pPr>
            <w:pStyle w:val="Verzeichnis1"/>
            <w:tabs>
              <w:tab w:val="right" w:leader="dot" w:pos="8778"/>
            </w:tabs>
            <w:rPr>
              <w:noProof/>
            </w:rPr>
          </w:pPr>
          <w:hyperlink w:anchor="_Toc242984011" w:history="1">
            <w:r w:rsidRPr="002A74A6">
              <w:rPr>
                <w:rStyle w:val="Hyperlink"/>
                <w:noProof/>
              </w:rPr>
              <w:t>3 Die Fachschicht SDN.Leistung: de.allgemein.lmg</w:t>
            </w:r>
            <w:r>
              <w:rPr>
                <w:noProof/>
              </w:rPr>
              <w:tab/>
            </w:r>
            <w:r>
              <w:rPr>
                <w:noProof/>
              </w:rPr>
              <w:fldChar w:fldCharType="begin"/>
            </w:r>
            <w:r>
              <w:rPr>
                <w:noProof/>
              </w:rPr>
              <w:instrText xml:space="preserve"> PAGEREF _Toc242984011 \h </w:instrText>
            </w:r>
            <w:r>
              <w:rPr>
                <w:noProof/>
              </w:rPr>
            </w:r>
            <w:r>
              <w:rPr>
                <w:noProof/>
              </w:rPr>
              <w:fldChar w:fldCharType="separate"/>
            </w:r>
            <w:r>
              <w:rPr>
                <w:noProof/>
              </w:rPr>
              <w:t>16</w:t>
            </w:r>
            <w:r>
              <w:rPr>
                <w:noProof/>
              </w:rPr>
              <w:fldChar w:fldCharType="end"/>
            </w:r>
          </w:hyperlink>
        </w:p>
        <w:p w14:paraId="5658FF65" w14:textId="09399267" w:rsidR="0050756B" w:rsidRDefault="0050756B">
          <w:pPr>
            <w:pStyle w:val="Verzeichnis2"/>
            <w:tabs>
              <w:tab w:val="right" w:leader="dot" w:pos="8778"/>
            </w:tabs>
            <w:rPr>
              <w:noProof/>
            </w:rPr>
          </w:pPr>
          <w:hyperlink w:anchor="_Toc242984012" w:history="1">
            <w:r w:rsidRPr="002A74A6">
              <w:rPr>
                <w:rStyle w:val="Hyperlink"/>
                <w:noProof/>
              </w:rPr>
              <w:t>3.1 Idee und Zusammenspiel</w:t>
            </w:r>
            <w:r>
              <w:rPr>
                <w:noProof/>
              </w:rPr>
              <w:tab/>
            </w:r>
            <w:r>
              <w:rPr>
                <w:noProof/>
              </w:rPr>
              <w:fldChar w:fldCharType="begin"/>
            </w:r>
            <w:r>
              <w:rPr>
                <w:noProof/>
              </w:rPr>
              <w:instrText xml:space="preserve"> PAGEREF _Toc242984012 \h </w:instrText>
            </w:r>
            <w:r>
              <w:rPr>
                <w:noProof/>
              </w:rPr>
            </w:r>
            <w:r>
              <w:rPr>
                <w:noProof/>
              </w:rPr>
              <w:fldChar w:fldCharType="separate"/>
            </w:r>
            <w:r>
              <w:rPr>
                <w:noProof/>
              </w:rPr>
              <w:t>16</w:t>
            </w:r>
            <w:r>
              <w:rPr>
                <w:noProof/>
              </w:rPr>
              <w:fldChar w:fldCharType="end"/>
            </w:r>
          </w:hyperlink>
        </w:p>
        <w:p w14:paraId="2F4AA8BF" w14:textId="4DD8C5B8" w:rsidR="0050756B" w:rsidRDefault="0050756B">
          <w:pPr>
            <w:pStyle w:val="Verzeichnis2"/>
            <w:tabs>
              <w:tab w:val="right" w:leader="dot" w:pos="8778"/>
            </w:tabs>
            <w:rPr>
              <w:noProof/>
            </w:rPr>
          </w:pPr>
          <w:hyperlink w:anchor="_Toc242984013" w:history="1">
            <w:r w:rsidRPr="002A74A6">
              <w:rPr>
                <w:rStyle w:val="Hyperlink"/>
                <w:noProof/>
              </w:rPr>
              <w:t>3.2 model — die Wertobjekte der Fachwelt</w:t>
            </w:r>
            <w:r>
              <w:rPr>
                <w:noProof/>
              </w:rPr>
              <w:tab/>
            </w:r>
            <w:r>
              <w:rPr>
                <w:noProof/>
              </w:rPr>
              <w:fldChar w:fldCharType="begin"/>
            </w:r>
            <w:r>
              <w:rPr>
                <w:noProof/>
              </w:rPr>
              <w:instrText xml:space="preserve"> PAGEREF _Toc242984013 \h </w:instrText>
            </w:r>
            <w:r>
              <w:rPr>
                <w:noProof/>
              </w:rPr>
            </w:r>
            <w:r>
              <w:rPr>
                <w:noProof/>
              </w:rPr>
              <w:fldChar w:fldCharType="separate"/>
            </w:r>
            <w:r>
              <w:rPr>
                <w:noProof/>
              </w:rPr>
              <w:t>16</w:t>
            </w:r>
            <w:r>
              <w:rPr>
                <w:noProof/>
              </w:rPr>
              <w:fldChar w:fldCharType="end"/>
            </w:r>
          </w:hyperlink>
        </w:p>
        <w:p w14:paraId="5E38862B" w14:textId="1AAD74CB" w:rsidR="0050756B" w:rsidRDefault="0050756B">
          <w:pPr>
            <w:pStyle w:val="Verzeichnis2"/>
            <w:tabs>
              <w:tab w:val="right" w:leader="dot" w:pos="8778"/>
            </w:tabs>
            <w:rPr>
              <w:noProof/>
            </w:rPr>
          </w:pPr>
          <w:hyperlink w:anchor="_Toc242984014" w:history="1">
            <w:r w:rsidRPr="002A74A6">
              <w:rPr>
                <w:rStyle w:val="Hyperlink"/>
                <w:noProof/>
              </w:rPr>
              <w:t>3.3 dao — der Datenzugriff</w:t>
            </w:r>
            <w:r>
              <w:rPr>
                <w:noProof/>
              </w:rPr>
              <w:tab/>
            </w:r>
            <w:r>
              <w:rPr>
                <w:noProof/>
              </w:rPr>
              <w:fldChar w:fldCharType="begin"/>
            </w:r>
            <w:r>
              <w:rPr>
                <w:noProof/>
              </w:rPr>
              <w:instrText xml:space="preserve"> PAGEREF _Toc242984014 \h </w:instrText>
            </w:r>
            <w:r>
              <w:rPr>
                <w:noProof/>
              </w:rPr>
            </w:r>
            <w:r>
              <w:rPr>
                <w:noProof/>
              </w:rPr>
              <w:fldChar w:fldCharType="separate"/>
            </w:r>
            <w:r>
              <w:rPr>
                <w:noProof/>
              </w:rPr>
              <w:t>18</w:t>
            </w:r>
            <w:r>
              <w:rPr>
                <w:noProof/>
              </w:rPr>
              <w:fldChar w:fldCharType="end"/>
            </w:r>
          </w:hyperlink>
        </w:p>
        <w:p w14:paraId="39801735" w14:textId="6ED7203C" w:rsidR="0050756B" w:rsidRDefault="0050756B">
          <w:pPr>
            <w:pStyle w:val="Verzeichnis2"/>
            <w:tabs>
              <w:tab w:val="right" w:leader="dot" w:pos="8778"/>
            </w:tabs>
            <w:rPr>
              <w:noProof/>
            </w:rPr>
          </w:pPr>
          <w:hyperlink w:anchor="_Toc242984015" w:history="1">
            <w:r w:rsidRPr="002A74A6">
              <w:rPr>
                <w:rStyle w:val="Hyperlink"/>
                <w:noProof/>
              </w:rPr>
              <w:t>3.4 calc — Bedarfsberechnung nach SGB XII</w:t>
            </w:r>
            <w:r>
              <w:rPr>
                <w:noProof/>
              </w:rPr>
              <w:tab/>
            </w:r>
            <w:r>
              <w:rPr>
                <w:noProof/>
              </w:rPr>
              <w:fldChar w:fldCharType="begin"/>
            </w:r>
            <w:r>
              <w:rPr>
                <w:noProof/>
              </w:rPr>
              <w:instrText xml:space="preserve"> PAGEREF _Toc242984015 \h </w:instrText>
            </w:r>
            <w:r>
              <w:rPr>
                <w:noProof/>
              </w:rPr>
            </w:r>
            <w:r>
              <w:rPr>
                <w:noProof/>
              </w:rPr>
              <w:fldChar w:fldCharType="separate"/>
            </w:r>
            <w:r>
              <w:rPr>
                <w:noProof/>
              </w:rPr>
              <w:t>19</w:t>
            </w:r>
            <w:r>
              <w:rPr>
                <w:noProof/>
              </w:rPr>
              <w:fldChar w:fldCharType="end"/>
            </w:r>
          </w:hyperlink>
        </w:p>
        <w:p w14:paraId="02072233" w14:textId="6FCA71CC" w:rsidR="0050756B" w:rsidRDefault="0050756B">
          <w:pPr>
            <w:pStyle w:val="Verzeichnis2"/>
            <w:tabs>
              <w:tab w:val="right" w:leader="dot" w:pos="8778"/>
            </w:tabs>
            <w:rPr>
              <w:noProof/>
            </w:rPr>
          </w:pPr>
          <w:hyperlink w:anchor="_Toc242984016" w:history="1">
            <w:r w:rsidRPr="002A74A6">
              <w:rPr>
                <w:rStyle w:val="Hyperlink"/>
                <w:noProof/>
              </w:rPr>
              <w:t>3.5 config — externalisierte Konfiguration</w:t>
            </w:r>
            <w:r>
              <w:rPr>
                <w:noProof/>
              </w:rPr>
              <w:tab/>
            </w:r>
            <w:r>
              <w:rPr>
                <w:noProof/>
              </w:rPr>
              <w:fldChar w:fldCharType="begin"/>
            </w:r>
            <w:r>
              <w:rPr>
                <w:noProof/>
              </w:rPr>
              <w:instrText xml:space="preserve"> PAGEREF _Toc242984016 \h </w:instrText>
            </w:r>
            <w:r>
              <w:rPr>
                <w:noProof/>
              </w:rPr>
            </w:r>
            <w:r>
              <w:rPr>
                <w:noProof/>
              </w:rPr>
              <w:fldChar w:fldCharType="separate"/>
            </w:r>
            <w:r>
              <w:rPr>
                <w:noProof/>
              </w:rPr>
              <w:t>20</w:t>
            </w:r>
            <w:r>
              <w:rPr>
                <w:noProof/>
              </w:rPr>
              <w:fldChar w:fldCharType="end"/>
            </w:r>
          </w:hyperlink>
        </w:p>
        <w:p w14:paraId="66B7BF1D" w14:textId="778924D1" w:rsidR="0050756B" w:rsidRDefault="0050756B">
          <w:pPr>
            <w:pStyle w:val="Verzeichnis2"/>
            <w:tabs>
              <w:tab w:val="right" w:leader="dot" w:pos="8778"/>
            </w:tabs>
            <w:rPr>
              <w:noProof/>
            </w:rPr>
          </w:pPr>
          <w:hyperlink w:anchor="_Toc242984017" w:history="1">
            <w:r w:rsidRPr="002A74A6">
              <w:rPr>
                <w:rStyle w:val="Hyperlink"/>
                <w:noProof/>
              </w:rPr>
              <w:t>3.6 service — die Fachdienste</w:t>
            </w:r>
            <w:r>
              <w:rPr>
                <w:noProof/>
              </w:rPr>
              <w:tab/>
            </w:r>
            <w:r>
              <w:rPr>
                <w:noProof/>
              </w:rPr>
              <w:fldChar w:fldCharType="begin"/>
            </w:r>
            <w:r>
              <w:rPr>
                <w:noProof/>
              </w:rPr>
              <w:instrText xml:space="preserve"> PAGEREF _Toc242984017 \h </w:instrText>
            </w:r>
            <w:r>
              <w:rPr>
                <w:noProof/>
              </w:rPr>
            </w:r>
            <w:r>
              <w:rPr>
                <w:noProof/>
              </w:rPr>
              <w:fldChar w:fldCharType="separate"/>
            </w:r>
            <w:r>
              <w:rPr>
                <w:noProof/>
              </w:rPr>
              <w:t>21</w:t>
            </w:r>
            <w:r>
              <w:rPr>
                <w:noProof/>
              </w:rPr>
              <w:fldChar w:fldCharType="end"/>
            </w:r>
          </w:hyperlink>
        </w:p>
        <w:p w14:paraId="322BAB68" w14:textId="01431839" w:rsidR="0050756B" w:rsidRDefault="0050756B">
          <w:pPr>
            <w:pStyle w:val="Verzeichnis2"/>
            <w:tabs>
              <w:tab w:val="right" w:leader="dot" w:pos="8778"/>
            </w:tabs>
            <w:rPr>
              <w:noProof/>
            </w:rPr>
          </w:pPr>
          <w:hyperlink w:anchor="_Toc242984018" w:history="1">
            <w:r w:rsidRPr="002A74A6">
              <w:rPr>
                <w:rStyle w:val="Hyperlink"/>
                <w:noProof/>
              </w:rPr>
              <w:t>3.7 saga — die fachliche End-to-End-Saga</w:t>
            </w:r>
            <w:r>
              <w:rPr>
                <w:noProof/>
              </w:rPr>
              <w:tab/>
            </w:r>
            <w:r>
              <w:rPr>
                <w:noProof/>
              </w:rPr>
              <w:fldChar w:fldCharType="begin"/>
            </w:r>
            <w:r>
              <w:rPr>
                <w:noProof/>
              </w:rPr>
              <w:instrText xml:space="preserve"> PAGEREF _Toc242984018 \h </w:instrText>
            </w:r>
            <w:r>
              <w:rPr>
                <w:noProof/>
              </w:rPr>
            </w:r>
            <w:r>
              <w:rPr>
                <w:noProof/>
              </w:rPr>
              <w:fldChar w:fldCharType="separate"/>
            </w:r>
            <w:r>
              <w:rPr>
                <w:noProof/>
              </w:rPr>
              <w:t>24</w:t>
            </w:r>
            <w:r>
              <w:rPr>
                <w:noProof/>
              </w:rPr>
              <w:fldChar w:fldCharType="end"/>
            </w:r>
          </w:hyperlink>
        </w:p>
        <w:p w14:paraId="505B8687" w14:textId="08DDC9CF" w:rsidR="0050756B" w:rsidRDefault="0050756B">
          <w:pPr>
            <w:pStyle w:val="Verzeichnis2"/>
            <w:tabs>
              <w:tab w:val="right" w:leader="dot" w:pos="8778"/>
            </w:tabs>
            <w:rPr>
              <w:noProof/>
            </w:rPr>
          </w:pPr>
          <w:hyperlink w:anchor="_Toc242984019" w:history="1">
            <w:r w:rsidRPr="002A74A6">
              <w:rPr>
                <w:rStyle w:val="Hyperlink"/>
                <w:noProof/>
              </w:rPr>
              <w:t>3.8 web — Weboberfläche und JSON-API</w:t>
            </w:r>
            <w:r>
              <w:rPr>
                <w:noProof/>
              </w:rPr>
              <w:tab/>
            </w:r>
            <w:r>
              <w:rPr>
                <w:noProof/>
              </w:rPr>
              <w:fldChar w:fldCharType="begin"/>
            </w:r>
            <w:r>
              <w:rPr>
                <w:noProof/>
              </w:rPr>
              <w:instrText xml:space="preserve"> PAGEREF _Toc242984019 \h </w:instrText>
            </w:r>
            <w:r>
              <w:rPr>
                <w:noProof/>
              </w:rPr>
            </w:r>
            <w:r>
              <w:rPr>
                <w:noProof/>
              </w:rPr>
              <w:fldChar w:fldCharType="separate"/>
            </w:r>
            <w:r>
              <w:rPr>
                <w:noProof/>
              </w:rPr>
              <w:t>25</w:t>
            </w:r>
            <w:r>
              <w:rPr>
                <w:noProof/>
              </w:rPr>
              <w:fldChar w:fldCharType="end"/>
            </w:r>
          </w:hyperlink>
        </w:p>
        <w:p w14:paraId="6244C966" w14:textId="231DDB3E" w:rsidR="0050756B" w:rsidRDefault="0050756B">
          <w:pPr>
            <w:pStyle w:val="Verzeichnis1"/>
            <w:tabs>
              <w:tab w:val="right" w:leader="dot" w:pos="8778"/>
            </w:tabs>
            <w:rPr>
              <w:noProof/>
            </w:rPr>
          </w:pPr>
          <w:hyperlink w:anchor="_Toc242984020" w:history="1">
            <w:r w:rsidRPr="002A74A6">
              <w:rPr>
                <w:rStyle w:val="Hyperlink"/>
                <w:noProof/>
              </w:rPr>
              <w:t>4 Der Weg einer Auszahlung durch alle Schichten</w:t>
            </w:r>
            <w:r>
              <w:rPr>
                <w:noProof/>
              </w:rPr>
              <w:tab/>
            </w:r>
            <w:r>
              <w:rPr>
                <w:noProof/>
              </w:rPr>
              <w:fldChar w:fldCharType="begin"/>
            </w:r>
            <w:r>
              <w:rPr>
                <w:noProof/>
              </w:rPr>
              <w:instrText xml:space="preserve"> PAGEREF _Toc242984020 \h </w:instrText>
            </w:r>
            <w:r>
              <w:rPr>
                <w:noProof/>
              </w:rPr>
            </w:r>
            <w:r>
              <w:rPr>
                <w:noProof/>
              </w:rPr>
              <w:fldChar w:fldCharType="separate"/>
            </w:r>
            <w:r>
              <w:rPr>
                <w:noProof/>
              </w:rPr>
              <w:t>27</w:t>
            </w:r>
            <w:r>
              <w:rPr>
                <w:noProof/>
              </w:rPr>
              <w:fldChar w:fldCharType="end"/>
            </w:r>
          </w:hyperlink>
        </w:p>
        <w:p w14:paraId="03EF3E87" w14:textId="3CF70FF5" w:rsidR="0050756B" w:rsidRDefault="0050756B">
          <w:pPr>
            <w:pStyle w:val="Verzeichnis1"/>
            <w:tabs>
              <w:tab w:val="right" w:leader="dot" w:pos="8778"/>
            </w:tabs>
            <w:rPr>
              <w:noProof/>
            </w:rPr>
          </w:pPr>
          <w:hyperlink w:anchor="_Toc242984021" w:history="1">
            <w:r w:rsidRPr="002A74A6">
              <w:rPr>
                <w:rStyle w:val="Hyperlink"/>
                <w:noProof/>
              </w:rPr>
              <w:t>5 Empfohlene Lernreihenfolge</w:t>
            </w:r>
            <w:r>
              <w:rPr>
                <w:noProof/>
              </w:rPr>
              <w:tab/>
            </w:r>
            <w:r>
              <w:rPr>
                <w:noProof/>
              </w:rPr>
              <w:fldChar w:fldCharType="begin"/>
            </w:r>
            <w:r>
              <w:rPr>
                <w:noProof/>
              </w:rPr>
              <w:instrText xml:space="preserve"> PAGEREF _Toc242984021 \h </w:instrText>
            </w:r>
            <w:r>
              <w:rPr>
                <w:noProof/>
              </w:rPr>
            </w:r>
            <w:r>
              <w:rPr>
                <w:noProof/>
              </w:rPr>
              <w:fldChar w:fldCharType="separate"/>
            </w:r>
            <w:r>
              <w:rPr>
                <w:noProof/>
              </w:rPr>
              <w:t>29</w:t>
            </w:r>
            <w:r>
              <w:rPr>
                <w:noProof/>
              </w:rPr>
              <w:fldChar w:fldCharType="end"/>
            </w:r>
          </w:hyperlink>
        </w:p>
        <w:p w14:paraId="0C3E66CF" w14:textId="77777777" w:rsidR="00EC7D8B" w:rsidRDefault="00000000">
          <w:pPr>
            <w:spacing w:line="264" w:lineRule="auto"/>
          </w:pPr>
          <w:r>
            <w:fldChar w:fldCharType="end"/>
          </w:r>
        </w:p>
      </w:sdtContent>
    </w:sdt>
    <w:p w14:paraId="50FADBA7" w14:textId="77777777" w:rsidR="00EC7D8B" w:rsidRDefault="00000000">
      <w:pPr>
        <w:spacing w:before="200"/>
        <w:sectPr w:rsidR="00EC7D8B">
          <w:footerReference w:type="default" r:id="rId7"/>
          <w:pgSz w:w="11906" w:h="16838"/>
          <w:pgMar w:top="1440" w:right="1417" w:bottom="1440" w:left="1701" w:header="708" w:footer="708" w:gutter="0"/>
          <w:pgNumType w:start="2"/>
          <w:cols w:space="720"/>
          <w:docGrid w:linePitch="360"/>
        </w:sectPr>
      </w:pPr>
      <w:r>
        <w:rPr>
          <w:i/>
          <w:iCs/>
          <w:color w:val="888888"/>
          <w:sz w:val="18"/>
          <w:szCs w:val="18"/>
        </w:rPr>
        <w:t>Hinweis: Dieses Inhaltsverzeichnis wird über Feldfunktionen erzeugt. Nach Änderungen am Dokument bitte mit Rechtsklick auf das Verzeichnis und Felder aktualisieren wählen, damit die Seitenzahlen stimmen.</w:t>
      </w:r>
    </w:p>
    <w:p w14:paraId="42C9884F" w14:textId="77777777" w:rsidR="00EC7D8B" w:rsidRDefault="00000000">
      <w:pPr>
        <w:pStyle w:val="berschrift1"/>
        <w:keepNext/>
        <w:pBdr>
          <w:bottom w:val="single" w:sz="6" w:space="6" w:color="1B6B7A"/>
        </w:pBdr>
        <w:spacing w:after="240"/>
      </w:pPr>
      <w:bookmarkStart w:id="0" w:name="_Toc1"/>
      <w:bookmarkStart w:id="1" w:name="_Toc242983998"/>
      <w:r>
        <w:lastRenderedPageBreak/>
        <w:t>1 Das Projekt in Kürze</w:t>
      </w:r>
      <w:bookmarkEnd w:id="0"/>
      <w:bookmarkEnd w:id="1"/>
    </w:p>
    <w:p w14:paraId="487F1517" w14:textId="77777777" w:rsidR="00EC7D8B" w:rsidRDefault="00000000">
      <w:pPr>
        <w:pStyle w:val="berschrift2"/>
        <w:keepNext/>
        <w:spacing w:before="320"/>
      </w:pPr>
      <w:bookmarkStart w:id="2" w:name="_Toc2"/>
      <w:bookmarkStart w:id="3" w:name="_Toc242983999"/>
      <w:r>
        <w:t>1.1 Worum es geht</w:t>
      </w:r>
      <w:bookmarkEnd w:id="2"/>
      <w:bookmarkEnd w:id="3"/>
    </w:p>
    <w:p w14:paraId="4E58FDC1" w14:textId="77777777" w:rsidR="00EC7D8B" w:rsidRDefault="00000000">
      <w:pPr>
        <w:spacing w:after="120"/>
        <w:jc w:val="both"/>
      </w:pPr>
      <w:r>
        <w:t xml:space="preserve">Dieses Dokument beschreibt alle 69 Java-Klassen des Projekts </w:t>
      </w:r>
      <w:r>
        <w:rPr>
          <w:b/>
          <w:bCs/>
          <w:color w:val="0E2A33"/>
        </w:rPr>
        <w:t>Leistungsmanagement Grundsicherung</w:t>
      </w:r>
      <w:r>
        <w:t xml:space="preserve"> (Oberfläche und Fachmodul: </w:t>
      </w:r>
      <w:proofErr w:type="spellStart"/>
      <w:r>
        <w:rPr>
          <w:b/>
          <w:bCs/>
          <w:color w:val="0E2A33"/>
        </w:rPr>
        <w:t>SDN.Leistung</w:t>
      </w:r>
      <w:proofErr w:type="spellEnd"/>
      <w:r>
        <w:t>) und erklärt, was jede Klasse leistet. Es richtet sich an Leser, die den Code lernen wollen: pro Klasse gibt es die Rolle im Gefüge, eine verständliche Erklärung der Aufgaben und die wichtigsten Konzepte.</w:t>
      </w:r>
    </w:p>
    <w:p w14:paraId="470BAC41" w14:textId="77777777" w:rsidR="00EC7D8B" w:rsidRDefault="00000000">
      <w:pPr>
        <w:spacing w:after="120"/>
        <w:jc w:val="both"/>
      </w:pPr>
      <w:r>
        <w:t xml:space="preserve">Das Projekt ist eine eigene </w:t>
      </w:r>
      <w:r>
        <w:rPr>
          <w:b/>
          <w:bCs/>
          <w:color w:val="0E2A33"/>
        </w:rPr>
        <w:t>Transaktionssteuerung</w:t>
      </w:r>
      <w:r>
        <w:t xml:space="preserve"> für Java 21 und Oracle — der Ersatz für einen klassischen TP-Monitor (Transaktionsmonitor) auf dem Großrechner, wie er im Umfeld der Sozialverwaltung teuer lizenziert eingesetzt wird. Das Leitprinzip lautet: </w:t>
      </w:r>
      <w:r>
        <w:rPr>
          <w:b/>
          <w:bCs/>
          <w:color w:val="0E2A33"/>
        </w:rPr>
        <w:t>Oracle liefert den transaktionalen Kern</w:t>
      </w:r>
      <w:r>
        <w:t xml:space="preserve"> — ACID, Sperrverwaltung, Redo-</w:t>
      </w:r>
      <w:proofErr w:type="spellStart"/>
      <w:r>
        <w:t>Logging</w:t>
      </w:r>
      <w:proofErr w:type="spellEnd"/>
      <w:r>
        <w:t xml:space="preserve"> und Recovery. Wir programmieren nur die Steuerungsschicht darüber: Beginn, Commit und Rollback von Transaktionen, Wiederholung bei </w:t>
      </w:r>
      <w:proofErr w:type="spellStart"/>
      <w:r>
        <w:t>Sperrenkonflikten</w:t>
      </w:r>
      <w:proofErr w:type="spellEnd"/>
      <w:r>
        <w:t>, Zeitlimits, Parallelitätssteuerung und lange Geschäftsvorgänge als Saga.</w:t>
      </w:r>
    </w:p>
    <w:p w14:paraId="25DC1CF8" w14:textId="77777777" w:rsidR="00EC7D8B" w:rsidRDefault="00000000">
      <w:pPr>
        <w:spacing w:after="120"/>
        <w:jc w:val="both"/>
      </w:pPr>
      <w:r>
        <w:t xml:space="preserve">Der Code besteht aus zwei Hälften: dem </w:t>
      </w:r>
      <w:r>
        <w:rPr>
          <w:b/>
          <w:bCs/>
          <w:color w:val="0E2A33"/>
        </w:rPr>
        <w:t>Transaktionskern</w:t>
      </w:r>
      <w:r>
        <w:t xml:space="preserve"> im Paket </w:t>
      </w:r>
      <w:proofErr w:type="spellStart"/>
      <w:proofErr w:type="gramStart"/>
      <w:r>
        <w:rPr>
          <w:rFonts w:ascii="Consolas" w:hAnsi="Consolas"/>
          <w:color w:val="0B4A56"/>
          <w:sz w:val="20"/>
          <w:szCs w:val="20"/>
        </w:rPr>
        <w:t>de.allgemein</w:t>
      </w:r>
      <w:proofErr w:type="gramEnd"/>
      <w:r>
        <w:rPr>
          <w:rFonts w:ascii="Consolas" w:hAnsi="Consolas"/>
          <w:color w:val="0B4A56"/>
          <w:sz w:val="20"/>
          <w:szCs w:val="20"/>
        </w:rPr>
        <w:t>.tx</w:t>
      </w:r>
      <w:proofErr w:type="spellEnd"/>
      <w:r>
        <w:t xml:space="preserve"> (34 Klassen, wiederverwendbar und </w:t>
      </w:r>
      <w:proofErr w:type="spellStart"/>
      <w:r>
        <w:t>fachfrei</w:t>
      </w:r>
      <w:proofErr w:type="spellEnd"/>
      <w:r>
        <w:t xml:space="preserve">) und der </w:t>
      </w:r>
      <w:r>
        <w:rPr>
          <w:b/>
          <w:bCs/>
          <w:color w:val="0E2A33"/>
        </w:rPr>
        <w:t>Fachschicht</w:t>
      </w:r>
      <w:r>
        <w:t xml:space="preserve"> im Paket </w:t>
      </w:r>
      <w:proofErr w:type="spellStart"/>
      <w:r>
        <w:rPr>
          <w:rFonts w:ascii="Consolas" w:hAnsi="Consolas"/>
          <w:color w:val="0B4A56"/>
          <w:sz w:val="20"/>
          <w:szCs w:val="20"/>
        </w:rPr>
        <w:t>de.allgemein.lmg</w:t>
      </w:r>
      <w:proofErr w:type="spellEnd"/>
      <w:r>
        <w:t xml:space="preserve"> (35 Klassen: Grundsicherung im Alter und bei Erwerbsminderung nach dem SGB XII). Zwei Fachbegriffe ziehen sich durch alles: ein Leistungsberechtigter heißt </w:t>
      </w:r>
      <w:proofErr w:type="spellStart"/>
      <w:r>
        <w:rPr>
          <w:b/>
          <w:bCs/>
          <w:color w:val="0E2A33"/>
        </w:rPr>
        <w:t>SozialFall</w:t>
      </w:r>
      <w:proofErr w:type="spellEnd"/>
      <w:r>
        <w:t xml:space="preserve"> (Tabelle </w:t>
      </w:r>
      <w:r>
        <w:rPr>
          <w:rFonts w:ascii="Consolas" w:hAnsi="Consolas"/>
          <w:color w:val="0B4A56"/>
          <w:sz w:val="20"/>
          <w:szCs w:val="20"/>
        </w:rPr>
        <w:t>SOZIAL_FALL</w:t>
      </w:r>
      <w:r>
        <w:t xml:space="preserve">), ein geführter Vorgang heißt </w:t>
      </w:r>
      <w:r>
        <w:rPr>
          <w:b/>
          <w:bCs/>
          <w:color w:val="0E2A33"/>
        </w:rPr>
        <w:t>Bedarfsgemeinschaft</w:t>
      </w:r>
      <w:r>
        <w:t xml:space="preserve"> (Tabelle </w:t>
      </w:r>
      <w:r>
        <w:rPr>
          <w:rFonts w:ascii="Consolas" w:hAnsi="Consolas"/>
          <w:color w:val="0B4A56"/>
          <w:sz w:val="20"/>
          <w:szCs w:val="20"/>
        </w:rPr>
        <w:t>BEDARFSGEMEINSCHAFT</w:t>
      </w:r>
      <w:r>
        <w:t>).</w:t>
      </w:r>
    </w:p>
    <w:p w14:paraId="08502A64" w14:textId="77777777" w:rsidR="00EC7D8B" w:rsidRDefault="00000000">
      <w:pPr>
        <w:pStyle w:val="berschrift2"/>
        <w:keepNext/>
        <w:spacing w:before="320"/>
      </w:pPr>
      <w:bookmarkStart w:id="4" w:name="_Toc3"/>
      <w:bookmarkStart w:id="5" w:name="_Toc242984000"/>
      <w:r>
        <w:t>1.2 Die Paketstruktur im Überblick</w:t>
      </w:r>
      <w:bookmarkEnd w:id="4"/>
      <w:bookmarkEnd w:id="5"/>
    </w:p>
    <w:p w14:paraId="0676FF12" w14:textId="77777777" w:rsidR="00EC7D8B" w:rsidRDefault="00000000">
      <w:pPr>
        <w:keepNext/>
        <w:spacing w:after="120"/>
        <w:jc w:val="both"/>
      </w:pPr>
      <w:r>
        <w:t>Die folgende Tabelle zeigt alle zwölf Pakete mit Klassenzahl und Aufgabe. Die Kapitel 2 und 3 behandeln sie in derselben Reihenfolge.</w:t>
      </w:r>
    </w:p>
    <w:p w14:paraId="1E24069F" w14:textId="77777777" w:rsidR="00EC7D8B" w:rsidRDefault="00000000">
      <w:pPr>
        <w:keepNext/>
        <w:spacing w:before="160" w:after="80"/>
      </w:pPr>
      <w:r>
        <w:rPr>
          <w:b/>
          <w:bCs/>
          <w:color w:val="5A6B73"/>
          <w:sz w:val="20"/>
          <w:szCs w:val="20"/>
        </w:rPr>
        <w:t>Tabelle 1: Pakete des Projekts</w:t>
      </w:r>
    </w:p>
    <w:tbl>
      <w:tblPr>
        <w:tblW w:w="5000" w:type="pct"/>
        <w:tblBorders>
          <w:top w:val="single" w:sz="4" w:space="0" w:color="1B6B7A"/>
          <w:bottom w:val="single" w:sz="4" w:space="0" w:color="1B6B7A"/>
          <w:insideH w:val="single" w:sz="1" w:space="0" w:color="C8DDE2"/>
        </w:tblBorders>
        <w:tblLook w:val="04A0" w:firstRow="1" w:lastRow="0" w:firstColumn="1" w:lastColumn="0" w:noHBand="0" w:noVBand="1"/>
      </w:tblPr>
      <w:tblGrid>
        <w:gridCol w:w="2636"/>
        <w:gridCol w:w="1055"/>
        <w:gridCol w:w="5097"/>
      </w:tblGrid>
      <w:tr w:rsidR="00EC7D8B" w14:paraId="69C55B27" w14:textId="77777777">
        <w:trPr>
          <w:cantSplit/>
          <w:tblHeader/>
        </w:trPr>
        <w:tc>
          <w:tcPr>
            <w:tcW w:w="1500" w:type="pct"/>
            <w:shd w:val="clear" w:color="auto" w:fill="1B6B7A"/>
            <w:tcMar>
              <w:top w:w="70" w:type="dxa"/>
              <w:left w:w="120" w:type="dxa"/>
              <w:bottom w:w="70" w:type="dxa"/>
              <w:right w:w="120" w:type="dxa"/>
            </w:tcMar>
          </w:tcPr>
          <w:p w14:paraId="671EB443" w14:textId="77777777" w:rsidR="00EC7D8B" w:rsidRDefault="00000000">
            <w:pPr>
              <w:spacing w:line="276" w:lineRule="auto"/>
            </w:pPr>
            <w:r>
              <w:rPr>
                <w:b/>
                <w:bCs/>
                <w:color w:val="FFFFFF"/>
                <w:sz w:val="20"/>
                <w:szCs w:val="20"/>
              </w:rPr>
              <w:t>Paket</w:t>
            </w:r>
          </w:p>
        </w:tc>
        <w:tc>
          <w:tcPr>
            <w:tcW w:w="600" w:type="pct"/>
            <w:shd w:val="clear" w:color="auto" w:fill="1B6B7A"/>
            <w:tcMar>
              <w:top w:w="70" w:type="dxa"/>
              <w:left w:w="120" w:type="dxa"/>
              <w:bottom w:w="70" w:type="dxa"/>
              <w:right w:w="120" w:type="dxa"/>
            </w:tcMar>
          </w:tcPr>
          <w:p w14:paraId="1FF65884" w14:textId="77777777" w:rsidR="00EC7D8B" w:rsidRDefault="00000000">
            <w:pPr>
              <w:spacing w:line="276" w:lineRule="auto"/>
            </w:pPr>
            <w:r>
              <w:rPr>
                <w:b/>
                <w:bCs/>
                <w:color w:val="FFFFFF"/>
                <w:sz w:val="20"/>
                <w:szCs w:val="20"/>
              </w:rPr>
              <w:t>Klassen</w:t>
            </w:r>
          </w:p>
        </w:tc>
        <w:tc>
          <w:tcPr>
            <w:tcW w:w="2900" w:type="pct"/>
            <w:shd w:val="clear" w:color="auto" w:fill="1B6B7A"/>
            <w:tcMar>
              <w:top w:w="70" w:type="dxa"/>
              <w:left w:w="120" w:type="dxa"/>
              <w:bottom w:w="70" w:type="dxa"/>
              <w:right w:w="120" w:type="dxa"/>
            </w:tcMar>
          </w:tcPr>
          <w:p w14:paraId="48AE8231" w14:textId="77777777" w:rsidR="00EC7D8B" w:rsidRDefault="00000000">
            <w:pPr>
              <w:spacing w:line="276" w:lineRule="auto"/>
            </w:pPr>
            <w:r>
              <w:rPr>
                <w:b/>
                <w:bCs/>
                <w:color w:val="FFFFFF"/>
                <w:sz w:val="20"/>
                <w:szCs w:val="20"/>
              </w:rPr>
              <w:t>Aufgabe</w:t>
            </w:r>
          </w:p>
        </w:tc>
      </w:tr>
      <w:tr w:rsidR="00EC7D8B" w14:paraId="5D171668" w14:textId="77777777">
        <w:trPr>
          <w:cantSplit/>
        </w:trPr>
        <w:tc>
          <w:tcPr>
            <w:tcW w:w="1500" w:type="pct"/>
            <w:shd w:val="clear" w:color="auto" w:fill="EDF3F5"/>
            <w:tcMar>
              <w:top w:w="60" w:type="dxa"/>
              <w:left w:w="120" w:type="dxa"/>
              <w:bottom w:w="60" w:type="dxa"/>
              <w:right w:w="120" w:type="dxa"/>
            </w:tcMar>
          </w:tcPr>
          <w:p w14:paraId="5346E0B3" w14:textId="77777777" w:rsidR="00EC7D8B" w:rsidRDefault="00000000">
            <w:pPr>
              <w:spacing w:line="276" w:lineRule="auto"/>
            </w:pPr>
            <w:proofErr w:type="spellStart"/>
            <w:proofErr w:type="gramStart"/>
            <w:r>
              <w:rPr>
                <w:sz w:val="20"/>
                <w:szCs w:val="20"/>
              </w:rPr>
              <w:t>de.allgemein</w:t>
            </w:r>
            <w:proofErr w:type="gramEnd"/>
            <w:r>
              <w:rPr>
                <w:sz w:val="20"/>
                <w:szCs w:val="20"/>
              </w:rPr>
              <w:t>.tx</w:t>
            </w:r>
            <w:proofErr w:type="spellEnd"/>
          </w:p>
        </w:tc>
        <w:tc>
          <w:tcPr>
            <w:tcW w:w="600" w:type="pct"/>
            <w:shd w:val="clear" w:color="auto" w:fill="EDF3F5"/>
            <w:tcMar>
              <w:top w:w="60" w:type="dxa"/>
              <w:left w:w="120" w:type="dxa"/>
              <w:bottom w:w="60" w:type="dxa"/>
              <w:right w:w="120" w:type="dxa"/>
            </w:tcMar>
          </w:tcPr>
          <w:p w14:paraId="612724B1" w14:textId="77777777" w:rsidR="00EC7D8B" w:rsidRDefault="00000000">
            <w:pPr>
              <w:spacing w:line="276" w:lineRule="auto"/>
            </w:pPr>
            <w:r>
              <w:rPr>
                <w:sz w:val="20"/>
                <w:szCs w:val="20"/>
              </w:rPr>
              <w:t>14</w:t>
            </w:r>
          </w:p>
        </w:tc>
        <w:tc>
          <w:tcPr>
            <w:tcW w:w="2900" w:type="pct"/>
            <w:shd w:val="clear" w:color="auto" w:fill="EDF3F5"/>
            <w:tcMar>
              <w:top w:w="60" w:type="dxa"/>
              <w:left w:w="120" w:type="dxa"/>
              <w:bottom w:w="60" w:type="dxa"/>
              <w:right w:w="120" w:type="dxa"/>
            </w:tcMar>
          </w:tcPr>
          <w:p w14:paraId="35B78932" w14:textId="77777777" w:rsidR="00EC7D8B" w:rsidRDefault="00000000">
            <w:pPr>
              <w:spacing w:line="276" w:lineRule="auto"/>
            </w:pPr>
            <w:r>
              <w:rPr>
                <w:sz w:val="20"/>
                <w:szCs w:val="20"/>
              </w:rPr>
              <w:t xml:space="preserve">Transaktionsführung, </w:t>
            </w:r>
            <w:proofErr w:type="spellStart"/>
            <w:r>
              <w:rPr>
                <w:sz w:val="20"/>
                <w:szCs w:val="20"/>
              </w:rPr>
              <w:t>Retry</w:t>
            </w:r>
            <w:proofErr w:type="spellEnd"/>
            <w:r>
              <w:rPr>
                <w:sz w:val="20"/>
                <w:szCs w:val="20"/>
              </w:rPr>
              <w:t>, Task-Steuerung, Verbindungspools</w:t>
            </w:r>
          </w:p>
        </w:tc>
      </w:tr>
      <w:tr w:rsidR="00EC7D8B" w14:paraId="5E345B0B" w14:textId="77777777">
        <w:trPr>
          <w:cantSplit/>
        </w:trPr>
        <w:tc>
          <w:tcPr>
            <w:tcW w:w="1500" w:type="pct"/>
            <w:tcMar>
              <w:top w:w="60" w:type="dxa"/>
              <w:left w:w="120" w:type="dxa"/>
              <w:bottom w:w="60" w:type="dxa"/>
              <w:right w:w="120" w:type="dxa"/>
            </w:tcMar>
          </w:tcPr>
          <w:p w14:paraId="59C38C6A" w14:textId="77777777" w:rsidR="00EC7D8B" w:rsidRDefault="00000000">
            <w:pPr>
              <w:spacing w:line="276" w:lineRule="auto"/>
            </w:pPr>
            <w:proofErr w:type="spellStart"/>
            <w:proofErr w:type="gramStart"/>
            <w:r>
              <w:rPr>
                <w:sz w:val="20"/>
                <w:szCs w:val="20"/>
              </w:rPr>
              <w:t>de.allgemein</w:t>
            </w:r>
            <w:proofErr w:type="gramEnd"/>
            <w:r>
              <w:rPr>
                <w:sz w:val="20"/>
                <w:szCs w:val="20"/>
              </w:rPr>
              <w:t>.</w:t>
            </w:r>
            <w:proofErr w:type="gramStart"/>
            <w:r>
              <w:rPr>
                <w:sz w:val="20"/>
                <w:szCs w:val="20"/>
              </w:rPr>
              <w:t>tx.saga</w:t>
            </w:r>
            <w:proofErr w:type="spellEnd"/>
            <w:proofErr w:type="gramEnd"/>
          </w:p>
        </w:tc>
        <w:tc>
          <w:tcPr>
            <w:tcW w:w="600" w:type="pct"/>
            <w:tcMar>
              <w:top w:w="60" w:type="dxa"/>
              <w:left w:w="120" w:type="dxa"/>
              <w:bottom w:w="60" w:type="dxa"/>
              <w:right w:w="120" w:type="dxa"/>
            </w:tcMar>
          </w:tcPr>
          <w:p w14:paraId="3DEEA948" w14:textId="77777777" w:rsidR="00EC7D8B" w:rsidRDefault="00000000">
            <w:pPr>
              <w:spacing w:line="276" w:lineRule="auto"/>
            </w:pPr>
            <w:r>
              <w:rPr>
                <w:sz w:val="20"/>
                <w:szCs w:val="20"/>
              </w:rPr>
              <w:t>9</w:t>
            </w:r>
          </w:p>
        </w:tc>
        <w:tc>
          <w:tcPr>
            <w:tcW w:w="2900" w:type="pct"/>
            <w:tcMar>
              <w:top w:w="60" w:type="dxa"/>
              <w:left w:w="120" w:type="dxa"/>
              <w:bottom w:w="60" w:type="dxa"/>
              <w:right w:w="120" w:type="dxa"/>
            </w:tcMar>
          </w:tcPr>
          <w:p w14:paraId="07E102C8" w14:textId="77777777" w:rsidR="00EC7D8B" w:rsidRDefault="00000000">
            <w:pPr>
              <w:spacing w:line="276" w:lineRule="auto"/>
            </w:pPr>
            <w:r>
              <w:rPr>
                <w:sz w:val="20"/>
                <w:szCs w:val="20"/>
              </w:rPr>
              <w:t>Saga-Engine: lange Geschäftsvorgänge als Kette kurzer Transaktionen</w:t>
            </w:r>
          </w:p>
        </w:tc>
      </w:tr>
      <w:tr w:rsidR="00EC7D8B" w14:paraId="4E76DBD8" w14:textId="77777777">
        <w:trPr>
          <w:cantSplit/>
        </w:trPr>
        <w:tc>
          <w:tcPr>
            <w:tcW w:w="1500" w:type="pct"/>
            <w:shd w:val="clear" w:color="auto" w:fill="EDF3F5"/>
            <w:tcMar>
              <w:top w:w="60" w:type="dxa"/>
              <w:left w:w="120" w:type="dxa"/>
              <w:bottom w:w="60" w:type="dxa"/>
              <w:right w:w="120" w:type="dxa"/>
            </w:tcMar>
          </w:tcPr>
          <w:p w14:paraId="19958B2B" w14:textId="77777777" w:rsidR="00EC7D8B" w:rsidRDefault="00000000">
            <w:pPr>
              <w:spacing w:line="276" w:lineRule="auto"/>
            </w:pPr>
            <w:proofErr w:type="spellStart"/>
            <w:proofErr w:type="gramStart"/>
            <w:r>
              <w:rPr>
                <w:sz w:val="20"/>
                <w:szCs w:val="20"/>
              </w:rPr>
              <w:t>de.allgemein</w:t>
            </w:r>
            <w:proofErr w:type="gramEnd"/>
            <w:r>
              <w:rPr>
                <w:sz w:val="20"/>
                <w:szCs w:val="20"/>
              </w:rPr>
              <w:t>.</w:t>
            </w:r>
            <w:proofErr w:type="gramStart"/>
            <w:r>
              <w:rPr>
                <w:sz w:val="20"/>
                <w:szCs w:val="20"/>
              </w:rPr>
              <w:t>tx.audit</w:t>
            </w:r>
            <w:proofErr w:type="spellEnd"/>
            <w:proofErr w:type="gramEnd"/>
          </w:p>
        </w:tc>
        <w:tc>
          <w:tcPr>
            <w:tcW w:w="600" w:type="pct"/>
            <w:shd w:val="clear" w:color="auto" w:fill="EDF3F5"/>
            <w:tcMar>
              <w:top w:w="60" w:type="dxa"/>
              <w:left w:w="120" w:type="dxa"/>
              <w:bottom w:w="60" w:type="dxa"/>
              <w:right w:w="120" w:type="dxa"/>
            </w:tcMar>
          </w:tcPr>
          <w:p w14:paraId="19089FC1" w14:textId="77777777" w:rsidR="00EC7D8B" w:rsidRDefault="00000000">
            <w:pPr>
              <w:spacing w:line="276" w:lineRule="auto"/>
            </w:pPr>
            <w:r>
              <w:rPr>
                <w:sz w:val="20"/>
                <w:szCs w:val="20"/>
              </w:rPr>
              <w:t>3</w:t>
            </w:r>
          </w:p>
        </w:tc>
        <w:tc>
          <w:tcPr>
            <w:tcW w:w="2900" w:type="pct"/>
            <w:shd w:val="clear" w:color="auto" w:fill="EDF3F5"/>
            <w:tcMar>
              <w:top w:w="60" w:type="dxa"/>
              <w:left w:w="120" w:type="dxa"/>
              <w:bottom w:w="60" w:type="dxa"/>
              <w:right w:w="120" w:type="dxa"/>
            </w:tcMar>
          </w:tcPr>
          <w:p w14:paraId="7AE56C40" w14:textId="77777777" w:rsidR="00EC7D8B" w:rsidRDefault="00000000">
            <w:pPr>
              <w:spacing w:line="276" w:lineRule="auto"/>
            </w:pPr>
            <w:r>
              <w:rPr>
                <w:sz w:val="20"/>
                <w:szCs w:val="20"/>
              </w:rPr>
              <w:t>Revisionssicheres Audit-Log für Transaktions- und Saga-Ereignisse</w:t>
            </w:r>
          </w:p>
        </w:tc>
      </w:tr>
      <w:tr w:rsidR="00EC7D8B" w14:paraId="70952601" w14:textId="77777777">
        <w:trPr>
          <w:cantSplit/>
        </w:trPr>
        <w:tc>
          <w:tcPr>
            <w:tcW w:w="1500" w:type="pct"/>
            <w:tcMar>
              <w:top w:w="60" w:type="dxa"/>
              <w:left w:w="120" w:type="dxa"/>
              <w:bottom w:w="60" w:type="dxa"/>
              <w:right w:w="120" w:type="dxa"/>
            </w:tcMar>
          </w:tcPr>
          <w:p w14:paraId="40DCCC67" w14:textId="77777777" w:rsidR="00EC7D8B" w:rsidRDefault="00000000">
            <w:pPr>
              <w:spacing w:line="276" w:lineRule="auto"/>
            </w:pPr>
            <w:proofErr w:type="spellStart"/>
            <w:proofErr w:type="gramStart"/>
            <w:r>
              <w:rPr>
                <w:sz w:val="20"/>
                <w:szCs w:val="20"/>
              </w:rPr>
              <w:t>de.allgemein</w:t>
            </w:r>
            <w:proofErr w:type="gramEnd"/>
            <w:r>
              <w:rPr>
                <w:sz w:val="20"/>
                <w:szCs w:val="20"/>
              </w:rPr>
              <w:t>.</w:t>
            </w:r>
            <w:proofErr w:type="gramStart"/>
            <w:r>
              <w:rPr>
                <w:sz w:val="20"/>
                <w:szCs w:val="20"/>
              </w:rPr>
              <w:t>tx.monitoring</w:t>
            </w:r>
            <w:proofErr w:type="spellEnd"/>
            <w:proofErr w:type="gramEnd"/>
          </w:p>
        </w:tc>
        <w:tc>
          <w:tcPr>
            <w:tcW w:w="600" w:type="pct"/>
            <w:tcMar>
              <w:top w:w="60" w:type="dxa"/>
              <w:left w:w="120" w:type="dxa"/>
              <w:bottom w:w="60" w:type="dxa"/>
              <w:right w:w="120" w:type="dxa"/>
            </w:tcMar>
          </w:tcPr>
          <w:p w14:paraId="719A6A93" w14:textId="77777777" w:rsidR="00EC7D8B" w:rsidRDefault="00000000">
            <w:pPr>
              <w:spacing w:line="276" w:lineRule="auto"/>
            </w:pPr>
            <w:r>
              <w:rPr>
                <w:sz w:val="20"/>
                <w:szCs w:val="20"/>
              </w:rPr>
              <w:t>6</w:t>
            </w:r>
          </w:p>
        </w:tc>
        <w:tc>
          <w:tcPr>
            <w:tcW w:w="2900" w:type="pct"/>
            <w:tcMar>
              <w:top w:w="60" w:type="dxa"/>
              <w:left w:w="120" w:type="dxa"/>
              <w:bottom w:w="60" w:type="dxa"/>
              <w:right w:w="120" w:type="dxa"/>
            </w:tcMar>
          </w:tcPr>
          <w:p w14:paraId="4BF77D77" w14:textId="77777777" w:rsidR="00EC7D8B" w:rsidRDefault="00000000">
            <w:pPr>
              <w:spacing w:line="276" w:lineRule="auto"/>
            </w:pPr>
            <w:r>
              <w:rPr>
                <w:sz w:val="20"/>
                <w:szCs w:val="20"/>
              </w:rPr>
              <w:t>JMX-Überwachung (</w:t>
            </w:r>
            <w:proofErr w:type="spellStart"/>
            <w:r>
              <w:rPr>
                <w:sz w:val="20"/>
                <w:szCs w:val="20"/>
              </w:rPr>
              <w:t>MBeans</w:t>
            </w:r>
            <w:proofErr w:type="spellEnd"/>
            <w:r>
              <w:rPr>
                <w:sz w:val="20"/>
                <w:szCs w:val="20"/>
              </w:rPr>
              <w:t xml:space="preserve">) für </w:t>
            </w:r>
            <w:proofErr w:type="spellStart"/>
            <w:r>
              <w:rPr>
                <w:sz w:val="20"/>
                <w:szCs w:val="20"/>
              </w:rPr>
              <w:t>TaskController</w:t>
            </w:r>
            <w:proofErr w:type="spellEnd"/>
            <w:r>
              <w:rPr>
                <w:sz w:val="20"/>
                <w:szCs w:val="20"/>
              </w:rPr>
              <w:t xml:space="preserve"> und Pools</w:t>
            </w:r>
          </w:p>
        </w:tc>
      </w:tr>
      <w:tr w:rsidR="00EC7D8B" w14:paraId="12D8AE08" w14:textId="77777777">
        <w:trPr>
          <w:cantSplit/>
        </w:trPr>
        <w:tc>
          <w:tcPr>
            <w:tcW w:w="1500" w:type="pct"/>
            <w:shd w:val="clear" w:color="auto" w:fill="EDF3F5"/>
            <w:tcMar>
              <w:top w:w="60" w:type="dxa"/>
              <w:left w:w="120" w:type="dxa"/>
              <w:bottom w:w="60" w:type="dxa"/>
              <w:right w:w="120" w:type="dxa"/>
            </w:tcMar>
          </w:tcPr>
          <w:p w14:paraId="24DFE429" w14:textId="77777777" w:rsidR="00EC7D8B" w:rsidRDefault="00000000">
            <w:pPr>
              <w:spacing w:line="276" w:lineRule="auto"/>
            </w:pPr>
            <w:proofErr w:type="spellStart"/>
            <w:proofErr w:type="gramStart"/>
            <w:r>
              <w:rPr>
                <w:sz w:val="20"/>
                <w:szCs w:val="20"/>
              </w:rPr>
              <w:t>de.allgemein</w:t>
            </w:r>
            <w:proofErr w:type="gramEnd"/>
            <w:r>
              <w:rPr>
                <w:sz w:val="20"/>
                <w:szCs w:val="20"/>
              </w:rPr>
              <w:t>.</w:t>
            </w:r>
            <w:proofErr w:type="gramStart"/>
            <w:r>
              <w:rPr>
                <w:sz w:val="20"/>
                <w:szCs w:val="20"/>
              </w:rPr>
              <w:t>tx.demo</w:t>
            </w:r>
            <w:proofErr w:type="spellEnd"/>
            <w:proofErr w:type="gramEnd"/>
          </w:p>
        </w:tc>
        <w:tc>
          <w:tcPr>
            <w:tcW w:w="600" w:type="pct"/>
            <w:shd w:val="clear" w:color="auto" w:fill="EDF3F5"/>
            <w:tcMar>
              <w:top w:w="60" w:type="dxa"/>
              <w:left w:w="120" w:type="dxa"/>
              <w:bottom w:w="60" w:type="dxa"/>
              <w:right w:w="120" w:type="dxa"/>
            </w:tcMar>
          </w:tcPr>
          <w:p w14:paraId="3C40ACAC" w14:textId="77777777" w:rsidR="00EC7D8B" w:rsidRDefault="00000000">
            <w:pPr>
              <w:spacing w:line="276" w:lineRule="auto"/>
            </w:pPr>
            <w:r>
              <w:rPr>
                <w:sz w:val="20"/>
                <w:szCs w:val="20"/>
              </w:rPr>
              <w:t>2</w:t>
            </w:r>
          </w:p>
        </w:tc>
        <w:tc>
          <w:tcPr>
            <w:tcW w:w="2900" w:type="pct"/>
            <w:shd w:val="clear" w:color="auto" w:fill="EDF3F5"/>
            <w:tcMar>
              <w:top w:w="60" w:type="dxa"/>
              <w:left w:w="120" w:type="dxa"/>
              <w:bottom w:w="60" w:type="dxa"/>
              <w:right w:w="120" w:type="dxa"/>
            </w:tcMar>
          </w:tcPr>
          <w:p w14:paraId="182D09AB" w14:textId="77777777" w:rsidR="00EC7D8B" w:rsidRDefault="00000000">
            <w:pPr>
              <w:spacing w:line="276" w:lineRule="auto"/>
            </w:pPr>
            <w:r>
              <w:rPr>
                <w:sz w:val="20"/>
                <w:szCs w:val="20"/>
              </w:rPr>
              <w:t xml:space="preserve">Saga-Demo auf Demo-Tabellen (start.bat </w:t>
            </w:r>
            <w:proofErr w:type="spellStart"/>
            <w:r>
              <w:rPr>
                <w:sz w:val="20"/>
                <w:szCs w:val="20"/>
              </w:rPr>
              <w:t>demo</w:t>
            </w:r>
            <w:proofErr w:type="spellEnd"/>
            <w:r>
              <w:rPr>
                <w:sz w:val="20"/>
                <w:szCs w:val="20"/>
              </w:rPr>
              <w:t>)</w:t>
            </w:r>
          </w:p>
        </w:tc>
      </w:tr>
      <w:tr w:rsidR="00EC7D8B" w14:paraId="47DF0E24" w14:textId="77777777">
        <w:trPr>
          <w:cantSplit/>
        </w:trPr>
        <w:tc>
          <w:tcPr>
            <w:tcW w:w="1500" w:type="pct"/>
            <w:tcMar>
              <w:top w:w="60" w:type="dxa"/>
              <w:left w:w="120" w:type="dxa"/>
              <w:bottom w:w="60" w:type="dxa"/>
              <w:right w:w="120" w:type="dxa"/>
            </w:tcMar>
          </w:tcPr>
          <w:p w14:paraId="1D991245" w14:textId="77777777" w:rsidR="00EC7D8B" w:rsidRDefault="00000000">
            <w:pPr>
              <w:spacing w:line="276" w:lineRule="auto"/>
            </w:pPr>
            <w:proofErr w:type="spellStart"/>
            <w:proofErr w:type="gramStart"/>
            <w:r>
              <w:rPr>
                <w:sz w:val="20"/>
                <w:szCs w:val="20"/>
              </w:rPr>
              <w:t>de.allgemein.lmg.model</w:t>
            </w:r>
            <w:proofErr w:type="spellEnd"/>
            <w:proofErr w:type="gramEnd"/>
          </w:p>
        </w:tc>
        <w:tc>
          <w:tcPr>
            <w:tcW w:w="600" w:type="pct"/>
            <w:tcMar>
              <w:top w:w="60" w:type="dxa"/>
              <w:left w:w="120" w:type="dxa"/>
              <w:bottom w:w="60" w:type="dxa"/>
              <w:right w:w="120" w:type="dxa"/>
            </w:tcMar>
          </w:tcPr>
          <w:p w14:paraId="145E9EBC" w14:textId="77777777" w:rsidR="00EC7D8B" w:rsidRDefault="00000000">
            <w:pPr>
              <w:spacing w:line="276" w:lineRule="auto"/>
            </w:pPr>
            <w:r>
              <w:rPr>
                <w:sz w:val="20"/>
                <w:szCs w:val="20"/>
              </w:rPr>
              <w:t>6</w:t>
            </w:r>
          </w:p>
        </w:tc>
        <w:tc>
          <w:tcPr>
            <w:tcW w:w="2900" w:type="pct"/>
            <w:tcMar>
              <w:top w:w="60" w:type="dxa"/>
              <w:left w:w="120" w:type="dxa"/>
              <w:bottom w:w="60" w:type="dxa"/>
              <w:right w:w="120" w:type="dxa"/>
            </w:tcMar>
          </w:tcPr>
          <w:p w14:paraId="0CFC5895" w14:textId="77777777" w:rsidR="00EC7D8B" w:rsidRDefault="00000000">
            <w:pPr>
              <w:spacing w:line="276" w:lineRule="auto"/>
            </w:pPr>
            <w:r>
              <w:rPr>
                <w:sz w:val="20"/>
                <w:szCs w:val="20"/>
              </w:rPr>
              <w:t>Wertobjekte der Fachwelt (</w:t>
            </w:r>
            <w:proofErr w:type="spellStart"/>
            <w:r>
              <w:rPr>
                <w:sz w:val="20"/>
                <w:szCs w:val="20"/>
              </w:rPr>
              <w:t>SozialFall</w:t>
            </w:r>
            <w:proofErr w:type="spellEnd"/>
            <w:r>
              <w:rPr>
                <w:sz w:val="20"/>
                <w:szCs w:val="20"/>
              </w:rPr>
              <w:t>, Zahlung, Bescheid ...)</w:t>
            </w:r>
          </w:p>
        </w:tc>
      </w:tr>
      <w:tr w:rsidR="00EC7D8B" w14:paraId="54FD8ED3" w14:textId="77777777">
        <w:trPr>
          <w:cantSplit/>
        </w:trPr>
        <w:tc>
          <w:tcPr>
            <w:tcW w:w="1500" w:type="pct"/>
            <w:shd w:val="clear" w:color="auto" w:fill="EDF3F5"/>
            <w:tcMar>
              <w:top w:w="60" w:type="dxa"/>
              <w:left w:w="120" w:type="dxa"/>
              <w:bottom w:w="60" w:type="dxa"/>
              <w:right w:w="120" w:type="dxa"/>
            </w:tcMar>
          </w:tcPr>
          <w:p w14:paraId="532E55E4" w14:textId="77777777" w:rsidR="00EC7D8B" w:rsidRDefault="00000000">
            <w:pPr>
              <w:spacing w:line="276" w:lineRule="auto"/>
            </w:pPr>
            <w:proofErr w:type="spellStart"/>
            <w:r>
              <w:rPr>
                <w:sz w:val="20"/>
                <w:szCs w:val="20"/>
              </w:rPr>
              <w:t>de.allgemein.lmg.dao</w:t>
            </w:r>
            <w:proofErr w:type="spellEnd"/>
          </w:p>
        </w:tc>
        <w:tc>
          <w:tcPr>
            <w:tcW w:w="600" w:type="pct"/>
            <w:shd w:val="clear" w:color="auto" w:fill="EDF3F5"/>
            <w:tcMar>
              <w:top w:w="60" w:type="dxa"/>
              <w:left w:w="120" w:type="dxa"/>
              <w:bottom w:w="60" w:type="dxa"/>
              <w:right w:w="120" w:type="dxa"/>
            </w:tcMar>
          </w:tcPr>
          <w:p w14:paraId="33A1EB5D" w14:textId="77777777" w:rsidR="00EC7D8B" w:rsidRDefault="00000000">
            <w:pPr>
              <w:spacing w:line="276" w:lineRule="auto"/>
            </w:pPr>
            <w:r>
              <w:rPr>
                <w:sz w:val="20"/>
                <w:szCs w:val="20"/>
              </w:rPr>
              <w:t>6</w:t>
            </w:r>
          </w:p>
        </w:tc>
        <w:tc>
          <w:tcPr>
            <w:tcW w:w="2900" w:type="pct"/>
            <w:shd w:val="clear" w:color="auto" w:fill="EDF3F5"/>
            <w:tcMar>
              <w:top w:w="60" w:type="dxa"/>
              <w:left w:w="120" w:type="dxa"/>
              <w:bottom w:w="60" w:type="dxa"/>
              <w:right w:w="120" w:type="dxa"/>
            </w:tcMar>
          </w:tcPr>
          <w:p w14:paraId="65CF18F6" w14:textId="77777777" w:rsidR="00EC7D8B" w:rsidRDefault="00000000">
            <w:pPr>
              <w:spacing w:line="276" w:lineRule="auto"/>
            </w:pPr>
            <w:r>
              <w:rPr>
                <w:sz w:val="20"/>
                <w:szCs w:val="20"/>
              </w:rPr>
              <w:t>Datenzugriff auf die Oracle-Tabellen der Fachschicht</w:t>
            </w:r>
          </w:p>
        </w:tc>
      </w:tr>
      <w:tr w:rsidR="00EC7D8B" w14:paraId="613D71D5" w14:textId="77777777">
        <w:trPr>
          <w:cantSplit/>
        </w:trPr>
        <w:tc>
          <w:tcPr>
            <w:tcW w:w="1500" w:type="pct"/>
            <w:tcMar>
              <w:top w:w="60" w:type="dxa"/>
              <w:left w:w="120" w:type="dxa"/>
              <w:bottom w:w="60" w:type="dxa"/>
              <w:right w:w="120" w:type="dxa"/>
            </w:tcMar>
          </w:tcPr>
          <w:p w14:paraId="1E5D1F5A" w14:textId="77777777" w:rsidR="00EC7D8B" w:rsidRDefault="00000000">
            <w:pPr>
              <w:spacing w:line="276" w:lineRule="auto"/>
            </w:pPr>
            <w:proofErr w:type="spellStart"/>
            <w:proofErr w:type="gramStart"/>
            <w:r>
              <w:rPr>
                <w:sz w:val="20"/>
                <w:szCs w:val="20"/>
              </w:rPr>
              <w:lastRenderedPageBreak/>
              <w:t>de.allgemein.lmg.calc</w:t>
            </w:r>
            <w:proofErr w:type="spellEnd"/>
            <w:proofErr w:type="gramEnd"/>
          </w:p>
        </w:tc>
        <w:tc>
          <w:tcPr>
            <w:tcW w:w="600" w:type="pct"/>
            <w:tcMar>
              <w:top w:w="60" w:type="dxa"/>
              <w:left w:w="120" w:type="dxa"/>
              <w:bottom w:w="60" w:type="dxa"/>
              <w:right w:w="120" w:type="dxa"/>
            </w:tcMar>
          </w:tcPr>
          <w:p w14:paraId="75888C58" w14:textId="77777777" w:rsidR="00EC7D8B" w:rsidRDefault="00000000">
            <w:pPr>
              <w:spacing w:line="276" w:lineRule="auto"/>
            </w:pPr>
            <w:r>
              <w:rPr>
                <w:sz w:val="20"/>
                <w:szCs w:val="20"/>
              </w:rPr>
              <w:t>4</w:t>
            </w:r>
          </w:p>
        </w:tc>
        <w:tc>
          <w:tcPr>
            <w:tcW w:w="2900" w:type="pct"/>
            <w:tcMar>
              <w:top w:w="60" w:type="dxa"/>
              <w:left w:w="120" w:type="dxa"/>
              <w:bottom w:w="60" w:type="dxa"/>
              <w:right w:w="120" w:type="dxa"/>
            </w:tcMar>
          </w:tcPr>
          <w:p w14:paraId="127D0535" w14:textId="77777777" w:rsidR="00EC7D8B" w:rsidRDefault="00000000">
            <w:pPr>
              <w:spacing w:line="276" w:lineRule="auto"/>
            </w:pPr>
            <w:r>
              <w:rPr>
                <w:sz w:val="20"/>
                <w:szCs w:val="20"/>
              </w:rPr>
              <w:t>SGB-XII-Bedarfsberechnung, Satztabelle, Bescheid-Snapshot</w:t>
            </w:r>
          </w:p>
        </w:tc>
      </w:tr>
      <w:tr w:rsidR="00EC7D8B" w14:paraId="0213EA2F" w14:textId="77777777">
        <w:trPr>
          <w:cantSplit/>
        </w:trPr>
        <w:tc>
          <w:tcPr>
            <w:tcW w:w="1500" w:type="pct"/>
            <w:shd w:val="clear" w:color="auto" w:fill="EDF3F5"/>
            <w:tcMar>
              <w:top w:w="60" w:type="dxa"/>
              <w:left w:w="120" w:type="dxa"/>
              <w:bottom w:w="60" w:type="dxa"/>
              <w:right w:w="120" w:type="dxa"/>
            </w:tcMar>
          </w:tcPr>
          <w:p w14:paraId="0D44DF55" w14:textId="77777777" w:rsidR="00EC7D8B" w:rsidRDefault="00000000">
            <w:pPr>
              <w:spacing w:line="276" w:lineRule="auto"/>
            </w:pPr>
            <w:proofErr w:type="spellStart"/>
            <w:r>
              <w:rPr>
                <w:sz w:val="20"/>
                <w:szCs w:val="20"/>
              </w:rPr>
              <w:t>de.allgemein.lmg.config</w:t>
            </w:r>
            <w:proofErr w:type="spellEnd"/>
          </w:p>
        </w:tc>
        <w:tc>
          <w:tcPr>
            <w:tcW w:w="600" w:type="pct"/>
            <w:shd w:val="clear" w:color="auto" w:fill="EDF3F5"/>
            <w:tcMar>
              <w:top w:w="60" w:type="dxa"/>
              <w:left w:w="120" w:type="dxa"/>
              <w:bottom w:w="60" w:type="dxa"/>
              <w:right w:w="120" w:type="dxa"/>
            </w:tcMar>
          </w:tcPr>
          <w:p w14:paraId="26388963" w14:textId="77777777" w:rsidR="00EC7D8B" w:rsidRDefault="00000000">
            <w:pPr>
              <w:spacing w:line="276" w:lineRule="auto"/>
            </w:pPr>
            <w:r>
              <w:rPr>
                <w:sz w:val="20"/>
                <w:szCs w:val="20"/>
              </w:rPr>
              <w:t>1</w:t>
            </w:r>
          </w:p>
        </w:tc>
        <w:tc>
          <w:tcPr>
            <w:tcW w:w="2900" w:type="pct"/>
            <w:shd w:val="clear" w:color="auto" w:fill="EDF3F5"/>
            <w:tcMar>
              <w:top w:w="60" w:type="dxa"/>
              <w:left w:w="120" w:type="dxa"/>
              <w:bottom w:w="60" w:type="dxa"/>
              <w:right w:w="120" w:type="dxa"/>
            </w:tcMar>
          </w:tcPr>
          <w:p w14:paraId="61FB55B5" w14:textId="77777777" w:rsidR="00EC7D8B" w:rsidRDefault="00000000">
            <w:pPr>
              <w:spacing w:line="276" w:lineRule="auto"/>
            </w:pPr>
            <w:r>
              <w:rPr>
                <w:sz w:val="20"/>
                <w:szCs w:val="20"/>
              </w:rPr>
              <w:t>Externalisierte Konfiguration (Kaskade Datei, Umgebung, System)</w:t>
            </w:r>
          </w:p>
        </w:tc>
      </w:tr>
      <w:tr w:rsidR="00EC7D8B" w14:paraId="149E61D8" w14:textId="77777777">
        <w:trPr>
          <w:cantSplit/>
        </w:trPr>
        <w:tc>
          <w:tcPr>
            <w:tcW w:w="1500" w:type="pct"/>
            <w:tcMar>
              <w:top w:w="60" w:type="dxa"/>
              <w:left w:w="120" w:type="dxa"/>
              <w:bottom w:w="60" w:type="dxa"/>
              <w:right w:w="120" w:type="dxa"/>
            </w:tcMar>
          </w:tcPr>
          <w:p w14:paraId="510BAFFD" w14:textId="77777777" w:rsidR="00EC7D8B" w:rsidRDefault="00000000">
            <w:pPr>
              <w:spacing w:line="276" w:lineRule="auto"/>
            </w:pPr>
            <w:proofErr w:type="spellStart"/>
            <w:proofErr w:type="gramStart"/>
            <w:r>
              <w:rPr>
                <w:sz w:val="20"/>
                <w:szCs w:val="20"/>
              </w:rPr>
              <w:t>de.allgemein.lmg.service</w:t>
            </w:r>
            <w:proofErr w:type="spellEnd"/>
            <w:proofErr w:type="gramEnd"/>
          </w:p>
        </w:tc>
        <w:tc>
          <w:tcPr>
            <w:tcW w:w="600" w:type="pct"/>
            <w:tcMar>
              <w:top w:w="60" w:type="dxa"/>
              <w:left w:w="120" w:type="dxa"/>
              <w:bottom w:w="60" w:type="dxa"/>
              <w:right w:w="120" w:type="dxa"/>
            </w:tcMar>
          </w:tcPr>
          <w:p w14:paraId="486B6F7A" w14:textId="77777777" w:rsidR="00EC7D8B" w:rsidRDefault="00000000">
            <w:pPr>
              <w:spacing w:line="276" w:lineRule="auto"/>
            </w:pPr>
            <w:r>
              <w:rPr>
                <w:sz w:val="20"/>
                <w:szCs w:val="20"/>
              </w:rPr>
              <w:t>12</w:t>
            </w:r>
          </w:p>
        </w:tc>
        <w:tc>
          <w:tcPr>
            <w:tcW w:w="2900" w:type="pct"/>
            <w:tcMar>
              <w:top w:w="60" w:type="dxa"/>
              <w:left w:w="120" w:type="dxa"/>
              <w:bottom w:w="60" w:type="dxa"/>
              <w:right w:w="120" w:type="dxa"/>
            </w:tcMar>
          </w:tcPr>
          <w:p w14:paraId="5CA081BF" w14:textId="77777777" w:rsidR="00EC7D8B" w:rsidRDefault="00000000">
            <w:pPr>
              <w:spacing w:line="276" w:lineRule="auto"/>
            </w:pPr>
            <w:r>
              <w:rPr>
                <w:sz w:val="20"/>
                <w:szCs w:val="20"/>
              </w:rPr>
              <w:t>Fachdienste: Zahlungen, Bescheide, Kassenlauf, Validierung</w:t>
            </w:r>
          </w:p>
        </w:tc>
      </w:tr>
      <w:tr w:rsidR="00EC7D8B" w14:paraId="01EC703F" w14:textId="77777777">
        <w:trPr>
          <w:cantSplit/>
        </w:trPr>
        <w:tc>
          <w:tcPr>
            <w:tcW w:w="1500" w:type="pct"/>
            <w:shd w:val="clear" w:color="auto" w:fill="EDF3F5"/>
            <w:tcMar>
              <w:top w:w="60" w:type="dxa"/>
              <w:left w:w="120" w:type="dxa"/>
              <w:bottom w:w="60" w:type="dxa"/>
              <w:right w:w="120" w:type="dxa"/>
            </w:tcMar>
          </w:tcPr>
          <w:p w14:paraId="1B1C4CB3" w14:textId="77777777" w:rsidR="00EC7D8B" w:rsidRDefault="00000000">
            <w:pPr>
              <w:spacing w:line="276" w:lineRule="auto"/>
            </w:pPr>
            <w:proofErr w:type="spellStart"/>
            <w:proofErr w:type="gramStart"/>
            <w:r>
              <w:rPr>
                <w:sz w:val="20"/>
                <w:szCs w:val="20"/>
              </w:rPr>
              <w:t>de.allgemein.lmg.saga</w:t>
            </w:r>
            <w:proofErr w:type="spellEnd"/>
            <w:proofErr w:type="gramEnd"/>
          </w:p>
        </w:tc>
        <w:tc>
          <w:tcPr>
            <w:tcW w:w="600" w:type="pct"/>
            <w:shd w:val="clear" w:color="auto" w:fill="EDF3F5"/>
            <w:tcMar>
              <w:top w:w="60" w:type="dxa"/>
              <w:left w:w="120" w:type="dxa"/>
              <w:bottom w:w="60" w:type="dxa"/>
              <w:right w:w="120" w:type="dxa"/>
            </w:tcMar>
          </w:tcPr>
          <w:p w14:paraId="27B72F78" w14:textId="77777777" w:rsidR="00EC7D8B" w:rsidRDefault="00000000">
            <w:pPr>
              <w:spacing w:line="276" w:lineRule="auto"/>
            </w:pPr>
            <w:r>
              <w:rPr>
                <w:sz w:val="20"/>
                <w:szCs w:val="20"/>
              </w:rPr>
              <w:t>1</w:t>
            </w:r>
          </w:p>
        </w:tc>
        <w:tc>
          <w:tcPr>
            <w:tcW w:w="2900" w:type="pct"/>
            <w:shd w:val="clear" w:color="auto" w:fill="EDF3F5"/>
            <w:tcMar>
              <w:top w:w="60" w:type="dxa"/>
              <w:left w:w="120" w:type="dxa"/>
              <w:bottom w:w="60" w:type="dxa"/>
              <w:right w:w="120" w:type="dxa"/>
            </w:tcMar>
          </w:tcPr>
          <w:p w14:paraId="39A4CA2A" w14:textId="77777777" w:rsidR="00EC7D8B" w:rsidRDefault="00000000">
            <w:pPr>
              <w:spacing w:line="276" w:lineRule="auto"/>
            </w:pPr>
            <w:r>
              <w:rPr>
                <w:sz w:val="20"/>
                <w:szCs w:val="20"/>
              </w:rPr>
              <w:t>Fachliche End-</w:t>
            </w:r>
            <w:proofErr w:type="spellStart"/>
            <w:r>
              <w:rPr>
                <w:sz w:val="20"/>
                <w:szCs w:val="20"/>
              </w:rPr>
              <w:t>to</w:t>
            </w:r>
            <w:proofErr w:type="spellEnd"/>
            <w:r>
              <w:rPr>
                <w:sz w:val="20"/>
                <w:szCs w:val="20"/>
              </w:rPr>
              <w:t>-End-Saga: Antrag, Prüfung, Bescheid, Auszahlung</w:t>
            </w:r>
          </w:p>
        </w:tc>
      </w:tr>
      <w:tr w:rsidR="00EC7D8B" w14:paraId="423B89DD" w14:textId="77777777">
        <w:trPr>
          <w:cantSplit/>
        </w:trPr>
        <w:tc>
          <w:tcPr>
            <w:tcW w:w="1500" w:type="pct"/>
            <w:tcMar>
              <w:top w:w="60" w:type="dxa"/>
              <w:left w:w="120" w:type="dxa"/>
              <w:bottom w:w="60" w:type="dxa"/>
              <w:right w:w="120" w:type="dxa"/>
            </w:tcMar>
          </w:tcPr>
          <w:p w14:paraId="669AE332" w14:textId="77777777" w:rsidR="00EC7D8B" w:rsidRDefault="00000000">
            <w:pPr>
              <w:spacing w:line="276" w:lineRule="auto"/>
            </w:pPr>
            <w:proofErr w:type="spellStart"/>
            <w:r>
              <w:rPr>
                <w:sz w:val="20"/>
                <w:szCs w:val="20"/>
              </w:rPr>
              <w:t>de.allgemein.lmg.web</w:t>
            </w:r>
            <w:proofErr w:type="spellEnd"/>
          </w:p>
        </w:tc>
        <w:tc>
          <w:tcPr>
            <w:tcW w:w="600" w:type="pct"/>
            <w:tcMar>
              <w:top w:w="60" w:type="dxa"/>
              <w:left w:w="120" w:type="dxa"/>
              <w:bottom w:w="60" w:type="dxa"/>
              <w:right w:w="120" w:type="dxa"/>
            </w:tcMar>
          </w:tcPr>
          <w:p w14:paraId="5F0AEBDA" w14:textId="77777777" w:rsidR="00EC7D8B" w:rsidRDefault="00000000">
            <w:pPr>
              <w:spacing w:line="276" w:lineRule="auto"/>
            </w:pPr>
            <w:r>
              <w:rPr>
                <w:sz w:val="20"/>
                <w:szCs w:val="20"/>
              </w:rPr>
              <w:t>5</w:t>
            </w:r>
          </w:p>
        </w:tc>
        <w:tc>
          <w:tcPr>
            <w:tcW w:w="2900" w:type="pct"/>
            <w:tcMar>
              <w:top w:w="60" w:type="dxa"/>
              <w:left w:w="120" w:type="dxa"/>
              <w:bottom w:w="60" w:type="dxa"/>
              <w:right w:w="120" w:type="dxa"/>
            </w:tcMar>
          </w:tcPr>
          <w:p w14:paraId="4106F03F" w14:textId="77777777" w:rsidR="00EC7D8B" w:rsidRDefault="00000000">
            <w:pPr>
              <w:spacing w:line="276" w:lineRule="auto"/>
            </w:pPr>
            <w:r>
              <w:rPr>
                <w:sz w:val="20"/>
                <w:szCs w:val="20"/>
              </w:rPr>
              <w:t>Weboberfläche und JSON-API auf dem JDK-</w:t>
            </w:r>
            <w:proofErr w:type="spellStart"/>
            <w:r>
              <w:rPr>
                <w:sz w:val="20"/>
                <w:szCs w:val="20"/>
              </w:rPr>
              <w:t>HttpServer</w:t>
            </w:r>
            <w:proofErr w:type="spellEnd"/>
          </w:p>
        </w:tc>
      </w:tr>
    </w:tbl>
    <w:p w14:paraId="0124A91F" w14:textId="77777777" w:rsidR="00EC7D8B" w:rsidRDefault="00000000">
      <w:pPr>
        <w:spacing w:before="120" w:after="120"/>
        <w:jc w:val="both"/>
      </w:pPr>
      <w:r>
        <w:t xml:space="preserve">Quer dazu liegen die Ressourcen: die DDL-Skripte in </w:t>
      </w:r>
      <w:proofErr w:type="spellStart"/>
      <w:r>
        <w:rPr>
          <w:rFonts w:ascii="Consolas" w:hAnsi="Consolas"/>
          <w:color w:val="0B4A56"/>
          <w:sz w:val="20"/>
          <w:szCs w:val="20"/>
        </w:rPr>
        <w:t>ddl</w:t>
      </w:r>
      <w:proofErr w:type="spellEnd"/>
      <w:r>
        <w:rPr>
          <w:rFonts w:ascii="Consolas" w:hAnsi="Consolas"/>
          <w:color w:val="0B4A56"/>
          <w:sz w:val="20"/>
          <w:szCs w:val="20"/>
        </w:rPr>
        <w:t>/</w:t>
      </w:r>
      <w:r>
        <w:t xml:space="preserve"> (Oracle-Schema, Fachschema, Seed-Daten), die Tests unter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test</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t xml:space="preserve"> (unter anderem </w:t>
      </w:r>
      <w:proofErr w:type="spellStart"/>
      <w:r>
        <w:rPr>
          <w:rFonts w:ascii="Consolas" w:hAnsi="Consolas"/>
          <w:color w:val="0B4A56"/>
          <w:sz w:val="20"/>
          <w:szCs w:val="20"/>
        </w:rPr>
        <w:t>SzenarioRegressionTest</w:t>
      </w:r>
      <w:proofErr w:type="spellEnd"/>
      <w:r>
        <w:t xml:space="preserve"> mit zehn End-</w:t>
      </w:r>
      <w:proofErr w:type="spellStart"/>
      <w:r>
        <w:t>to</w:t>
      </w:r>
      <w:proofErr w:type="spellEnd"/>
      <w:r>
        <w:t xml:space="preserve">-End-Fällen) und der Mitarbeiter-Simulator </w:t>
      </w:r>
      <w:proofErr w:type="spellStart"/>
      <w:r>
        <w:rPr>
          <w:rFonts w:ascii="Consolas" w:hAnsi="Consolas"/>
          <w:color w:val="0B4A56"/>
          <w:sz w:val="20"/>
          <w:szCs w:val="20"/>
        </w:rPr>
        <w:t>testsweet</w:t>
      </w:r>
      <w:proofErr w:type="spellEnd"/>
      <w:r>
        <w:rPr>
          <w:rFonts w:ascii="Consolas" w:hAnsi="Consolas"/>
          <w:color w:val="0B4A56"/>
          <w:sz w:val="20"/>
          <w:szCs w:val="20"/>
        </w:rPr>
        <w:t>/</w:t>
      </w:r>
      <w:r>
        <w:t>, der mit N Sachbearbeitern parallel arbeitet. Stand dieser Beschreibung ist Version 0.5.8 vom 12. Oktober 2026.</w:t>
      </w:r>
    </w:p>
    <w:p w14:paraId="7678C8D3" w14:textId="77777777" w:rsidR="00EC7D8B" w:rsidRDefault="00000000">
      <w:pPr>
        <w:pStyle w:val="berschrift2"/>
        <w:keepNext/>
        <w:spacing w:before="320"/>
      </w:pPr>
      <w:bookmarkStart w:id="6" w:name="_Toc4"/>
      <w:bookmarkStart w:id="7" w:name="_Toc242984001"/>
      <w:r>
        <w:t>1.3 Wie man dieses Dokument nutzt</w:t>
      </w:r>
      <w:bookmarkEnd w:id="6"/>
      <w:bookmarkEnd w:id="7"/>
    </w:p>
    <w:p w14:paraId="12BD3A32" w14:textId="77777777" w:rsidR="00EC7D8B" w:rsidRDefault="00000000">
      <w:pPr>
        <w:spacing w:after="120"/>
        <w:jc w:val="both"/>
      </w:pPr>
      <w:r>
        <w:t>Kapitel 2 erklärt den Transaktionskern, Kapitel 3 die Fachschicht, Kapitel 4 verfolgt einmal einen kompletten Request durch alle Schichten, und Kapitel 5 schlägt eine Lernreihenfolge vor. Wer schnell einsteigen will, liest Kapitel 4 zuerst: Dort tauchen die wichtigsten Klassennamen in ihrem natürlichen Zusammenspiel auf.</w:t>
      </w:r>
    </w:p>
    <w:p w14:paraId="006E52A1" w14:textId="77777777" w:rsidR="00EC7D8B" w:rsidRDefault="00000000">
      <w:pPr>
        <w:spacing w:after="120"/>
        <w:jc w:val="both"/>
      </w:pPr>
      <w:r>
        <w:t xml:space="preserve">Vertiefung bietet die Projektdokumentation: </w:t>
      </w:r>
      <w:r>
        <w:rPr>
          <w:rFonts w:ascii="Consolas" w:hAnsi="Consolas"/>
          <w:color w:val="0B4A56"/>
          <w:sz w:val="20"/>
          <w:szCs w:val="20"/>
        </w:rPr>
        <w:t>doc/architektur.md</w:t>
      </w:r>
      <w:r>
        <w:t xml:space="preserve"> (Bausteine und Abläufe), </w:t>
      </w:r>
      <w:r>
        <w:rPr>
          <w:rFonts w:ascii="Consolas" w:hAnsi="Consolas"/>
          <w:color w:val="0B4A56"/>
          <w:sz w:val="20"/>
          <w:szCs w:val="20"/>
        </w:rPr>
        <w:t>doc/leistungsmanagement.md</w:t>
      </w:r>
      <w:r>
        <w:t xml:space="preserve"> (Fachschicht), </w:t>
      </w:r>
      <w:r>
        <w:rPr>
          <w:rFonts w:ascii="Consolas" w:hAnsi="Consolas"/>
          <w:color w:val="0B4A56"/>
          <w:sz w:val="20"/>
          <w:szCs w:val="20"/>
        </w:rPr>
        <w:t>doc/regressionstests.md</w:t>
      </w:r>
      <w:r>
        <w:t xml:space="preserve"> (die zehn Testfälle mit erwartetem Datenbank-Endzustand) und </w:t>
      </w:r>
      <w:r>
        <w:rPr>
          <w:rFonts w:ascii="Consolas" w:hAnsi="Consolas"/>
          <w:color w:val="0B4A56"/>
          <w:sz w:val="20"/>
          <w:szCs w:val="20"/>
        </w:rPr>
        <w:t>doc/rechtsgrundlagen.md</w:t>
      </w:r>
      <w:r>
        <w:t xml:space="preserve"> (Rechtsquellen mit Herkunftsnachweisen). Die Testklassen sind außerdem ein hervorragendes Nutzungsbild: Wer sieht, wie eine Klasse </w:t>
      </w:r>
      <w:proofErr w:type="spellStart"/>
      <w:r>
        <w:t>aufgeufen</w:t>
      </w:r>
      <w:proofErr w:type="spellEnd"/>
      <w:r>
        <w:t xml:space="preserve"> und geprüft wird, versteht ihren Vertrag.</w:t>
      </w:r>
    </w:p>
    <w:p w14:paraId="2364A263" w14:textId="77777777" w:rsidR="00EC7D8B" w:rsidRDefault="00000000">
      <w:pPr>
        <w:pStyle w:val="berschrift1"/>
        <w:keepNext/>
        <w:pageBreakBefore/>
        <w:pBdr>
          <w:bottom w:val="single" w:sz="6" w:space="6" w:color="1B6B7A"/>
        </w:pBdr>
        <w:spacing w:before="120" w:after="240"/>
      </w:pPr>
      <w:bookmarkStart w:id="8" w:name="_Toc5"/>
      <w:bookmarkStart w:id="9" w:name="_Toc242984002"/>
      <w:r>
        <w:lastRenderedPageBreak/>
        <w:t xml:space="preserve">2 Der Transaktionskern: </w:t>
      </w:r>
      <w:proofErr w:type="spellStart"/>
      <w:proofErr w:type="gramStart"/>
      <w:r>
        <w:t>de.allgemein</w:t>
      </w:r>
      <w:proofErr w:type="gramEnd"/>
      <w:r>
        <w:t>.tx</w:t>
      </w:r>
      <w:bookmarkEnd w:id="8"/>
      <w:bookmarkEnd w:id="9"/>
      <w:proofErr w:type="spellEnd"/>
    </w:p>
    <w:p w14:paraId="66B676C5" w14:textId="77777777" w:rsidR="00EC7D8B" w:rsidRDefault="00000000">
      <w:pPr>
        <w:pStyle w:val="berschrift2"/>
        <w:keepNext/>
        <w:spacing w:before="320"/>
      </w:pPr>
      <w:bookmarkStart w:id="10" w:name="_Toc6"/>
      <w:bookmarkStart w:id="11" w:name="_Toc242984003"/>
      <w:r>
        <w:t>2.1 Idee und Zusammenspiel</w:t>
      </w:r>
      <w:bookmarkEnd w:id="10"/>
      <w:bookmarkEnd w:id="11"/>
    </w:p>
    <w:p w14:paraId="00F761DD" w14:textId="77777777" w:rsidR="00EC7D8B" w:rsidRDefault="00000000">
      <w:pPr>
        <w:spacing w:after="120"/>
        <w:jc w:val="both"/>
      </w:pPr>
      <w:r>
        <w:t xml:space="preserve">Der Kern stellt zwei Ausführungsmodelle bereit. Für kurze Arbeitseinheiten (typisch: eine Maske speichern, eine Zahlung buchen) gibt es </w:t>
      </w:r>
      <w:proofErr w:type="spellStart"/>
      <w:r>
        <w:rPr>
          <w:rFonts w:ascii="Consolas" w:hAnsi="Consolas"/>
          <w:color w:val="0B4A56"/>
          <w:sz w:val="20"/>
          <w:szCs w:val="20"/>
        </w:rPr>
        <w:t>TxManager.execute</w:t>
      </w:r>
      <w:proofErr w:type="spellEnd"/>
      <w:r>
        <w:t xml:space="preserve">: leihe eine Verbindung aus dem Pool, beginne die Transaktion, führe die Arbeit aus, committen oder zurückrollen — und wiederhole nur bei </w:t>
      </w:r>
      <w:proofErr w:type="spellStart"/>
      <w:r>
        <w:t>Sperrenkonflikten</w:t>
      </w:r>
      <w:proofErr w:type="spellEnd"/>
      <w:r>
        <w:t xml:space="preserve">. Für lange Geschäftsvorgänge, die nicht in einer Transaktion laufen dürfen (Antrag, Bescheid, Auszahlung), gibt es die </w:t>
      </w:r>
      <w:proofErr w:type="spellStart"/>
      <w:r>
        <w:rPr>
          <w:rFonts w:ascii="Consolas" w:hAnsi="Consolas"/>
          <w:color w:val="0B4A56"/>
          <w:sz w:val="20"/>
          <w:szCs w:val="20"/>
        </w:rPr>
        <w:t>SagaEngine</w:t>
      </w:r>
      <w:proofErr w:type="spellEnd"/>
      <w:r>
        <w:t>: sie zerlegt den Vorgang in eine Kette kurzer Transaktionen und hält den Fortschritt in Journal-Tabellen fest, sodass nach einem Absturz sauber kompensiert oder fortgesetzt werden kann.</w:t>
      </w:r>
    </w:p>
    <w:p w14:paraId="2D720180" w14:textId="77777777" w:rsidR="00EC7D8B" w:rsidRDefault="00000000">
      <w:pPr>
        <w:spacing w:after="120"/>
        <w:jc w:val="both"/>
      </w:pPr>
      <w:r>
        <w:t xml:space="preserve">Darum liegen drei Querschnittsdienste: der </w:t>
      </w:r>
      <w:proofErr w:type="spellStart"/>
      <w:r>
        <w:rPr>
          <w:rFonts w:ascii="Consolas" w:hAnsi="Consolas"/>
          <w:color w:val="0B4A56"/>
          <w:sz w:val="20"/>
          <w:szCs w:val="20"/>
        </w:rPr>
        <w:t>TaskController</w:t>
      </w:r>
      <w:proofErr w:type="spellEnd"/>
      <w:r>
        <w:t xml:space="preserve"> begrenzt die Parallelität und überwacht Zeitlimits (die Rolle, die beim Vorbild der Transaktionsmonitor selbst spielte), das </w:t>
      </w:r>
      <w:proofErr w:type="spellStart"/>
      <w:r>
        <w:rPr>
          <w:rFonts w:ascii="Consolas" w:hAnsi="Consolas"/>
          <w:color w:val="0B4A56"/>
          <w:sz w:val="20"/>
          <w:szCs w:val="20"/>
        </w:rPr>
        <w:t>TxAuditLog</w:t>
      </w:r>
      <w:proofErr w:type="spellEnd"/>
      <w:r>
        <w:t xml:space="preserve"> protokolliert revisionssicher ohne Sozialdaten, und das </w:t>
      </w:r>
      <w:proofErr w:type="spellStart"/>
      <w:r>
        <w:rPr>
          <w:rFonts w:ascii="Consolas" w:hAnsi="Consolas"/>
          <w:color w:val="0B4A56"/>
          <w:sz w:val="20"/>
          <w:szCs w:val="20"/>
        </w:rPr>
        <w:t>TxMonitoring</w:t>
      </w:r>
      <w:proofErr w:type="spellEnd"/>
      <w:r>
        <w:t xml:space="preserve"> legt die Kennzahlen über JMX offen. bewusst gilt überall: keine Frameworks, keine verteilten Transaktionen (kein XA) — nur Java 21, JDBC und Oracle.</w:t>
      </w:r>
    </w:p>
    <w:p w14:paraId="09B05768" w14:textId="77777777" w:rsidR="00EC7D8B" w:rsidRDefault="00000000">
      <w:pPr>
        <w:spacing w:after="120"/>
        <w:jc w:val="both"/>
      </w:pPr>
      <w:r>
        <w:rPr>
          <w:b/>
          <w:bCs/>
          <w:color w:val="0E2A33"/>
        </w:rPr>
        <w:t>Für Lernende wichtig:</w:t>
      </w:r>
      <w:r>
        <w:t xml:space="preserve"> Die Klassen sind bewusst klein und rollenklar gehalten (der ganze Kern umfasst rund 3.400 Zeilen). Fast jede Klasse trägt einen ausführlichen deutschen Klassenkommentar, der die Entscheidungen begründet — dieser hier ist eine Karriere durch den Code.</w:t>
      </w:r>
    </w:p>
    <w:p w14:paraId="4D15EFD5" w14:textId="77777777" w:rsidR="00EC7D8B" w:rsidRDefault="00000000">
      <w:pPr>
        <w:pStyle w:val="berschrift2"/>
        <w:keepNext/>
        <w:spacing w:before="320"/>
      </w:pPr>
      <w:bookmarkStart w:id="12" w:name="_Toc7"/>
      <w:bookmarkStart w:id="13" w:name="_Toc242984004"/>
      <w:r>
        <w:t>2.2 Transaktionsführung (Paketwurzel)</w:t>
      </w:r>
      <w:bookmarkEnd w:id="12"/>
      <w:bookmarkEnd w:id="13"/>
    </w:p>
    <w:p w14:paraId="5D9EA5AB" w14:textId="77777777" w:rsidR="00EC7D8B" w:rsidRDefault="00000000">
      <w:pPr>
        <w:pStyle w:val="berschrift3"/>
        <w:keepNext/>
        <w:pBdr>
          <w:left w:val="single" w:sz="14" w:space="8" w:color="1B6B7A"/>
        </w:pBdr>
        <w:spacing w:before="260" w:after="80"/>
        <w:ind w:left="140"/>
      </w:pPr>
      <w:proofErr w:type="spellStart"/>
      <w:r>
        <w:t>TxManager</w:t>
      </w:r>
      <w:proofErr w:type="spellEnd"/>
    </w:p>
    <w:p w14:paraId="2A4666D7"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.tx.TxManager</w:t>
      </w:r>
      <w:proofErr w:type="spellEnd"/>
      <w:r>
        <w:rPr>
          <w:rFonts w:ascii="Consolas" w:hAnsi="Consolas"/>
          <w:color w:val="5A6B73"/>
          <w:sz w:val="18"/>
          <w:szCs w:val="18"/>
        </w:rPr>
        <w:t xml:space="preserve"> · final </w:t>
      </w:r>
      <w:proofErr w:type="spellStart"/>
      <w:r>
        <w:rPr>
          <w:rFonts w:ascii="Consolas" w:hAnsi="Consolas"/>
          <w:color w:val="5A6B73"/>
          <w:sz w:val="18"/>
          <w:szCs w:val="18"/>
        </w:rPr>
        <w:t>class</w:t>
      </w:r>
      <w:proofErr w:type="spellEnd"/>
      <w:r>
        <w:rPr>
          <w:rFonts w:ascii="Consolas" w:hAnsi="Consolas"/>
          <w:color w:val="5A6B73"/>
          <w:sz w:val="18"/>
          <w:szCs w:val="18"/>
        </w:rPr>
        <w:t xml:space="preserve"> · 149 Zeilen</w:t>
      </w:r>
    </w:p>
    <w:p w14:paraId="69E41826" w14:textId="77777777" w:rsidR="00EC7D8B" w:rsidRDefault="00000000">
      <w:pPr>
        <w:spacing w:after="120"/>
        <w:jc w:val="both"/>
      </w:pPr>
      <w:r>
        <w:t xml:space="preserve">Der Kern der Steuerungsschicht. </w:t>
      </w:r>
      <w:proofErr w:type="spellStart"/>
      <w:r>
        <w:rPr>
          <w:rFonts w:ascii="Consolas" w:hAnsi="Consolas"/>
          <w:color w:val="0B4A56"/>
          <w:sz w:val="20"/>
          <w:szCs w:val="20"/>
        </w:rPr>
        <w:t>TxManager</w:t>
      </w:r>
      <w:proofErr w:type="spellEnd"/>
      <w:r>
        <w:t xml:space="preserve"> führt eine Arbeitseinheit als Oracle-Transaktion aus: Verbindung aus dem Pool holen, </w:t>
      </w:r>
      <w:proofErr w:type="spellStart"/>
      <w:r>
        <w:t>Autocommit</w:t>
      </w:r>
      <w:proofErr w:type="spellEnd"/>
      <w:r>
        <w:t xml:space="preserve"> aus, Arbeit laufen lassen, dann Commit bei Erfolg oder Rollback bei Fehler. Oracle selbst liefert ACID, Sperrverwaltung und Recovery — gesteuert werden hier nur Beginn, Abschluss, Zeitlimit und Wiederholung.</w:t>
      </w:r>
    </w:p>
    <w:p w14:paraId="6E7F6609" w14:textId="77777777" w:rsidR="00EC7D8B" w:rsidRDefault="00000000">
      <w:pPr>
        <w:spacing w:after="120"/>
        <w:jc w:val="both"/>
      </w:pPr>
      <w:r>
        <w:t xml:space="preserve">Zwei Garantien sind besonders: Beim Durchreichen </w:t>
      </w:r>
      <w:proofErr w:type="gramStart"/>
      <w:r>
        <w:t xml:space="preserve">eines </w:t>
      </w:r>
      <w:r>
        <w:rPr>
          <w:rFonts w:ascii="Consolas" w:hAnsi="Consolas"/>
          <w:color w:val="0B4A56"/>
          <w:sz w:val="20"/>
          <w:szCs w:val="20"/>
        </w:rPr>
        <w:t>Error</w:t>
      </w:r>
      <w:proofErr w:type="gramEnd"/>
      <w:r>
        <w:t xml:space="preserve"> oder </w:t>
      </w:r>
      <w:proofErr w:type="spellStart"/>
      <w:r>
        <w:rPr>
          <w:rFonts w:ascii="Consolas" w:hAnsi="Consolas"/>
          <w:color w:val="0B4A56"/>
          <w:sz w:val="20"/>
          <w:szCs w:val="20"/>
        </w:rPr>
        <w:t>OutOfMemoryError</w:t>
      </w:r>
      <w:proofErr w:type="spellEnd"/>
      <w:r>
        <w:t xml:space="preserve"> wird trotzdem zurückgerollt (in JDBC würde </w:t>
      </w:r>
      <w:proofErr w:type="spellStart"/>
      <w:r>
        <w:rPr>
          <w:rFonts w:ascii="Consolas" w:hAnsi="Consolas"/>
          <w:color w:val="0B4A56"/>
          <w:sz w:val="20"/>
          <w:szCs w:val="20"/>
        </w:rPr>
        <w:t>setAutoCommit</w:t>
      </w:r>
      <w:proofErr w:type="spellEnd"/>
      <w:r>
        <w:rPr>
          <w:rFonts w:ascii="Consolas" w:hAnsi="Consolas"/>
          <w:color w:val="0B4A56"/>
          <w:sz w:val="20"/>
          <w:szCs w:val="20"/>
        </w:rPr>
        <w:t>(</w:t>
      </w:r>
      <w:proofErr w:type="spellStart"/>
      <w:r>
        <w:rPr>
          <w:rFonts w:ascii="Consolas" w:hAnsi="Consolas"/>
          <w:color w:val="0B4A56"/>
          <w:sz w:val="20"/>
          <w:szCs w:val="20"/>
        </w:rPr>
        <w:t>true</w:t>
      </w:r>
      <w:proofErr w:type="spellEnd"/>
      <w:r>
        <w:rPr>
          <w:rFonts w:ascii="Consolas" w:hAnsi="Consolas"/>
          <w:color w:val="0B4A56"/>
          <w:sz w:val="20"/>
          <w:szCs w:val="20"/>
        </w:rPr>
        <w:t>)</w:t>
      </w:r>
      <w:r>
        <w:t xml:space="preserve"> sonst implizit committen — genau das darf nie passieren), und wiederholt wird nur, wenn die </w:t>
      </w:r>
      <w:proofErr w:type="spellStart"/>
      <w:r>
        <w:rPr>
          <w:rFonts w:ascii="Consolas" w:hAnsi="Consolas"/>
          <w:color w:val="0B4A56"/>
          <w:sz w:val="20"/>
          <w:szCs w:val="20"/>
        </w:rPr>
        <w:t>RetryPolicy</w:t>
      </w:r>
      <w:proofErr w:type="spellEnd"/>
      <w:r>
        <w:t xml:space="preserve"> den Fehler als </w:t>
      </w:r>
      <w:proofErr w:type="spellStart"/>
      <w:r>
        <w:t>Sperrenkonflikt</w:t>
      </w:r>
      <w:proofErr w:type="spellEnd"/>
      <w:r>
        <w:t xml:space="preserve"> einstuft. Neben der bequemen </w:t>
      </w:r>
      <w:proofErr w:type="spellStart"/>
      <w:r>
        <w:rPr>
          <w:rFonts w:ascii="Consolas" w:hAnsi="Consolas"/>
          <w:color w:val="0B4A56"/>
          <w:sz w:val="20"/>
          <w:szCs w:val="20"/>
        </w:rPr>
        <w:t>execute</w:t>
      </w:r>
      <w:proofErr w:type="spellEnd"/>
      <w:r>
        <w:t>-API gibt es eine manuelle API (</w:t>
      </w:r>
      <w:proofErr w:type="spellStart"/>
      <w:r>
        <w:rPr>
          <w:rFonts w:ascii="Consolas" w:hAnsi="Consolas"/>
          <w:color w:val="0B4A56"/>
          <w:sz w:val="20"/>
          <w:szCs w:val="20"/>
        </w:rPr>
        <w:t>begin</w:t>
      </w:r>
      <w:proofErr w:type="spellEnd"/>
      <w:r>
        <w:rPr>
          <w:rFonts w:ascii="Consolas" w:hAnsi="Consolas"/>
          <w:color w:val="0B4A56"/>
          <w:sz w:val="20"/>
          <w:szCs w:val="20"/>
        </w:rPr>
        <w:t>/</w:t>
      </w:r>
      <w:proofErr w:type="spellStart"/>
      <w:r>
        <w:rPr>
          <w:rFonts w:ascii="Consolas" w:hAnsi="Consolas"/>
          <w:color w:val="0B4A56"/>
          <w:sz w:val="20"/>
          <w:szCs w:val="20"/>
        </w:rPr>
        <w:t>commit</w:t>
      </w:r>
      <w:proofErr w:type="spellEnd"/>
      <w:r>
        <w:rPr>
          <w:rFonts w:ascii="Consolas" w:hAnsi="Consolas"/>
          <w:color w:val="0B4A56"/>
          <w:sz w:val="20"/>
          <w:szCs w:val="20"/>
        </w:rPr>
        <w:t>/finish</w:t>
      </w:r>
      <w:r>
        <w:t>) für Sonderfälle.</w:t>
      </w:r>
    </w:p>
    <w:p w14:paraId="287A4741" w14:textId="77777777" w:rsidR="00EC7D8B" w:rsidRDefault="00000000">
      <w:pPr>
        <w:pStyle w:val="berschrift3"/>
        <w:keepNext/>
        <w:pBdr>
          <w:left w:val="single" w:sz="14" w:space="8" w:color="1B6B7A"/>
        </w:pBdr>
        <w:spacing w:before="260" w:after="80"/>
        <w:ind w:left="140"/>
      </w:pPr>
      <w:proofErr w:type="spellStart"/>
      <w:r>
        <w:t>TxWork</w:t>
      </w:r>
      <w:proofErr w:type="spellEnd"/>
    </w:p>
    <w:p w14:paraId="760C5650"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.tx.TxWork</w:t>
      </w:r>
      <w:proofErr w:type="spellEnd"/>
      <w:r>
        <w:rPr>
          <w:rFonts w:ascii="Consolas" w:hAnsi="Consolas"/>
          <w:color w:val="5A6B73"/>
          <w:sz w:val="18"/>
          <w:szCs w:val="18"/>
        </w:rPr>
        <w:t xml:space="preserve"> · interface</w:t>
      </w:r>
    </w:p>
    <w:p w14:paraId="525822C3" w14:textId="77777777" w:rsidR="00EC7D8B" w:rsidRDefault="00000000">
      <w:pPr>
        <w:spacing w:after="120"/>
        <w:jc w:val="both"/>
      </w:pPr>
      <w:r>
        <w:t xml:space="preserve">Ein funktionales Interface und der Vertrag des Fachcodes: </w:t>
      </w:r>
      <w:proofErr w:type="spellStart"/>
      <w:r>
        <w:rPr>
          <w:rFonts w:ascii="Consolas" w:hAnsi="Consolas"/>
          <w:color w:val="0B4A56"/>
          <w:sz w:val="20"/>
          <w:szCs w:val="20"/>
        </w:rPr>
        <w:t>TxWork</w:t>
      </w:r>
      <w:proofErr w:type="spellEnd"/>
      <w:r>
        <w:rPr>
          <w:rFonts w:ascii="Consolas" w:hAnsi="Consolas"/>
          <w:color w:val="0B4A56"/>
          <w:sz w:val="20"/>
          <w:szCs w:val="20"/>
        </w:rPr>
        <w:t>&lt;T&gt;.</w:t>
      </w:r>
      <w:proofErr w:type="spellStart"/>
      <w:r>
        <w:rPr>
          <w:rFonts w:ascii="Consolas" w:hAnsi="Consolas"/>
          <w:color w:val="0B4A56"/>
          <w:sz w:val="20"/>
          <w:szCs w:val="20"/>
        </w:rPr>
        <w:t>run</w:t>
      </w:r>
      <w:proofErr w:type="spellEnd"/>
      <w:r>
        <w:rPr>
          <w:rFonts w:ascii="Consolas" w:hAnsi="Consolas"/>
          <w:color w:val="0B4A56"/>
          <w:sz w:val="20"/>
          <w:szCs w:val="20"/>
        </w:rPr>
        <w:t>(Connection)</w:t>
      </w:r>
      <w:r>
        <w:t xml:space="preserve"> enthält die SQL-Arbeit einer kurzen Transaktion und liefert ein Ergebnis vom Typ T. Der </w:t>
      </w:r>
      <w:proofErr w:type="spellStart"/>
      <w:r>
        <w:t>Fachcode</w:t>
      </w:r>
      <w:proofErr w:type="spellEnd"/>
      <w:r>
        <w:t xml:space="preserve"> sieht nur die frische Verbindung — alles andere (Beginn, Commit, Rollback, </w:t>
      </w:r>
      <w:proofErr w:type="spellStart"/>
      <w:r>
        <w:t>Retry</w:t>
      </w:r>
      <w:proofErr w:type="spellEnd"/>
      <w:r>
        <w:t xml:space="preserve">, Zeitlimit) übernimmt der </w:t>
      </w:r>
      <w:proofErr w:type="spellStart"/>
      <w:r>
        <w:rPr>
          <w:rFonts w:ascii="Consolas" w:hAnsi="Consolas"/>
          <w:color w:val="0B4A56"/>
          <w:sz w:val="20"/>
          <w:szCs w:val="20"/>
        </w:rPr>
        <w:lastRenderedPageBreak/>
        <w:t>TxManager</w:t>
      </w:r>
      <w:proofErr w:type="spellEnd"/>
      <w:r>
        <w:t xml:space="preserve">. Dieses Interface ist die wichtigste Naht des ganzen Projekts: Jede Fachfunktion der Kapitel 3 ist ein </w:t>
      </w:r>
      <w:proofErr w:type="spellStart"/>
      <w:r>
        <w:rPr>
          <w:rFonts w:ascii="Consolas" w:hAnsi="Consolas"/>
          <w:color w:val="0B4A56"/>
          <w:sz w:val="20"/>
          <w:szCs w:val="20"/>
        </w:rPr>
        <w:t>TxWork</w:t>
      </w:r>
      <w:proofErr w:type="spellEnd"/>
      <w:r>
        <w:t>.</w:t>
      </w:r>
    </w:p>
    <w:p w14:paraId="1A3A7BAB"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TxContext</w:t>
      </w:r>
    </w:p>
    <w:p w14:paraId="50A70704"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de.allgemein.tx.TxContext · final class · AutoCloseable</w:t>
      </w:r>
    </w:p>
    <w:p w14:paraId="32C511A0" w14:textId="77777777" w:rsidR="00EC7D8B" w:rsidRDefault="00000000">
      <w:pPr>
        <w:spacing w:after="120"/>
        <w:jc w:val="both"/>
      </w:pPr>
      <w:r>
        <w:t xml:space="preserve">Repräsentiert genau eine laufende Oracle-Transaktion (Vorbild: ein CICS-Task mit SYNCPOINT). </w:t>
      </w:r>
      <w:proofErr w:type="spellStart"/>
      <w:r>
        <w:rPr>
          <w:rFonts w:ascii="Consolas" w:hAnsi="Consolas"/>
          <w:color w:val="0B4A56"/>
          <w:sz w:val="20"/>
          <w:szCs w:val="20"/>
        </w:rPr>
        <w:t>TxContext</w:t>
      </w:r>
      <w:proofErr w:type="spellEnd"/>
      <w:r>
        <w:t xml:space="preserve"> hält die geholte Verbindung und die Deadline des Zeitlimits; schließen gehört dem Aufrufer über </w:t>
      </w:r>
      <w:r>
        <w:rPr>
          <w:rFonts w:ascii="Consolas" w:hAnsi="Consolas"/>
          <w:color w:val="0B4A56"/>
          <w:sz w:val="20"/>
          <w:szCs w:val="20"/>
        </w:rPr>
        <w:t>release</w:t>
      </w:r>
      <w:r>
        <w:t xml:space="preserve"> des Pools. DAOs der Fachschicht holen sich über ihn die Verbindung der laufenden Transaktion — dadurch brechen keine Transaktionsgrenzen.</w:t>
      </w:r>
    </w:p>
    <w:p w14:paraId="4D41F38D"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TxOptions</w:t>
      </w:r>
    </w:p>
    <w:p w14:paraId="76294C8C"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de.allgemein.tx.TxOptions · record (isolation, timeout, maxAttempts)</w:t>
      </w:r>
    </w:p>
    <w:p w14:paraId="296A9F61" w14:textId="77777777" w:rsidR="00EC7D8B" w:rsidRDefault="00000000">
      <w:pPr>
        <w:spacing w:after="120"/>
        <w:jc w:val="both"/>
      </w:pPr>
      <w:r>
        <w:t xml:space="preserve">Die drei Stellschrauben einer Transaktion: Isolationsebene, Zeitlimit und maximale Versuchsanzahl. Wichtig ist die Zeitlimit-Semantik: </w:t>
      </w:r>
      <w:proofErr w:type="spellStart"/>
      <w:r>
        <w:rPr>
          <w:rFonts w:ascii="Consolas" w:hAnsi="Consolas"/>
          <w:color w:val="0B4A56"/>
          <w:sz w:val="20"/>
          <w:szCs w:val="20"/>
        </w:rPr>
        <w:t>timeout</w:t>
      </w:r>
      <w:proofErr w:type="spellEnd"/>
      <w:r>
        <w:t xml:space="preserve"> gilt pro Versuch — der </w:t>
      </w:r>
      <w:proofErr w:type="spellStart"/>
      <w:r>
        <w:t>TxManager</w:t>
      </w:r>
      <w:proofErr w:type="spellEnd"/>
      <w:r>
        <w:t xml:space="preserve"> setzt die Deadline je Versuch neu. Der Wachhund des </w:t>
      </w:r>
      <w:proofErr w:type="spellStart"/>
      <w:r>
        <w:t>TaskController</w:t>
      </w:r>
      <w:proofErr w:type="spellEnd"/>
      <w:r>
        <w:t xml:space="preserve"> misst dagegen die Gesamtzeit inklusive aller Wiederholungen und Backoff-Pausen. Wer also Wiederholungen erlaubt, wählt das Task-Zeitlimit großzügig (Faustregel: Zeitlimit mindestens Versuchsanzahl mal Einzellaufzeit).</w:t>
      </w:r>
    </w:p>
    <w:p w14:paraId="7A712447" w14:textId="77777777" w:rsidR="00EC7D8B" w:rsidRDefault="00000000">
      <w:pPr>
        <w:pStyle w:val="berschrift3"/>
        <w:keepNext/>
        <w:pBdr>
          <w:left w:val="single" w:sz="14" w:space="8" w:color="1B6B7A"/>
        </w:pBdr>
        <w:spacing w:before="260" w:after="80"/>
        <w:ind w:left="140"/>
      </w:pPr>
      <w:proofErr w:type="spellStart"/>
      <w:r>
        <w:t>TxStatus</w:t>
      </w:r>
      <w:proofErr w:type="spellEnd"/>
    </w:p>
    <w:p w14:paraId="6189A20A"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.tx.TxStatus</w:t>
      </w:r>
      <w:proofErr w:type="spellEnd"/>
      <w:r>
        <w:rPr>
          <w:rFonts w:ascii="Consolas" w:hAnsi="Consolas"/>
          <w:color w:val="5A6B73"/>
          <w:sz w:val="18"/>
          <w:szCs w:val="18"/>
        </w:rPr>
        <w:t xml:space="preserve"> · </w:t>
      </w:r>
      <w:proofErr w:type="spellStart"/>
      <w:r>
        <w:rPr>
          <w:rFonts w:ascii="Consolas" w:hAnsi="Consolas"/>
          <w:color w:val="5A6B73"/>
          <w:sz w:val="18"/>
          <w:szCs w:val="18"/>
        </w:rPr>
        <w:t>enum</w:t>
      </w:r>
      <w:proofErr w:type="spellEnd"/>
    </w:p>
    <w:p w14:paraId="781A4959" w14:textId="77777777" w:rsidR="00EC7D8B" w:rsidRDefault="00000000">
      <w:pPr>
        <w:spacing w:after="120"/>
        <w:jc w:val="both"/>
      </w:pPr>
      <w:r>
        <w:t>Der Lebenszyklus einer geführten Transaktion als Aufzählung. Ein kleines Teil, aber nützlich zum Lesen der Protokolle: Der Status macht sichtbar, in welcher Phase eine Transaktion war, wenn etwas schiefging.</w:t>
      </w:r>
    </w:p>
    <w:p w14:paraId="237CD4DE"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TxException</w:t>
      </w:r>
    </w:p>
    <w:p w14:paraId="06FF141B"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de.allgemein.tx.TxException · RuntimeException, Feld retryable</w:t>
      </w:r>
    </w:p>
    <w:p w14:paraId="02B2FFEB" w14:textId="77777777" w:rsidR="00EC7D8B" w:rsidRDefault="00000000">
      <w:pPr>
        <w:spacing w:after="120"/>
        <w:jc w:val="both"/>
      </w:pPr>
      <w:r>
        <w:t xml:space="preserve">Die Fehlerart der Transaktionssteuerung. Das Feld </w:t>
      </w:r>
      <w:proofErr w:type="spellStart"/>
      <w:r>
        <w:rPr>
          <w:rFonts w:ascii="Consolas" w:hAnsi="Consolas"/>
          <w:color w:val="0B4A56"/>
          <w:sz w:val="20"/>
          <w:szCs w:val="20"/>
        </w:rPr>
        <w:t>retryable</w:t>
      </w:r>
      <w:proofErr w:type="spellEnd"/>
      <w:r>
        <w:t xml:space="preserve"> sagt, ob ein erneuter Versuch der ganzen Transaktion sinnvoll sein kann (etwa ein Deadlock) oder nicht (etwa eine verletzte Prüfbedingung). Fachfehler erben von dieser Klasse (</w:t>
      </w:r>
      <w:proofErr w:type="spellStart"/>
      <w:r>
        <w:rPr>
          <w:rFonts w:ascii="Consolas" w:hAnsi="Consolas"/>
          <w:color w:val="0B4A56"/>
          <w:sz w:val="20"/>
          <w:szCs w:val="20"/>
        </w:rPr>
        <w:t>FachlicheException</w:t>
      </w:r>
      <w:proofErr w:type="spellEnd"/>
      <w:r>
        <w:t xml:space="preserve"> in Kapitel 3), damit sie der </w:t>
      </w:r>
      <w:proofErr w:type="spellStart"/>
      <w:r>
        <w:t>TxManager</w:t>
      </w:r>
      <w:proofErr w:type="spellEnd"/>
      <w:r>
        <w:t xml:space="preserve"> unangetastet durchreicht: Rollback ja, Wiederholung nein.</w:t>
      </w:r>
    </w:p>
    <w:p w14:paraId="28107F03"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RetryPolicy</w:t>
      </w:r>
    </w:p>
    <w:p w14:paraId="1BE5691E"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de.allgemein.tx.RetryPolicy · final class</w:t>
      </w:r>
    </w:p>
    <w:p w14:paraId="4AFE51E7" w14:textId="77777777" w:rsidR="00EC7D8B" w:rsidRDefault="00000000">
      <w:pPr>
        <w:spacing w:after="120"/>
        <w:jc w:val="both"/>
      </w:pPr>
      <w:r>
        <w:t xml:space="preserve">Entscheidet, welche Datenbankfehler einen Wiederholversuch rechtfertigen, und federt zwischen den Versuchen zurück (exponentieller Backoff). Wiederholbar sind genau die </w:t>
      </w:r>
      <w:proofErr w:type="spellStart"/>
      <w:r>
        <w:t>Sperrenkonflikte</w:t>
      </w:r>
      <w:proofErr w:type="spellEnd"/>
      <w:r>
        <w:t xml:space="preserve">: </w:t>
      </w:r>
      <w:r>
        <w:rPr>
          <w:rFonts w:ascii="Consolas" w:hAnsi="Consolas"/>
          <w:color w:val="0B4A56"/>
          <w:sz w:val="20"/>
          <w:szCs w:val="20"/>
        </w:rPr>
        <w:t>ORA-00054</w:t>
      </w:r>
      <w:r>
        <w:t xml:space="preserve"> (Ressource belegt), </w:t>
      </w:r>
      <w:r>
        <w:rPr>
          <w:rFonts w:ascii="Consolas" w:hAnsi="Consolas"/>
          <w:color w:val="0B4A56"/>
          <w:sz w:val="20"/>
          <w:szCs w:val="20"/>
        </w:rPr>
        <w:t>ORA-00060</w:t>
      </w:r>
      <w:r>
        <w:t xml:space="preserve"> (Deadlock) und </w:t>
      </w:r>
      <w:r>
        <w:rPr>
          <w:rFonts w:ascii="Consolas" w:hAnsi="Consolas"/>
          <w:color w:val="0B4A56"/>
          <w:sz w:val="20"/>
          <w:szCs w:val="20"/>
        </w:rPr>
        <w:t>ORA-08177</w:t>
      </w:r>
      <w:r>
        <w:t xml:space="preserve"> (</w:t>
      </w:r>
      <w:proofErr w:type="spellStart"/>
      <w:r>
        <w:t>Serialisierbarkeitskonflikt</w:t>
      </w:r>
      <w:proofErr w:type="spellEnd"/>
      <w:r>
        <w:t>). Alles andere ist fachlich oder technisch endgültig und bricht sofort ab — wiederholtes Rennen gegen denselben Fachfehler wäre Zeitverschwendung.</w:t>
      </w:r>
    </w:p>
    <w:p w14:paraId="1998F8FE" w14:textId="77777777" w:rsidR="00EC7D8B" w:rsidRDefault="00000000">
      <w:pPr>
        <w:pStyle w:val="berschrift2"/>
        <w:keepNext/>
        <w:spacing w:before="320"/>
      </w:pPr>
      <w:bookmarkStart w:id="14" w:name="_Toc8"/>
      <w:bookmarkStart w:id="15" w:name="_Toc242984005"/>
      <w:r>
        <w:lastRenderedPageBreak/>
        <w:t>2.3 Task-Steuerung (Transaktionsmonitor-Rolle)</w:t>
      </w:r>
      <w:bookmarkEnd w:id="14"/>
      <w:bookmarkEnd w:id="15"/>
    </w:p>
    <w:p w14:paraId="1C94D53C" w14:textId="77777777" w:rsidR="00EC7D8B" w:rsidRDefault="00000000">
      <w:pPr>
        <w:spacing w:after="120"/>
        <w:jc w:val="both"/>
      </w:pPr>
      <w:r>
        <w:t xml:space="preserve">Die vier Klassen dieses Abschnitts bilden die Transaktionsmonitor-Rolle nach: Arbeit wird als Task eingereicht, die Parallelität ist begrenzt, ein Wachhund überwacht Zeitlimits, und eine Statistik beschreibt den Durchlauf. Jede Web-Anfrage der Fachschicht läuft als solcher Task (siehe </w:t>
      </w:r>
      <w:proofErr w:type="spellStart"/>
      <w:r>
        <w:rPr>
          <w:rFonts w:ascii="Consolas" w:hAnsi="Consolas"/>
          <w:color w:val="0B4A56"/>
          <w:sz w:val="20"/>
          <w:szCs w:val="20"/>
        </w:rPr>
        <w:t>LmgServer</w:t>
      </w:r>
      <w:proofErr w:type="spellEnd"/>
      <w:r>
        <w:t>).</w:t>
      </w:r>
    </w:p>
    <w:p w14:paraId="14C511AD" w14:textId="77777777" w:rsidR="00EC7D8B" w:rsidRDefault="00000000">
      <w:pPr>
        <w:pStyle w:val="berschrift3"/>
        <w:keepNext/>
        <w:pBdr>
          <w:left w:val="single" w:sz="14" w:space="8" w:color="1B6B7A"/>
        </w:pBdr>
        <w:spacing w:before="260" w:after="80"/>
        <w:ind w:left="140"/>
      </w:pPr>
      <w:proofErr w:type="spellStart"/>
      <w:r>
        <w:t>TaskController</w:t>
      </w:r>
      <w:proofErr w:type="spellEnd"/>
    </w:p>
    <w:p w14:paraId="6743DA22"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.tx.TaskController</w:t>
      </w:r>
      <w:proofErr w:type="spellEnd"/>
      <w:r>
        <w:rPr>
          <w:rFonts w:ascii="Consolas" w:hAnsi="Consolas"/>
          <w:color w:val="5A6B73"/>
          <w:sz w:val="18"/>
          <w:szCs w:val="18"/>
        </w:rPr>
        <w:t xml:space="preserve"> · final </w:t>
      </w:r>
      <w:proofErr w:type="spellStart"/>
      <w:r>
        <w:rPr>
          <w:rFonts w:ascii="Consolas" w:hAnsi="Consolas"/>
          <w:color w:val="5A6B73"/>
          <w:sz w:val="18"/>
          <w:szCs w:val="18"/>
        </w:rPr>
        <w:t>class</w:t>
      </w:r>
      <w:proofErr w:type="spellEnd"/>
      <w:r>
        <w:rPr>
          <w:rFonts w:ascii="Consolas" w:hAnsi="Consolas"/>
          <w:color w:val="5A6B73"/>
          <w:sz w:val="18"/>
          <w:szCs w:val="18"/>
        </w:rPr>
        <w:t xml:space="preserve"> · 266 Zeilen · </w:t>
      </w:r>
      <w:proofErr w:type="spellStart"/>
      <w:r>
        <w:rPr>
          <w:rFonts w:ascii="Consolas" w:hAnsi="Consolas"/>
          <w:color w:val="5A6B73"/>
          <w:sz w:val="18"/>
          <w:szCs w:val="18"/>
        </w:rPr>
        <w:t>AutoCloseable</w:t>
      </w:r>
      <w:proofErr w:type="spellEnd"/>
    </w:p>
    <w:p w14:paraId="311444B6" w14:textId="77777777" w:rsidR="00EC7D8B" w:rsidRDefault="00000000">
      <w:pPr>
        <w:spacing w:after="120"/>
        <w:jc w:val="both"/>
      </w:pPr>
      <w:r>
        <w:t xml:space="preserve">Die Task-Steuerung im Stil eines Transaktionsmonitors. Der Controller nimmt Arbeit über </w:t>
      </w:r>
      <w:proofErr w:type="spellStart"/>
      <w:r>
        <w:rPr>
          <w:rFonts w:ascii="Consolas" w:hAnsi="Consolas"/>
          <w:color w:val="0B4A56"/>
          <w:sz w:val="20"/>
          <w:szCs w:val="20"/>
        </w:rPr>
        <w:t>submit</w:t>
      </w:r>
      <w:proofErr w:type="spellEnd"/>
      <w:r>
        <w:t xml:space="preserve"> entgegen, begrenzt die Zahl paralleler Tasks (beschränkter Thread-Pool mit Warteschlange) und überwacht jede Ausführung mit einem Wachhund: Nach Ablauf des Zeitlimits wird der Task unterbrochen — </w:t>
      </w:r>
      <w:proofErr w:type="gramStart"/>
      <w:r>
        <w:t>der Interrupt</w:t>
      </w:r>
      <w:proofErr w:type="gramEnd"/>
      <w:r>
        <w:t xml:space="preserve"> lässt den laufenden JDBC-Aufruf fehlschlagen, wodurch die Datenbank die Transaktion zurückrollt.</w:t>
      </w:r>
    </w:p>
    <w:p w14:paraId="719CC558" w14:textId="77777777" w:rsidR="00EC7D8B" w:rsidRDefault="00000000">
      <w:pPr>
        <w:spacing w:after="120"/>
        <w:jc w:val="both"/>
      </w:pPr>
      <w:r>
        <w:t>Zwei Feinheiten aus der Praxis: Der Wachhund-</w:t>
      </w:r>
      <w:proofErr w:type="spellStart"/>
      <w:r>
        <w:t>Timer</w:t>
      </w:r>
      <w:proofErr w:type="spellEnd"/>
      <w:r>
        <w:t xml:space="preserve"> startet erst, wenn der Task wirklich zur Ausführung kommt (Wartezeit in der Schlange zählt nicht), und das Zeitlimit gilt für die gesamte Ausführung einschließlich aller Wiederholungsversuche und Pausen des </w:t>
      </w:r>
      <w:proofErr w:type="spellStart"/>
      <w:r>
        <w:t>TxManager</w:t>
      </w:r>
      <w:proofErr w:type="spellEnd"/>
      <w:r>
        <w:t>. Der ehrlich dokumentierte Rest: Trifft der Interrupt den Arbeitsthread genau im Commit-Fenster, kann der Commit durchgehen — dieses winzige Fenster ist Teil der JDBC-Semantik und wird im Kommentar offen benannt.</w:t>
      </w:r>
    </w:p>
    <w:p w14:paraId="264BA8E5"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TaskHandle</w:t>
      </w:r>
    </w:p>
    <w:p w14:paraId="3F9B30A2"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de.allgemein.tx.TaskHandle&lt;T&gt; · final class</w:t>
      </w:r>
    </w:p>
    <w:p w14:paraId="3FA58FB8" w14:textId="77777777" w:rsidR="00EC7D8B" w:rsidRDefault="00000000">
      <w:pPr>
        <w:spacing w:after="120"/>
        <w:jc w:val="both"/>
      </w:pPr>
      <w:r>
        <w:t xml:space="preserve">Das Handle auf einen eingereichten Task, ähnlich einem </w:t>
      </w:r>
      <w:r>
        <w:rPr>
          <w:rFonts w:ascii="Consolas" w:hAnsi="Consolas"/>
          <w:color w:val="0B4A56"/>
          <w:sz w:val="20"/>
          <w:szCs w:val="20"/>
        </w:rPr>
        <w:t>Future</w:t>
      </w:r>
      <w:r>
        <w:t xml:space="preserve">: Ergebnis abholen (blockierend), Aufgabe abbrechen, Status prüfen. Die Webschicht nutzt es, um auf das Ergebnis einer Anfrage zu warten; der </w:t>
      </w:r>
      <w:proofErr w:type="spellStart"/>
      <w:r>
        <w:t>TaskController</w:t>
      </w:r>
      <w:proofErr w:type="spellEnd"/>
      <w:r>
        <w:t xml:space="preserve"> meldet darüber auch den Wachhund-Abbruch.</w:t>
      </w:r>
    </w:p>
    <w:p w14:paraId="4D8749A7"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TaskInfo</w:t>
      </w:r>
    </w:p>
    <w:p w14:paraId="5A217444"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de.allgemein.tx.TaskInfo · final class (paketsichtbar)</w:t>
      </w:r>
    </w:p>
    <w:p w14:paraId="5076446C" w14:textId="77777777" w:rsidR="00EC7D8B" w:rsidRDefault="00000000">
      <w:pPr>
        <w:spacing w:after="120"/>
        <w:jc w:val="both"/>
      </w:pPr>
      <w:r>
        <w:t xml:space="preserve">Laufzeitinformationen zu einem eingereichten Task (Vorbild: CICS-Task-Anzeige im Monitoring). Die Klasse ist bewusst nur im Paket sichtbar — nach außen reicht die Summe in </w:t>
      </w:r>
      <w:proofErr w:type="spellStart"/>
      <w:r>
        <w:rPr>
          <w:rFonts w:ascii="Consolas" w:hAnsi="Consolas"/>
          <w:color w:val="0B4A56"/>
          <w:sz w:val="20"/>
          <w:szCs w:val="20"/>
        </w:rPr>
        <w:t>TaskStats</w:t>
      </w:r>
      <w:proofErr w:type="spellEnd"/>
      <w:r>
        <w:t xml:space="preserve"> und die Auswahl über das JMX-Monitoring.</w:t>
      </w:r>
    </w:p>
    <w:p w14:paraId="642BB667"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TaskStats</w:t>
      </w:r>
    </w:p>
    <w:p w14:paraId="7C017F15"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de.allgemein.tx.TaskStats · record</w:t>
      </w:r>
    </w:p>
    <w:p w14:paraId="60753785" w14:textId="77777777" w:rsidR="00EC7D8B" w:rsidRDefault="00000000">
      <w:pPr>
        <w:spacing w:after="120"/>
        <w:jc w:val="both"/>
      </w:pPr>
      <w:r>
        <w:t xml:space="preserve">Die Momentaufnahme der Task-Statistik: eingereichte, laufende, abgeschlossene und fehlgeschlagene Aufgaben sowie Zeitwerte. Vorbild sind die CICS-Transaktionsstatistiken; angezeigt wird das Ganze im </w:t>
      </w:r>
      <w:proofErr w:type="spellStart"/>
      <w:r>
        <w:t>Adminbereich</w:t>
      </w:r>
      <w:proofErr w:type="spellEnd"/>
      <w:r>
        <w:t xml:space="preserve"> der Weboberfläche und über JMX.</w:t>
      </w:r>
    </w:p>
    <w:p w14:paraId="0BDFE2EE" w14:textId="77777777" w:rsidR="00EC7D8B" w:rsidRDefault="00000000">
      <w:pPr>
        <w:pStyle w:val="berschrift2"/>
        <w:keepNext/>
        <w:spacing w:before="320"/>
      </w:pPr>
      <w:bookmarkStart w:id="16" w:name="_Toc9"/>
      <w:bookmarkStart w:id="17" w:name="_Toc242984006"/>
      <w:r>
        <w:lastRenderedPageBreak/>
        <w:t>2.4 Verbindungspools</w:t>
      </w:r>
      <w:bookmarkEnd w:id="16"/>
      <w:bookmarkEnd w:id="17"/>
    </w:p>
    <w:p w14:paraId="2711705F" w14:textId="77777777" w:rsidR="00EC7D8B" w:rsidRDefault="00000000">
      <w:pPr>
        <w:spacing w:after="120"/>
        <w:jc w:val="both"/>
      </w:pPr>
      <w:r>
        <w:t xml:space="preserve">Alle Datenbankzugriffe laufen über das schmale Interface </w:t>
      </w:r>
      <w:proofErr w:type="spellStart"/>
      <w:r>
        <w:rPr>
          <w:rFonts w:ascii="Consolas" w:hAnsi="Consolas"/>
          <w:color w:val="0B4A56"/>
          <w:sz w:val="20"/>
          <w:szCs w:val="20"/>
        </w:rPr>
        <w:t>ConnectionPool</w:t>
      </w:r>
      <w:proofErr w:type="spellEnd"/>
      <w:r>
        <w:t xml:space="preserve">. Genau zwei Implementierungen gehören zum Projekt — der Austausch gegen </w:t>
      </w:r>
      <w:proofErr w:type="spellStart"/>
      <w:r>
        <w:t>HikariCP</w:t>
      </w:r>
      <w:proofErr w:type="spellEnd"/>
      <w:r>
        <w:t xml:space="preserve"> oder Oracle UCP in Produktion wäre ein einziger Konstruktor-Aufruf, weil alles nur an </w:t>
      </w:r>
      <w:proofErr w:type="spellStart"/>
      <w:r>
        <w:rPr>
          <w:rFonts w:ascii="Consolas" w:hAnsi="Consolas"/>
          <w:color w:val="0B4A56"/>
          <w:sz w:val="20"/>
          <w:szCs w:val="20"/>
        </w:rPr>
        <w:t>getConnection</w:t>
      </w:r>
      <w:proofErr w:type="spellEnd"/>
      <w:r>
        <w:rPr>
          <w:rFonts w:ascii="Consolas" w:hAnsi="Consolas"/>
          <w:color w:val="0B4A56"/>
          <w:sz w:val="20"/>
          <w:szCs w:val="20"/>
        </w:rPr>
        <w:t>/release</w:t>
      </w:r>
      <w:r>
        <w:t xml:space="preserve"> hängt.</w:t>
      </w:r>
    </w:p>
    <w:p w14:paraId="6310B0EB"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ConnectionPool</w:t>
      </w:r>
    </w:p>
    <w:p w14:paraId="1260215C"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de.allgemein.tx.ConnectionPool · interface · AutoCloseable</w:t>
      </w:r>
    </w:p>
    <w:p w14:paraId="0CEC6ED0" w14:textId="77777777" w:rsidR="00EC7D8B" w:rsidRDefault="00000000">
      <w:pPr>
        <w:spacing w:after="120"/>
        <w:jc w:val="both"/>
      </w:pPr>
      <w:r>
        <w:t xml:space="preserve">Die Schnittstelle für Verbindungspools der Transaktionssteuerung: Verbindungen entleihen, zurückgeben, Pool schließen. Sie erlaubt den nahtlosen Tausch zwischen dem schlanken </w:t>
      </w:r>
      <w:proofErr w:type="spellStart"/>
      <w:r>
        <w:rPr>
          <w:rFonts w:ascii="Consolas" w:hAnsi="Consolas"/>
          <w:color w:val="0B4A56"/>
          <w:sz w:val="20"/>
          <w:szCs w:val="20"/>
        </w:rPr>
        <w:t>SimpleConnectionPool</w:t>
      </w:r>
      <w:proofErr w:type="spellEnd"/>
      <w:r>
        <w:t xml:space="preserve"> für Entwicklung und Demo, dem </w:t>
      </w:r>
      <w:proofErr w:type="spellStart"/>
      <w:r>
        <w:rPr>
          <w:rFonts w:ascii="Consolas" w:hAnsi="Consolas"/>
          <w:color w:val="0B4A56"/>
          <w:sz w:val="20"/>
          <w:szCs w:val="20"/>
        </w:rPr>
        <w:t>UcpConnectionPool</w:t>
      </w:r>
      <w:proofErr w:type="spellEnd"/>
      <w:r>
        <w:t xml:space="preserve"> für Produktion und Drittanbieter-Pools. An dieser Stelle greift die Architekturentscheidung, keine Abhängigkeit an einen bestimmten Pool zu schmieden.</w:t>
      </w:r>
    </w:p>
    <w:p w14:paraId="6563D15D"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SimpleConnectionPool</w:t>
      </w:r>
    </w:p>
    <w:p w14:paraId="4163D8A4"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de.allgemein.tx.SimpleConnectionPool · 251 Zeilen</w:t>
      </w:r>
    </w:p>
    <w:p w14:paraId="2E7AEF16" w14:textId="77777777" w:rsidR="00EC7D8B" w:rsidRDefault="00000000">
      <w:pPr>
        <w:spacing w:after="120"/>
        <w:jc w:val="both"/>
      </w:pPr>
      <w:r>
        <w:t xml:space="preserve">Der minimale Pool für Demo und Übergangsphase — bewusst einfach, aber mit hartgezurrten Sicherheitsregeln: </w:t>
      </w:r>
      <w:r>
        <w:rPr>
          <w:rFonts w:ascii="Consolas" w:hAnsi="Consolas"/>
          <w:color w:val="0B4A56"/>
          <w:sz w:val="20"/>
          <w:szCs w:val="20"/>
        </w:rPr>
        <w:t>release()</w:t>
      </w:r>
      <w:r>
        <w:t xml:space="preserve"> committet niemals implizit (vor dem Zurückstellen in den </w:t>
      </w:r>
      <w:proofErr w:type="spellStart"/>
      <w:r>
        <w:t>Autocommit</w:t>
      </w:r>
      <w:proofErr w:type="spellEnd"/>
      <w:r>
        <w:t>-Modus wird eine offene Transaktion zurückgerollt), ein Doppel-Release derselben Verbindung ist idempotent und wird protokolliert, beim Entleihen wird jede gepoolte Verbindung validiert (tote Verbindungen nach einem DB-Neustart werden still verworfen), und das Warten auf eine freie Verbindung ist auf ein Zeitlimit begrenzt.</w:t>
      </w:r>
    </w:p>
    <w:p w14:paraId="3D32DADC" w14:textId="77777777" w:rsidR="00EC7D8B" w:rsidRDefault="00000000">
      <w:pPr>
        <w:spacing w:after="120"/>
        <w:jc w:val="both"/>
      </w:pPr>
      <w:r>
        <w:t>Für die Produktion ist dieser Pool ausdrücklich nicht gedacht — der Klassenkommentar sagt es selbst. Sein Wert für Lernende: Man kann in 250 Zeilen lesen, welche Fallen ein Pool bereithält.</w:t>
      </w:r>
    </w:p>
    <w:p w14:paraId="630308C7" w14:textId="77777777" w:rsidR="00EC7D8B" w:rsidRDefault="00000000">
      <w:pPr>
        <w:pStyle w:val="berschrift3"/>
        <w:keepNext/>
        <w:pBdr>
          <w:left w:val="single" w:sz="14" w:space="8" w:color="1B6B7A"/>
        </w:pBdr>
        <w:spacing w:before="260" w:after="80"/>
        <w:ind w:left="140"/>
      </w:pPr>
      <w:proofErr w:type="spellStart"/>
      <w:r>
        <w:t>UcpConnectionPool</w:t>
      </w:r>
      <w:proofErr w:type="spellEnd"/>
    </w:p>
    <w:p w14:paraId="0674B8DA"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.tx.UcpConnectionPool</w:t>
      </w:r>
      <w:proofErr w:type="spellEnd"/>
      <w:r>
        <w:rPr>
          <w:rFonts w:ascii="Consolas" w:hAnsi="Consolas"/>
          <w:color w:val="5A6B73"/>
          <w:sz w:val="18"/>
          <w:szCs w:val="18"/>
        </w:rPr>
        <w:t xml:space="preserve"> · 155 Zeilen</w:t>
      </w:r>
    </w:p>
    <w:p w14:paraId="46E42EA7" w14:textId="77777777" w:rsidR="00EC7D8B" w:rsidRDefault="00000000">
      <w:pPr>
        <w:spacing w:after="120"/>
        <w:jc w:val="both"/>
      </w:pPr>
      <w:r>
        <w:t>Der Produktions-Pool auf Basis des Oracle Universal Connection Pool (UCP): Validierung beim Entleihen, begrenztes Warten auf freie Verbindungen und JDBC-Connect- sowie Read-Timeouts gegen hängende Aufrufe. Fast Connection Failover und RAC-Lastverteilung sind bewusst nicht konfiguriert — der Pool bedient eine Single-Instance-Standardumgebung; die Erin­nerung daran steht im Kommentar, damit niemand eine Fähigkeit vermutet, die nicht da ist.</w:t>
      </w:r>
    </w:p>
    <w:p w14:paraId="3ADEA3FF" w14:textId="77777777" w:rsidR="00EC7D8B" w:rsidRDefault="00000000">
      <w:pPr>
        <w:pStyle w:val="berschrift2"/>
        <w:keepNext/>
        <w:spacing w:before="320"/>
      </w:pPr>
      <w:bookmarkStart w:id="18" w:name="_Toc10"/>
      <w:bookmarkStart w:id="19" w:name="_Toc242984007"/>
      <w:r>
        <w:t xml:space="preserve">2.5 Das Saga-Paket </w:t>
      </w:r>
      <w:proofErr w:type="spellStart"/>
      <w:proofErr w:type="gramStart"/>
      <w:r>
        <w:t>tx.saga</w:t>
      </w:r>
      <w:proofErr w:type="spellEnd"/>
      <w:proofErr w:type="gramEnd"/>
      <w:r>
        <w:t xml:space="preserve"> — lange Geschäftsvorgänge</w:t>
      </w:r>
      <w:bookmarkEnd w:id="18"/>
      <w:bookmarkEnd w:id="19"/>
    </w:p>
    <w:p w14:paraId="0A4633A0" w14:textId="77777777" w:rsidR="00EC7D8B" w:rsidRDefault="00000000">
      <w:pPr>
        <w:spacing w:after="120"/>
        <w:jc w:val="both"/>
      </w:pPr>
      <w:r>
        <w:t xml:space="preserve">Eine Saga ist ein langer Geschäftsvorgang, der nicht in einer Datenbanktransaktion laufen kann, ohne Minuten lang Sperren zu halten. Stattdessen wird er in eine Kette kurzer Transaktionen zerlegt: Jeder Schritt committet für sich und wird im Journal festgehalten. Scheitert ein Schritt, werden alle bisherigen Schritte rückwärts kompensiert (Budget zurückbuchen, statt alles zu verwerfen). Das Journal auf den Tabellen </w:t>
      </w:r>
      <w:r>
        <w:rPr>
          <w:rFonts w:ascii="Consolas" w:hAnsi="Consolas"/>
          <w:color w:val="0B4A56"/>
          <w:sz w:val="20"/>
          <w:szCs w:val="20"/>
        </w:rPr>
        <w:t>TX_SAGA</w:t>
      </w:r>
      <w:r>
        <w:t xml:space="preserve"> und </w:t>
      </w:r>
      <w:r>
        <w:rPr>
          <w:rFonts w:ascii="Consolas" w:hAnsi="Consolas"/>
          <w:color w:val="0B4A56"/>
          <w:sz w:val="20"/>
          <w:szCs w:val="20"/>
        </w:rPr>
        <w:t>TX_SAGA_STEP</w:t>
      </w:r>
      <w:r>
        <w:t xml:space="preserve"> sichert die Unit </w:t>
      </w:r>
      <w:proofErr w:type="spellStart"/>
      <w:r>
        <w:t>of</w:t>
      </w:r>
      <w:proofErr w:type="spellEnd"/>
      <w:r>
        <w:t xml:space="preserve"> Work über die vielen </w:t>
      </w:r>
      <w:proofErr w:type="spellStart"/>
      <w:r>
        <w:t>Einzelcommits</w:t>
      </w:r>
      <w:proofErr w:type="spellEnd"/>
      <w:r>
        <w:t xml:space="preserve"> hinweg — funktional das, was beim Vorbild das CICS-Journal leistete.</w:t>
      </w:r>
    </w:p>
    <w:p w14:paraId="42372744" w14:textId="77777777" w:rsidR="00EC7D8B" w:rsidRDefault="00000000">
      <w:pPr>
        <w:spacing w:after="120"/>
        <w:jc w:val="both"/>
      </w:pPr>
      <w:r>
        <w:lastRenderedPageBreak/>
        <w:t>Das Sicherheitsnetz ist das Write-</w:t>
      </w:r>
      <w:proofErr w:type="spellStart"/>
      <w:r>
        <w:t>Ahead</w:t>
      </w:r>
      <w:proofErr w:type="spellEnd"/>
      <w:r>
        <w:t xml:space="preserve">-Prinzip: Erst wird der Schritt im Journal als </w:t>
      </w:r>
      <w:r>
        <w:rPr>
          <w:rFonts w:ascii="Consolas" w:hAnsi="Consolas"/>
          <w:color w:val="0B4A56"/>
          <w:sz w:val="20"/>
          <w:szCs w:val="20"/>
        </w:rPr>
        <w:t>IN_FLIGHT</w:t>
      </w:r>
      <w:r>
        <w:t xml:space="preserve"> begonnen (eigener kurzer Commit), dann läuft der Fachschritt, und die Markierung </w:t>
      </w:r>
      <w:r>
        <w:rPr>
          <w:rFonts w:ascii="Consolas" w:hAnsi="Consolas"/>
          <w:color w:val="0B4A56"/>
          <w:sz w:val="20"/>
          <w:szCs w:val="20"/>
        </w:rPr>
        <w:t>DONE</w:t>
      </w:r>
      <w:r>
        <w:t xml:space="preserve"> wird in derselben Transaktion wie die Fachwirkung committet. Ein Absturz kann daher keinen committeten Schritt mehr verstecken; beim Wiederanlauf gilt </w:t>
      </w:r>
      <w:r>
        <w:rPr>
          <w:rFonts w:ascii="Consolas" w:hAnsi="Consolas"/>
          <w:color w:val="0B4A56"/>
          <w:sz w:val="20"/>
          <w:szCs w:val="20"/>
        </w:rPr>
        <w:t>IN_FLIGHT</w:t>
      </w:r>
      <w:r>
        <w:t xml:space="preserve"> konservativ als möglicherweise committet und wird mit kompensiert — deshalb müssen alle Kompensationen idempotent sein.</w:t>
      </w:r>
    </w:p>
    <w:p w14:paraId="58EA20A3" w14:textId="77777777" w:rsidR="00EC7D8B" w:rsidRDefault="00000000">
      <w:pPr>
        <w:keepNext/>
        <w:spacing w:after="120"/>
        <w:jc w:val="both"/>
      </w:pPr>
      <w:r>
        <w:t>Die drei folgenden Abbildungen zeigen, was das konkret bedeutet: erst den Lebenszyklus der ganzen Saga, dann die Zustände eines einzelnen Schritts samt Zeitachse, zuletzt den Ablauf des Wiederanlaufs.</w:t>
      </w:r>
    </w:p>
    <w:p w14:paraId="28F2EB40" w14:textId="77777777" w:rsidR="00EC7D8B" w:rsidRDefault="00000000">
      <w:pPr>
        <w:keepNext/>
        <w:spacing w:before="200" w:after="60"/>
        <w:jc w:val="center"/>
      </w:pPr>
      <w:r>
        <w:rPr>
          <w:noProof/>
        </w:rPr>
        <w:drawing>
          <wp:inline distT="0" distB="0" distL="0" distR="0" wp14:anchorId="2C9719AE" wp14:editId="3BC0E667">
            <wp:extent cx="5143500" cy="32575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257550"/>
                    </a:xfrm>
                    <a:prstGeom prst="rect">
                      <a:avLst/>
                    </a:prstGeom>
                  </pic:spPr>
                </pic:pic>
              </a:graphicData>
            </a:graphic>
          </wp:inline>
        </w:drawing>
      </w:r>
    </w:p>
    <w:p w14:paraId="0A37CE85" w14:textId="77777777" w:rsidR="00EC7D8B" w:rsidRDefault="00000000">
      <w:pPr>
        <w:spacing w:after="160"/>
        <w:jc w:val="center"/>
      </w:pPr>
      <w:r>
        <w:rPr>
          <w:i/>
          <w:iCs/>
          <w:color w:val="5A6B73"/>
          <w:sz w:val="18"/>
          <w:szCs w:val="18"/>
        </w:rPr>
        <w:t>Abbildung 1: Lebenszyklus einer Saga im Journal (TX_SAGA.STATE)</w:t>
      </w:r>
    </w:p>
    <w:p w14:paraId="19FA76BF" w14:textId="77777777" w:rsidR="00EC7D8B" w:rsidRDefault="00000000">
      <w:pPr>
        <w:spacing w:after="120"/>
        <w:jc w:val="both"/>
      </w:pPr>
      <w:r>
        <w:rPr>
          <w:b/>
          <w:bCs/>
          <w:color w:val="0E2A33"/>
        </w:rPr>
        <w:t>So liest man das Bild:</w:t>
      </w:r>
      <w:r>
        <w:t xml:space="preserve"> Oben der Erfolgsweg — die Saga startet als </w:t>
      </w:r>
      <w:r>
        <w:rPr>
          <w:rFonts w:ascii="Consolas" w:hAnsi="Consolas"/>
          <w:color w:val="0B4A56"/>
          <w:sz w:val="20"/>
          <w:szCs w:val="20"/>
        </w:rPr>
        <w:t>RUNNING</w:t>
      </w:r>
      <w:r>
        <w:t xml:space="preserve"> und wird </w:t>
      </w:r>
      <w:r>
        <w:rPr>
          <w:rFonts w:ascii="Consolas" w:hAnsi="Consolas"/>
          <w:color w:val="0B4A56"/>
          <w:sz w:val="20"/>
          <w:szCs w:val="20"/>
        </w:rPr>
        <w:t>COMPLETED</w:t>
      </w:r>
      <w:r>
        <w:t xml:space="preserve">, sobald alle Schritte DONE sind. Unten der Fehlerpfad: Scheitert ein Schritt (oder bricht die Journalverbindung weg), wird die Saga als </w:t>
      </w:r>
      <w:r>
        <w:rPr>
          <w:rFonts w:ascii="Consolas" w:hAnsi="Consolas"/>
          <w:color w:val="0B4A56"/>
          <w:sz w:val="20"/>
          <w:szCs w:val="20"/>
        </w:rPr>
        <w:t>FAILED</w:t>
      </w:r>
      <w:r>
        <w:t xml:space="preserve"> markiert und startet sofort die Kompensation (</w:t>
      </w:r>
      <w:r>
        <w:rPr>
          <w:rFonts w:ascii="Consolas" w:hAnsi="Consolas"/>
          <w:color w:val="0B4A56"/>
          <w:sz w:val="20"/>
          <w:szCs w:val="20"/>
        </w:rPr>
        <w:t>COMPENSATING</w:t>
      </w:r>
      <w:r>
        <w:t xml:space="preserve">). Die FAILED-Markierung läuft bewusst VOR der Kompensation und darf sie niemals verhindern — ihr eigenes Scheitern wird nur protokolliert. Am Ende steht </w:t>
      </w:r>
      <w:r>
        <w:rPr>
          <w:rFonts w:ascii="Consolas" w:hAnsi="Consolas"/>
          <w:color w:val="0B4A56"/>
          <w:sz w:val="20"/>
          <w:szCs w:val="20"/>
        </w:rPr>
        <w:t>COMPENSATED</w:t>
      </w:r>
      <w:r>
        <w:t xml:space="preserve"> (alles zurückgerollt) oder erneut </w:t>
      </w:r>
      <w:r>
        <w:rPr>
          <w:rFonts w:ascii="Consolas" w:hAnsi="Consolas"/>
          <w:color w:val="0B4A56"/>
          <w:sz w:val="20"/>
          <w:szCs w:val="20"/>
        </w:rPr>
        <w:t>FAILED</w:t>
      </w:r>
      <w:r>
        <w:t xml:space="preserve"> (unvollständig; der nächste Wiederanlauf setzt tiefer an, siehe Abbildung 3).</w:t>
      </w:r>
    </w:p>
    <w:p w14:paraId="38AA3A3B" w14:textId="77777777" w:rsidR="00EC7D8B" w:rsidRDefault="00000000">
      <w:pPr>
        <w:spacing w:after="120"/>
        <w:jc w:val="both"/>
      </w:pPr>
      <w:r>
        <w:t xml:space="preserve">Der Fußnotentext unten nennt den feinsten Fall: Ist die Saga fachlich fertig, aber ausgerechnet die COMPLETED-Markierung schlug fehl, bleibt sie </w:t>
      </w:r>
      <w:r>
        <w:rPr>
          <w:rFonts w:ascii="Consolas" w:hAnsi="Consolas"/>
          <w:color w:val="0B4A56"/>
          <w:sz w:val="20"/>
          <w:szCs w:val="20"/>
        </w:rPr>
        <w:t>RUNNING</w:t>
      </w:r>
      <w:r>
        <w:t xml:space="preserve"> — der Wiederanlauf erkennt an den Schritt-Zuständen, dass nichts zu kompensieren ist, und schließt sie nur noch ab. So kann kein Journalfehler eine erfolgreiche Saga fälschlich zurückrollen.</w:t>
      </w:r>
    </w:p>
    <w:p w14:paraId="7588AFCA" w14:textId="77777777" w:rsidR="00EC7D8B" w:rsidRDefault="00000000">
      <w:pPr>
        <w:keepNext/>
        <w:spacing w:before="200" w:after="60"/>
        <w:jc w:val="center"/>
      </w:pPr>
      <w:r>
        <w:rPr>
          <w:noProof/>
        </w:rPr>
        <w:lastRenderedPageBreak/>
        <w:drawing>
          <wp:inline distT="0" distB="0" distL="0" distR="0" wp14:anchorId="7253CE1D" wp14:editId="1417206E">
            <wp:extent cx="5143500" cy="381000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810000"/>
                    </a:xfrm>
                    <a:prstGeom prst="rect">
                      <a:avLst/>
                    </a:prstGeom>
                  </pic:spPr>
                </pic:pic>
              </a:graphicData>
            </a:graphic>
          </wp:inline>
        </w:drawing>
      </w:r>
    </w:p>
    <w:p w14:paraId="17CCC7BB" w14:textId="77777777" w:rsidR="00EC7D8B" w:rsidRDefault="00000000">
      <w:pPr>
        <w:spacing w:after="160"/>
        <w:jc w:val="center"/>
      </w:pPr>
      <w:r>
        <w:rPr>
          <w:i/>
          <w:iCs/>
          <w:color w:val="5A6B73"/>
          <w:sz w:val="18"/>
          <w:szCs w:val="18"/>
        </w:rPr>
        <w:t>Abbildung 2: Zustände eines Saga-Schritts mit Write-</w:t>
      </w:r>
      <w:proofErr w:type="spellStart"/>
      <w:r>
        <w:rPr>
          <w:i/>
          <w:iCs/>
          <w:color w:val="5A6B73"/>
          <w:sz w:val="18"/>
          <w:szCs w:val="18"/>
        </w:rPr>
        <w:t>Ahead</w:t>
      </w:r>
      <w:proofErr w:type="spellEnd"/>
      <w:r>
        <w:rPr>
          <w:i/>
          <w:iCs/>
          <w:color w:val="5A6B73"/>
          <w:sz w:val="18"/>
          <w:szCs w:val="18"/>
        </w:rPr>
        <w:t>-Zeitachse (TX_SAGA_STEP.STATE)</w:t>
      </w:r>
    </w:p>
    <w:p w14:paraId="2617016A" w14:textId="77777777" w:rsidR="00EC7D8B" w:rsidRDefault="00000000">
      <w:pPr>
        <w:spacing w:after="120"/>
        <w:jc w:val="both"/>
      </w:pPr>
      <w:r>
        <w:rPr>
          <w:b/>
          <w:bCs/>
          <w:color w:val="0E2A33"/>
        </w:rPr>
        <w:t>So liest man das Bild:</w:t>
      </w:r>
      <w:r>
        <w:t xml:space="preserve"> Ein Schritt beginnt als </w:t>
      </w:r>
      <w:r>
        <w:rPr>
          <w:rFonts w:ascii="Consolas" w:hAnsi="Consolas"/>
          <w:color w:val="0B4A56"/>
          <w:sz w:val="20"/>
          <w:szCs w:val="20"/>
        </w:rPr>
        <w:t>PENDING</w:t>
      </w:r>
      <w:r>
        <w:t xml:space="preserve">. Vor der eigentlichen Arbeit wird er als </w:t>
      </w:r>
      <w:r>
        <w:rPr>
          <w:rFonts w:ascii="Consolas" w:hAnsi="Consolas"/>
          <w:color w:val="0B4A56"/>
          <w:sz w:val="20"/>
          <w:szCs w:val="20"/>
        </w:rPr>
        <w:t>IN_FLIGHT</w:t>
      </w:r>
      <w:r>
        <w:t xml:space="preserve"> </w:t>
      </w:r>
      <w:proofErr w:type="spellStart"/>
      <w:r>
        <w:t>journalliert</w:t>
      </w:r>
      <w:proofErr w:type="spellEnd"/>
      <w:r>
        <w:t xml:space="preserve"> — das ist </w:t>
      </w:r>
      <w:r>
        <w:rPr>
          <w:b/>
          <w:bCs/>
          <w:color w:val="0E2A33"/>
        </w:rPr>
        <w:t>Commit 1</w:t>
      </w:r>
      <w:r>
        <w:t xml:space="preserve">, eine eigene winzige Transaktion. Dann läuft der Fachschritt, und die </w:t>
      </w:r>
      <w:r>
        <w:rPr>
          <w:rFonts w:ascii="Consolas" w:hAnsi="Consolas"/>
          <w:color w:val="0B4A56"/>
          <w:sz w:val="20"/>
          <w:szCs w:val="20"/>
        </w:rPr>
        <w:t>DONE</w:t>
      </w:r>
      <w:r>
        <w:t>-Markierung wird IN derselben Transaktion geschrieben (</w:t>
      </w:r>
      <w:r>
        <w:rPr>
          <w:b/>
          <w:bCs/>
          <w:color w:val="0E2A33"/>
        </w:rPr>
        <w:t>Commit 2</w:t>
      </w:r>
      <w:r>
        <w:t xml:space="preserve">) — Journalstand und Fachwirkung können nicht auseinanderlaufen. Die gestrichelten Linien in der Zeitachse unten verbinden die beiden </w:t>
      </w:r>
      <w:proofErr w:type="spellStart"/>
      <w:r>
        <w:t>Commits</w:t>
      </w:r>
      <w:proofErr w:type="spellEnd"/>
      <w:r>
        <w:t xml:space="preserve"> mit ihren Zuständen.</w:t>
      </w:r>
    </w:p>
    <w:p w14:paraId="5B9E06FD" w14:textId="77777777" w:rsidR="00EC7D8B" w:rsidRDefault="00000000">
      <w:pPr>
        <w:spacing w:after="120"/>
        <w:jc w:val="both"/>
      </w:pPr>
      <w:r>
        <w:t xml:space="preserve">Der rote Punkt markiert die gefährliche Stelle: Bricht der Server genau zwischen Commit 1 und Commit 2 ab, ist der Schritt </w:t>
      </w:r>
      <w:r>
        <w:rPr>
          <w:rFonts w:ascii="Consolas" w:hAnsi="Consolas"/>
          <w:color w:val="0B4A56"/>
          <w:sz w:val="20"/>
          <w:szCs w:val="20"/>
        </w:rPr>
        <w:t>IN_FLIGHT</w:t>
      </w:r>
      <w:r>
        <w:t xml:space="preserve"> — und niemand weiß, ob die Fachwirkung durch ist. Das Journal klärt das nicht, sondern entscheidet </w:t>
      </w:r>
      <w:r>
        <w:rPr>
          <w:b/>
          <w:bCs/>
          <w:color w:val="0E2A33"/>
        </w:rPr>
        <w:t>konservativ</w:t>
      </w:r>
      <w:r>
        <w:t xml:space="preserve">: IN_FLIGHT gilt als „möglicherweise committet“ und wird kompensiert. Weil die Kompensation damit auch einen nicht-committeten Schritt trifft, muss sie idempotent sein — wiederholtes Ausführen ist harmlos (die roten Pfeile zu </w:t>
      </w:r>
      <w:r>
        <w:rPr>
          <w:rFonts w:ascii="Consolas" w:hAnsi="Consolas"/>
          <w:color w:val="0B4A56"/>
          <w:sz w:val="20"/>
          <w:szCs w:val="20"/>
        </w:rPr>
        <w:t>COMPENSATED</w:t>
      </w:r>
      <w:r>
        <w:t xml:space="preserve"> gelten von IN_FLIGHT und DONE gleichermaßen).</w:t>
      </w:r>
    </w:p>
    <w:p w14:paraId="587EFCB0" w14:textId="77777777" w:rsidR="00EC7D8B" w:rsidRDefault="00000000">
      <w:pPr>
        <w:keepNext/>
        <w:spacing w:before="200" w:after="60"/>
        <w:jc w:val="center"/>
      </w:pPr>
      <w:r>
        <w:rPr>
          <w:noProof/>
        </w:rPr>
        <w:lastRenderedPageBreak/>
        <w:drawing>
          <wp:inline distT="0" distB="0" distL="0" distR="0" wp14:anchorId="5643D308" wp14:editId="0303C728">
            <wp:extent cx="4476750" cy="391477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914775"/>
                    </a:xfrm>
                    <a:prstGeom prst="rect">
                      <a:avLst/>
                    </a:prstGeom>
                  </pic:spPr>
                </pic:pic>
              </a:graphicData>
            </a:graphic>
          </wp:inline>
        </w:drawing>
      </w:r>
    </w:p>
    <w:p w14:paraId="1AB0D18B" w14:textId="77777777" w:rsidR="00EC7D8B" w:rsidRDefault="00000000">
      <w:pPr>
        <w:spacing w:after="160"/>
        <w:jc w:val="center"/>
      </w:pPr>
      <w:r>
        <w:rPr>
          <w:i/>
          <w:iCs/>
          <w:color w:val="5A6B73"/>
          <w:sz w:val="18"/>
          <w:szCs w:val="18"/>
        </w:rPr>
        <w:t>Abbildung 3: Flussdiagramm des Wiederanlaufs (</w:t>
      </w:r>
      <w:proofErr w:type="spellStart"/>
      <w:r>
        <w:rPr>
          <w:i/>
          <w:iCs/>
          <w:color w:val="5A6B73"/>
          <w:sz w:val="18"/>
          <w:szCs w:val="18"/>
        </w:rPr>
        <w:t>recover</w:t>
      </w:r>
      <w:proofErr w:type="spellEnd"/>
      <w:r>
        <w:rPr>
          <w:i/>
          <w:iCs/>
          <w:color w:val="5A6B73"/>
          <w:sz w:val="18"/>
          <w:szCs w:val="18"/>
        </w:rPr>
        <w:t>) über alle halbfertigen Sagas</w:t>
      </w:r>
    </w:p>
    <w:p w14:paraId="0C6380AA" w14:textId="77777777" w:rsidR="00EC7D8B" w:rsidRDefault="00000000">
      <w:pPr>
        <w:spacing w:after="120"/>
        <w:jc w:val="both"/>
      </w:pPr>
      <w:r>
        <w:rPr>
          <w:b/>
          <w:bCs/>
          <w:color w:val="0E2A33"/>
        </w:rPr>
        <w:t>So liest man das Bild:</w:t>
      </w:r>
      <w:r>
        <w:t xml:space="preserve"> Beim Serverstart (oder per Knopf im </w:t>
      </w:r>
      <w:proofErr w:type="spellStart"/>
      <w:r>
        <w:t>Adminbereich</w:t>
      </w:r>
      <w:proofErr w:type="spellEnd"/>
      <w:r>
        <w:t xml:space="preserve">) werden alle Sagas mit Zustand RUNNING, FAILED oder COMPENSATING nacheinander abgearbeitet. Der Kopf jeder Saga wird mit </w:t>
      </w:r>
      <w:r>
        <w:rPr>
          <w:rFonts w:ascii="Consolas" w:hAnsi="Consolas"/>
          <w:color w:val="0B4A56"/>
          <w:sz w:val="20"/>
          <w:szCs w:val="20"/>
        </w:rPr>
        <w:t>SELECT … FOR UPDATE SKIP LOCKED</w:t>
      </w:r>
      <w:r>
        <w:t xml:space="preserve"> beansprucht — arbeitet ein zweiter Wiederanlauf parallel, bekommt er diese Saga einfach nicht und nimmt die nächste; niemand blockiert niemanden.</w:t>
      </w:r>
    </w:p>
    <w:p w14:paraId="604BB1F4" w14:textId="77777777" w:rsidR="00EC7D8B" w:rsidRDefault="00000000">
      <w:pPr>
        <w:spacing w:after="120"/>
        <w:jc w:val="both"/>
      </w:pPr>
      <w:r>
        <w:t xml:space="preserve">Je Saga </w:t>
      </w:r>
      <w:proofErr w:type="gramStart"/>
      <w:r>
        <w:t>gilt</w:t>
      </w:r>
      <w:proofErr w:type="gramEnd"/>
      <w:r>
        <w:t xml:space="preserve">: Ist jeder Schritt DONE, war nur die Abschlussmarkierung ausgeblieben — die Saga wird COMPLETED und fertig. Sonst läuft die Kompensation rückwärts über die Schritte, wobei </w:t>
      </w:r>
      <w:r>
        <w:rPr>
          <w:rFonts w:ascii="Consolas" w:hAnsi="Consolas"/>
          <w:color w:val="0B4A56"/>
          <w:sz w:val="20"/>
          <w:szCs w:val="20"/>
        </w:rPr>
        <w:t>PENDING</w:t>
      </w:r>
      <w:r>
        <w:t xml:space="preserve"> (lief nie) und bereits </w:t>
      </w:r>
      <w:r>
        <w:rPr>
          <w:rFonts w:ascii="Consolas" w:hAnsi="Consolas"/>
          <w:color w:val="0B4A56"/>
          <w:sz w:val="20"/>
          <w:szCs w:val="20"/>
        </w:rPr>
        <w:t>COMPENSATED</w:t>
      </w:r>
      <w:r>
        <w:t xml:space="preserve"> übersprungen und </w:t>
      </w:r>
      <w:r>
        <w:rPr>
          <w:rFonts w:ascii="Consolas" w:hAnsi="Consolas"/>
          <w:color w:val="0B4A56"/>
          <w:sz w:val="20"/>
          <w:szCs w:val="20"/>
        </w:rPr>
        <w:t>IN_FLIGHT</w:t>
      </w:r>
      <w:r>
        <w:t xml:space="preserve"> konservativ mitkompensiert werden. Klappt alles, wird COMPENSATED gesetzt, sonst FAILED — der nächste Lauf setzt an der übrigen Stelle wieder an. Der Endzustand wird mit dem Commit geschrieben; genau dadurch wird die Sperre freigegeben.</w:t>
      </w:r>
    </w:p>
    <w:p w14:paraId="52F6C052"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SagaEngine</w:t>
      </w:r>
    </w:p>
    <w:p w14:paraId="5F3CEC18"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de.allgemein.tx.saga.SagaEngine · final class · 368 Zeilen</w:t>
      </w:r>
    </w:p>
    <w:p w14:paraId="3F3A3A8C" w14:textId="77777777" w:rsidR="00EC7D8B" w:rsidRDefault="00000000">
      <w:pPr>
        <w:spacing w:after="120"/>
        <w:jc w:val="both"/>
      </w:pPr>
      <w:r>
        <w:t xml:space="preserve">Der Motor: führt eine </w:t>
      </w:r>
      <w:proofErr w:type="spellStart"/>
      <w:r>
        <w:rPr>
          <w:rFonts w:ascii="Consolas" w:hAnsi="Consolas"/>
          <w:color w:val="0B4A56"/>
          <w:sz w:val="20"/>
          <w:szCs w:val="20"/>
        </w:rPr>
        <w:t>SagaDefinition</w:t>
      </w:r>
      <w:proofErr w:type="spellEnd"/>
      <w:r>
        <w:t xml:space="preserve"> Schritt für Schritt aus — je Schritt Write-</w:t>
      </w:r>
      <w:proofErr w:type="spellStart"/>
      <w:r>
        <w:t>Ahead</w:t>
      </w:r>
      <w:proofErr w:type="spellEnd"/>
      <w:r>
        <w:t xml:space="preserve">-Markierung, Fachtransaktion, DONE-Vermerk —, kompensiert bei Fehler alle fertigen Schritte rückwärts und bietet </w:t>
      </w:r>
      <w:proofErr w:type="spellStart"/>
      <w:proofErr w:type="gramStart"/>
      <w:r>
        <w:rPr>
          <w:rFonts w:ascii="Consolas" w:hAnsi="Consolas"/>
          <w:color w:val="0B4A56"/>
          <w:sz w:val="20"/>
          <w:szCs w:val="20"/>
        </w:rPr>
        <w:t>recover</w:t>
      </w:r>
      <w:proofErr w:type="spellEnd"/>
      <w:r>
        <w:rPr>
          <w:rFonts w:ascii="Consolas" w:hAnsi="Consolas"/>
          <w:color w:val="0B4A56"/>
          <w:sz w:val="20"/>
          <w:szCs w:val="20"/>
        </w:rPr>
        <w:t>(</w:t>
      </w:r>
      <w:proofErr w:type="gramEnd"/>
      <w:r>
        <w:rPr>
          <w:rFonts w:ascii="Consolas" w:hAnsi="Consolas"/>
          <w:color w:val="0B4A56"/>
          <w:sz w:val="20"/>
          <w:szCs w:val="20"/>
        </w:rPr>
        <w:t>)</w:t>
      </w:r>
      <w:r>
        <w:t xml:space="preserve"> an, um halbfertige Sagas nach einem Absturz sauber zu beenden. Der Serverstart der Fachschicht ruft genau diesen Wiederanlauf über alle Saga-Typen auf.</w:t>
      </w:r>
    </w:p>
    <w:p w14:paraId="37E4E0EE" w14:textId="77777777" w:rsidR="00EC7D8B" w:rsidRDefault="00000000">
      <w:pPr>
        <w:spacing w:after="120"/>
        <w:jc w:val="both"/>
      </w:pPr>
      <w:r>
        <w:t xml:space="preserve">Die Engine selbst kennt keine Fachbegriffe: Sie ordnet Schritte an, achtet auf das Journal und behandelt Fehler. Alles Fachliche steckt in den Aktionen, die die Fachschicht als </w:t>
      </w:r>
      <w:proofErr w:type="spellStart"/>
      <w:r>
        <w:rPr>
          <w:rFonts w:ascii="Consolas" w:hAnsi="Consolas"/>
          <w:color w:val="0B4A56"/>
          <w:sz w:val="20"/>
          <w:szCs w:val="20"/>
        </w:rPr>
        <w:t>SagaDefinition</w:t>
      </w:r>
      <w:proofErr w:type="spellEnd"/>
      <w:r>
        <w:t xml:space="preserve"> </w:t>
      </w:r>
      <w:r>
        <w:lastRenderedPageBreak/>
        <w:t>übergibt — deshalb kann die Demo (Kapitel 2.8) und die Fachschicht (Kapitel 3.7) dieselbe Engine nutzen.</w:t>
      </w:r>
    </w:p>
    <w:p w14:paraId="6295DCA8"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SagaDefinition</w:t>
      </w:r>
    </w:p>
    <w:p w14:paraId="2A3EFCD6"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de.allgemein.tx.saga.SagaDefinition · final class (Builder)</w:t>
      </w:r>
    </w:p>
    <w:p w14:paraId="4D76757C" w14:textId="77777777" w:rsidR="00EC7D8B" w:rsidRDefault="00000000">
      <w:pPr>
        <w:spacing w:after="120"/>
        <w:jc w:val="both"/>
      </w:pPr>
      <w:r>
        <w:t xml:space="preserve">Die feste Abfolge der Schritte eines Geschäftsvorgangs, gebaut über einen </w:t>
      </w:r>
      <w:proofErr w:type="spellStart"/>
      <w:r>
        <w:t>Builder</w:t>
      </w:r>
      <w:proofErr w:type="spellEnd"/>
      <w:r>
        <w:t xml:space="preserve">: </w:t>
      </w:r>
      <w:proofErr w:type="spellStart"/>
      <w:r>
        <w:t>Typname</w:t>
      </w:r>
      <w:proofErr w:type="spellEnd"/>
      <w:r>
        <w:t xml:space="preserve"> (zum Wiederfinden im Journal), Liste der Schritte, Payload als Zeichenkette. Ein Beispiel: Vorgang erfassen, Bedarfsprüfung, Bescheid erteilen, Erstauszahlung. Die Definition ist unveränderlich — eine laufende Saga ändert ihr Programm nicht mehr.</w:t>
      </w:r>
    </w:p>
    <w:p w14:paraId="5485E46C"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SagaStep</w:t>
      </w:r>
    </w:p>
    <w:p w14:paraId="2F98DCED"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de.allgemein.tx.saga.SagaStep · record (name, action, compensation)</w:t>
      </w:r>
    </w:p>
    <w:p w14:paraId="166033D6" w14:textId="77777777" w:rsidR="00EC7D8B" w:rsidRDefault="00000000">
      <w:pPr>
        <w:spacing w:after="120"/>
        <w:jc w:val="both"/>
      </w:pPr>
      <w:r>
        <w:t>Ein Schritt der Saga: Name, Aktion und — das Entscheidende — die Kompensation, die ihn rückgängig macht. Jede Kompensation muss idempotent sein, denn der Wiederanlauf führt sie erneut aus, wenn der Schritt möglicherweise schon committet war.</w:t>
      </w:r>
    </w:p>
    <w:p w14:paraId="03B15404" w14:textId="77777777" w:rsidR="00EC7D8B" w:rsidRDefault="00000000">
      <w:pPr>
        <w:pStyle w:val="berschrift3"/>
        <w:keepNext/>
        <w:pBdr>
          <w:left w:val="single" w:sz="14" w:space="8" w:color="1B6B7A"/>
        </w:pBdr>
        <w:spacing w:before="260" w:after="80"/>
        <w:ind w:left="140"/>
      </w:pPr>
      <w:proofErr w:type="spellStart"/>
      <w:r>
        <w:t>SagaAction</w:t>
      </w:r>
      <w:proofErr w:type="spellEnd"/>
    </w:p>
    <w:p w14:paraId="44F0C491"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w:t>
      </w:r>
      <w:proofErr w:type="gramStart"/>
      <w:r>
        <w:rPr>
          <w:rFonts w:ascii="Consolas" w:hAnsi="Consolas"/>
          <w:color w:val="5A6B73"/>
          <w:sz w:val="18"/>
          <w:szCs w:val="18"/>
        </w:rPr>
        <w:t>tx.saga</w:t>
      </w:r>
      <w:proofErr w:type="gramEnd"/>
      <w:r>
        <w:rPr>
          <w:rFonts w:ascii="Consolas" w:hAnsi="Consolas"/>
          <w:color w:val="5A6B73"/>
          <w:sz w:val="18"/>
          <w:szCs w:val="18"/>
        </w:rPr>
        <w:t>.SagaAction</w:t>
      </w:r>
      <w:proofErr w:type="spellEnd"/>
      <w:r>
        <w:rPr>
          <w:rFonts w:ascii="Consolas" w:hAnsi="Consolas"/>
          <w:color w:val="5A6B73"/>
          <w:sz w:val="18"/>
          <w:szCs w:val="18"/>
        </w:rPr>
        <w:t xml:space="preserve"> · @FunctionalInterface</w:t>
      </w:r>
    </w:p>
    <w:p w14:paraId="63B1C178" w14:textId="77777777" w:rsidR="00EC7D8B" w:rsidRDefault="00000000">
      <w:pPr>
        <w:spacing w:after="120"/>
        <w:jc w:val="both"/>
      </w:pPr>
      <w:r>
        <w:t xml:space="preserve">Funktionale Schnittstelle für Aktion und Kompensation: </w:t>
      </w:r>
      <w:proofErr w:type="spellStart"/>
      <w:proofErr w:type="gramStart"/>
      <w:r>
        <w:rPr>
          <w:rFonts w:ascii="Consolas" w:hAnsi="Consolas"/>
          <w:color w:val="0B4A56"/>
          <w:sz w:val="20"/>
          <w:szCs w:val="20"/>
        </w:rPr>
        <w:t>run</w:t>
      </w:r>
      <w:proofErr w:type="spellEnd"/>
      <w:r>
        <w:rPr>
          <w:rFonts w:ascii="Consolas" w:hAnsi="Consolas"/>
          <w:color w:val="0B4A56"/>
          <w:sz w:val="20"/>
          <w:szCs w:val="20"/>
        </w:rPr>
        <w:t>(</w:t>
      </w:r>
      <w:proofErr w:type="gramEnd"/>
      <w:r>
        <w:rPr>
          <w:rFonts w:ascii="Consolas" w:hAnsi="Consolas"/>
          <w:color w:val="0B4A56"/>
          <w:sz w:val="20"/>
          <w:szCs w:val="20"/>
        </w:rPr>
        <w:t xml:space="preserve">Connection, </w:t>
      </w:r>
      <w:proofErr w:type="spellStart"/>
      <w:r>
        <w:rPr>
          <w:rFonts w:ascii="Consolas" w:hAnsi="Consolas"/>
          <w:color w:val="0B4A56"/>
          <w:sz w:val="20"/>
          <w:szCs w:val="20"/>
        </w:rPr>
        <w:t>payload</w:t>
      </w:r>
      <w:proofErr w:type="spellEnd"/>
      <w:r>
        <w:rPr>
          <w:rFonts w:ascii="Consolas" w:hAnsi="Consolas"/>
          <w:color w:val="0B4A56"/>
          <w:sz w:val="20"/>
          <w:szCs w:val="20"/>
        </w:rPr>
        <w:t xml:space="preserve">, </w:t>
      </w:r>
      <w:proofErr w:type="spellStart"/>
      <w:r>
        <w:rPr>
          <w:rFonts w:ascii="Consolas" w:hAnsi="Consolas"/>
          <w:color w:val="0B4A56"/>
          <w:sz w:val="20"/>
          <w:szCs w:val="20"/>
        </w:rPr>
        <w:t>sagaId</w:t>
      </w:r>
      <w:proofErr w:type="spellEnd"/>
      <w:r>
        <w:rPr>
          <w:rFonts w:ascii="Consolas" w:hAnsi="Consolas"/>
          <w:color w:val="0B4A56"/>
          <w:sz w:val="20"/>
          <w:szCs w:val="20"/>
        </w:rPr>
        <w:t>)</w:t>
      </w:r>
      <w:r>
        <w:t xml:space="preserve">. Neben dem Payload erhält die Aktion die </w:t>
      </w:r>
      <w:proofErr w:type="spellStart"/>
      <w:r>
        <w:rPr>
          <w:rFonts w:ascii="Consolas" w:hAnsi="Consolas"/>
          <w:color w:val="0B4A56"/>
          <w:sz w:val="20"/>
          <w:szCs w:val="20"/>
        </w:rPr>
        <w:t>sagaId</w:t>
      </w:r>
      <w:proofErr w:type="spellEnd"/>
      <w:r>
        <w:t xml:space="preserve"> — darüber kann sie fachliche Korrelationen deterministisch ableiten (die Saga-Zahlung trägt etwa die Vorgangsnummer SAGA- plus Kennung), sodass eine Kompensation später gezielt nur die eigenen Daten dieser Saga erfasst und fremde unberührt lässt.</w:t>
      </w:r>
    </w:p>
    <w:p w14:paraId="35580DC8" w14:textId="77777777" w:rsidR="00EC7D8B" w:rsidRDefault="00000000">
      <w:pPr>
        <w:pStyle w:val="berschrift3"/>
        <w:keepNext/>
        <w:pBdr>
          <w:left w:val="single" w:sz="14" w:space="8" w:color="1B6B7A"/>
        </w:pBdr>
        <w:spacing w:before="260" w:after="80"/>
        <w:ind w:left="140"/>
      </w:pPr>
      <w:proofErr w:type="spellStart"/>
      <w:r>
        <w:t>TxSagaJournal</w:t>
      </w:r>
      <w:proofErr w:type="spellEnd"/>
    </w:p>
    <w:p w14:paraId="0E158ECC"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w:t>
      </w:r>
      <w:proofErr w:type="gramStart"/>
      <w:r>
        <w:rPr>
          <w:rFonts w:ascii="Consolas" w:hAnsi="Consolas"/>
          <w:color w:val="5A6B73"/>
          <w:sz w:val="18"/>
          <w:szCs w:val="18"/>
        </w:rPr>
        <w:t>tx.saga</w:t>
      </w:r>
      <w:proofErr w:type="gramEnd"/>
      <w:r>
        <w:rPr>
          <w:rFonts w:ascii="Consolas" w:hAnsi="Consolas"/>
          <w:color w:val="5A6B73"/>
          <w:sz w:val="18"/>
          <w:szCs w:val="18"/>
        </w:rPr>
        <w:t>.TxSagaJournal</w:t>
      </w:r>
      <w:proofErr w:type="spellEnd"/>
      <w:r>
        <w:rPr>
          <w:rFonts w:ascii="Consolas" w:hAnsi="Consolas"/>
          <w:color w:val="5A6B73"/>
          <w:sz w:val="18"/>
          <w:szCs w:val="18"/>
        </w:rPr>
        <w:t xml:space="preserve"> · interface</w:t>
      </w:r>
    </w:p>
    <w:p w14:paraId="6C13D31E" w14:textId="77777777" w:rsidR="00EC7D8B" w:rsidRDefault="00000000">
      <w:pPr>
        <w:spacing w:after="120"/>
        <w:jc w:val="both"/>
      </w:pPr>
      <w:r>
        <w:t>Das Journal-Interface der Engine: Saga anlegen, Schritt als IN_FLIGHT markieren, DONE in der Fachtransaktion vermerken, unvollendete Sagas auflisten und exklusiv beanspruchen. Die Engine hängt nur an dieser Abstraktion — im Test (</w:t>
      </w:r>
      <w:proofErr w:type="spellStart"/>
      <w:r>
        <w:rPr>
          <w:rFonts w:ascii="Consolas" w:hAnsi="Consolas"/>
          <w:color w:val="0B4A56"/>
          <w:sz w:val="20"/>
          <w:szCs w:val="20"/>
        </w:rPr>
        <w:t>SagaEngineTest</w:t>
      </w:r>
      <w:proofErr w:type="spellEnd"/>
      <w:r>
        <w:t>) wird das Journal durch eine In-Memory-Umsetzung ersetzt, ohne dass die Engine es merkt.</w:t>
      </w:r>
    </w:p>
    <w:p w14:paraId="4F9709C7" w14:textId="77777777" w:rsidR="00EC7D8B" w:rsidRDefault="00000000">
      <w:pPr>
        <w:pStyle w:val="berschrift3"/>
        <w:keepNext/>
        <w:pBdr>
          <w:left w:val="single" w:sz="14" w:space="8" w:color="1B6B7A"/>
        </w:pBdr>
        <w:spacing w:before="260" w:after="80"/>
        <w:ind w:left="140"/>
      </w:pPr>
      <w:proofErr w:type="spellStart"/>
      <w:r>
        <w:t>SagaJournal</w:t>
      </w:r>
      <w:proofErr w:type="spellEnd"/>
    </w:p>
    <w:p w14:paraId="705EF613"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w:t>
      </w:r>
      <w:proofErr w:type="gramStart"/>
      <w:r>
        <w:rPr>
          <w:rFonts w:ascii="Consolas" w:hAnsi="Consolas"/>
          <w:color w:val="5A6B73"/>
          <w:sz w:val="18"/>
          <w:szCs w:val="18"/>
        </w:rPr>
        <w:t>tx.saga</w:t>
      </w:r>
      <w:proofErr w:type="gramEnd"/>
      <w:r>
        <w:rPr>
          <w:rFonts w:ascii="Consolas" w:hAnsi="Consolas"/>
          <w:color w:val="5A6B73"/>
          <w:sz w:val="18"/>
          <w:szCs w:val="18"/>
        </w:rPr>
        <w:t>.SagaJournal</w:t>
      </w:r>
      <w:proofErr w:type="spellEnd"/>
      <w:r>
        <w:rPr>
          <w:rFonts w:ascii="Consolas" w:hAnsi="Consolas"/>
          <w:color w:val="5A6B73"/>
          <w:sz w:val="18"/>
          <w:szCs w:val="18"/>
        </w:rPr>
        <w:t xml:space="preserve"> · 474 Zeilen</w:t>
      </w:r>
    </w:p>
    <w:p w14:paraId="06132E7E" w14:textId="77777777" w:rsidR="00EC7D8B" w:rsidRDefault="00000000">
      <w:pPr>
        <w:spacing w:after="120"/>
        <w:jc w:val="both"/>
      </w:pPr>
      <w:r>
        <w:t xml:space="preserve">Die Oracle-Umsetzung des Journals auf </w:t>
      </w:r>
      <w:r>
        <w:rPr>
          <w:rFonts w:ascii="Consolas" w:hAnsi="Consolas"/>
          <w:color w:val="0B4A56"/>
          <w:sz w:val="20"/>
          <w:szCs w:val="20"/>
        </w:rPr>
        <w:t>TX_SAGA</w:t>
      </w:r>
      <w:r>
        <w:t xml:space="preserve"> (Kopf) und </w:t>
      </w:r>
      <w:r>
        <w:rPr>
          <w:rFonts w:ascii="Consolas" w:hAnsi="Consolas"/>
          <w:color w:val="0B4A56"/>
          <w:sz w:val="20"/>
          <w:szCs w:val="20"/>
        </w:rPr>
        <w:t>TX_SAGA_STEP</w:t>
      </w:r>
      <w:r>
        <w:t xml:space="preserve"> (Schritte). Kopf und Schritte werden atomar angelegt (RUNNING/PENDING); alle Zustandsübergänge tragen </w:t>
      </w:r>
      <w:proofErr w:type="spellStart"/>
      <w:r>
        <w:t>Guards</w:t>
      </w:r>
      <w:proofErr w:type="spellEnd"/>
      <w:r>
        <w:t>, sodass ein verlorenes Wettrennen nichts kaputt macht, sondern wirft oder harmlos ist. Das Journal-</w:t>
      </w:r>
      <w:proofErr w:type="spellStart"/>
      <w:r>
        <w:t>Dedup</w:t>
      </w:r>
      <w:proofErr w:type="spellEnd"/>
      <w:r>
        <w:t xml:space="preserve"> gegen doppelte Saga-IDs läuft transaktional auf der Datenbank, nicht im Speicher.</w:t>
      </w:r>
    </w:p>
    <w:p w14:paraId="28EB475B"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lastRenderedPageBreak/>
        <w:t>SagaClaim</w:t>
      </w:r>
    </w:p>
    <w:p w14:paraId="651D2EA5"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de.allgemein.tx.saga.SagaClaim · interface · AutoCloseable</w:t>
      </w:r>
    </w:p>
    <w:p w14:paraId="2B935FD0" w14:textId="77777777" w:rsidR="00EC7D8B" w:rsidRDefault="00000000">
      <w:pPr>
        <w:spacing w:after="120"/>
        <w:jc w:val="both"/>
      </w:pPr>
      <w:r>
        <w:t xml:space="preserve">Der exklusive Anspruch auf eine unvollendete Saga während des Wiederlaufs: Die Kopfzeile wird mit </w:t>
      </w:r>
      <w:r>
        <w:rPr>
          <w:rFonts w:ascii="Consolas" w:hAnsi="Consolas"/>
          <w:color w:val="0B4A56"/>
          <w:sz w:val="20"/>
          <w:szCs w:val="20"/>
        </w:rPr>
        <w:t>SELECT FOR UPDATE SKIP LOCKED</w:t>
      </w:r>
      <w:r>
        <w:t xml:space="preserve"> gesperrt — ein </w:t>
      </w:r>
      <w:proofErr w:type="gramStart"/>
      <w:r>
        <w:t>parallel laufender</w:t>
      </w:r>
      <w:proofErr w:type="gramEnd"/>
      <w:r>
        <w:t xml:space="preserve"> Wiederanlauf überspringt diese Saga und nimmt die nächste. Der Anspruch endet genau einmal: </w:t>
      </w:r>
      <w:r>
        <w:rPr>
          <w:rFonts w:ascii="Consolas" w:hAnsi="Consolas"/>
          <w:color w:val="0B4A56"/>
          <w:sz w:val="20"/>
          <w:szCs w:val="20"/>
        </w:rPr>
        <w:t>finish</w:t>
      </w:r>
      <w:r>
        <w:t xml:space="preserve"> schreibt den Endzustand und committet, </w:t>
      </w:r>
      <w:proofErr w:type="spellStart"/>
      <w:r>
        <w:rPr>
          <w:rFonts w:ascii="Consolas" w:hAnsi="Consolas"/>
          <w:color w:val="0B4A56"/>
          <w:sz w:val="20"/>
          <w:szCs w:val="20"/>
        </w:rPr>
        <w:t>close</w:t>
      </w:r>
      <w:proofErr w:type="spellEnd"/>
      <w:r>
        <w:t xml:space="preserve"> verwirft und rollt zurück; beide geben die Verbindung an den Pool zurück.</w:t>
      </w:r>
    </w:p>
    <w:p w14:paraId="4FCF694E"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UnfinishedSaga</w:t>
      </w:r>
    </w:p>
    <w:p w14:paraId="6307BEC2"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de.allgemein.tx.saga.UnfinishedSaga · final class</w:t>
      </w:r>
    </w:p>
    <w:p w14:paraId="3B2E081F" w14:textId="77777777" w:rsidR="00EC7D8B" w:rsidRDefault="00000000">
      <w:pPr>
        <w:spacing w:after="120"/>
        <w:jc w:val="both"/>
      </w:pPr>
      <w:r>
        <w:t>Wertobjekt: eine halbfertige Saga aus dem Journal, inklusive der Zustände aller Schritte (PENDING, IN_FLIGHT, DONE, COMPENSATED). Es ist die Grundlage des Wiederanlaufs — die Engine entscheidet anhand dieser Zustände, ob vorwärts oder rückwärts weitergearbeitet wird.</w:t>
      </w:r>
    </w:p>
    <w:p w14:paraId="6FFA5976" w14:textId="77777777" w:rsidR="00EC7D8B" w:rsidRDefault="00000000">
      <w:pPr>
        <w:pStyle w:val="berschrift3"/>
        <w:keepNext/>
        <w:pBdr>
          <w:left w:val="single" w:sz="14" w:space="8" w:color="1B6B7A"/>
        </w:pBdr>
        <w:spacing w:before="260" w:after="80"/>
        <w:ind w:left="140"/>
      </w:pPr>
      <w:proofErr w:type="spellStart"/>
      <w:r>
        <w:t>SagaState</w:t>
      </w:r>
      <w:proofErr w:type="spellEnd"/>
    </w:p>
    <w:p w14:paraId="7246F9A7"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w:t>
      </w:r>
      <w:proofErr w:type="gramStart"/>
      <w:r>
        <w:rPr>
          <w:rFonts w:ascii="Consolas" w:hAnsi="Consolas"/>
          <w:color w:val="5A6B73"/>
          <w:sz w:val="18"/>
          <w:szCs w:val="18"/>
        </w:rPr>
        <w:t>tx.saga</w:t>
      </w:r>
      <w:proofErr w:type="gramEnd"/>
      <w:r>
        <w:rPr>
          <w:rFonts w:ascii="Consolas" w:hAnsi="Consolas"/>
          <w:color w:val="5A6B73"/>
          <w:sz w:val="18"/>
          <w:szCs w:val="18"/>
        </w:rPr>
        <w:t>.SagaState</w:t>
      </w:r>
      <w:proofErr w:type="spellEnd"/>
      <w:r>
        <w:rPr>
          <w:rFonts w:ascii="Consolas" w:hAnsi="Consolas"/>
          <w:color w:val="5A6B73"/>
          <w:sz w:val="18"/>
          <w:szCs w:val="18"/>
        </w:rPr>
        <w:t xml:space="preserve"> · </w:t>
      </w:r>
      <w:proofErr w:type="spellStart"/>
      <w:r>
        <w:rPr>
          <w:rFonts w:ascii="Consolas" w:hAnsi="Consolas"/>
          <w:color w:val="5A6B73"/>
          <w:sz w:val="18"/>
          <w:szCs w:val="18"/>
        </w:rPr>
        <w:t>enum</w:t>
      </w:r>
      <w:proofErr w:type="spellEnd"/>
    </w:p>
    <w:p w14:paraId="27E46A30" w14:textId="77777777" w:rsidR="00EC7D8B" w:rsidRDefault="00000000">
      <w:pPr>
        <w:spacing w:after="120"/>
        <w:jc w:val="both"/>
      </w:pPr>
      <w:r w:rsidRPr="00DC0975">
        <w:rPr>
          <w:lang w:val="en-US"/>
        </w:rPr>
        <w:t xml:space="preserve">Der Lebenszyklus der ganzen Saga: RUNNING, COMPLETED, FAILED, COMPENSATING, COMPENSATED. </w:t>
      </w:r>
      <w:r>
        <w:t>Der Unterschied zwischen FAILED und COMPENSATED ist wichtig: FAILED heißt abgebrochen (der Wiederanlauf läuft noch oder hatte nichts zu tun), COMPENSATED heißt vollständig zurückgerollt.</w:t>
      </w:r>
    </w:p>
    <w:p w14:paraId="00CA8A49" w14:textId="77777777" w:rsidR="00EC7D8B" w:rsidRDefault="00000000">
      <w:pPr>
        <w:pStyle w:val="berschrift2"/>
        <w:keepNext/>
        <w:spacing w:before="320"/>
      </w:pPr>
      <w:bookmarkStart w:id="20" w:name="_Toc11"/>
      <w:bookmarkStart w:id="21" w:name="_Toc242984008"/>
      <w:r>
        <w:t xml:space="preserve">2.6 Das Audit-Paket </w:t>
      </w:r>
      <w:proofErr w:type="spellStart"/>
      <w:proofErr w:type="gramStart"/>
      <w:r>
        <w:t>tx.audit</w:t>
      </w:r>
      <w:bookmarkEnd w:id="20"/>
      <w:bookmarkEnd w:id="21"/>
      <w:proofErr w:type="spellEnd"/>
      <w:proofErr w:type="gramEnd"/>
    </w:p>
    <w:p w14:paraId="7527B3A3" w14:textId="77777777" w:rsidR="00EC7D8B" w:rsidRDefault="00000000">
      <w:pPr>
        <w:spacing w:after="120"/>
        <w:jc w:val="both"/>
      </w:pPr>
      <w:r>
        <w:t xml:space="preserve">Revisionssicherheit quer zur Ausführung: Commit, Rollback, </w:t>
      </w:r>
      <w:proofErr w:type="spellStart"/>
      <w:r>
        <w:t>Retry</w:t>
      </w:r>
      <w:proofErr w:type="spellEnd"/>
      <w:r>
        <w:t xml:space="preserve">, Timeout, Saga-Schritte und Kompensationen werden als Ereignisse protokolliert. Der Datenschutz-Grundsatz lautet: keine Nutzdaten — </w:t>
      </w:r>
      <w:proofErr w:type="spellStart"/>
      <w:r>
        <w:t>Payloads</w:t>
      </w:r>
      <w:proofErr w:type="spellEnd"/>
      <w:r>
        <w:t xml:space="preserve"> mit Sozialdaten erscheinen im Audit-Log nie; die Korrelation läuft allein über Saga-ID und Transaktions-ID.</w:t>
      </w:r>
    </w:p>
    <w:p w14:paraId="0F2358FF"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TxAuditEvent</w:t>
      </w:r>
    </w:p>
    <w:p w14:paraId="5A19F97D"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de.allgemein.tx.audit.TxAuditEvent · record</w:t>
      </w:r>
    </w:p>
    <w:p w14:paraId="31851BDC" w14:textId="77777777" w:rsidR="00EC7D8B" w:rsidRDefault="00000000">
      <w:pPr>
        <w:spacing w:after="120"/>
        <w:jc w:val="both"/>
      </w:pPr>
      <w:r>
        <w:t xml:space="preserve">Ein einzelnes revisionssicheres Ereignis: Art, Zeitpunkt, IDs und Zusatzangaben (etwa die Fehlerklasse). Als </w:t>
      </w:r>
      <w:proofErr w:type="spellStart"/>
      <w:r>
        <w:t>Record</w:t>
      </w:r>
      <w:proofErr w:type="spellEnd"/>
      <w:r>
        <w:t xml:space="preserve"> bewusst schlank und unveränderlich — Audit-Einträge nachträglich zu ändern wäre ein Widerspruch in sich.</w:t>
      </w:r>
    </w:p>
    <w:p w14:paraId="5A8A8C87" w14:textId="77777777" w:rsidR="00EC7D8B" w:rsidRDefault="00000000">
      <w:pPr>
        <w:pStyle w:val="berschrift3"/>
        <w:keepNext/>
        <w:pBdr>
          <w:left w:val="single" w:sz="14" w:space="8" w:color="1B6B7A"/>
        </w:pBdr>
        <w:spacing w:before="260" w:after="80"/>
        <w:ind w:left="140"/>
      </w:pPr>
      <w:proofErr w:type="spellStart"/>
      <w:r>
        <w:t>TxAuditListener</w:t>
      </w:r>
      <w:proofErr w:type="spellEnd"/>
    </w:p>
    <w:p w14:paraId="103E0D6F"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w:t>
      </w:r>
      <w:proofErr w:type="gramStart"/>
      <w:r>
        <w:rPr>
          <w:rFonts w:ascii="Consolas" w:hAnsi="Consolas"/>
          <w:color w:val="5A6B73"/>
          <w:sz w:val="18"/>
          <w:szCs w:val="18"/>
        </w:rPr>
        <w:t>tx.audit</w:t>
      </w:r>
      <w:proofErr w:type="gramEnd"/>
      <w:r>
        <w:rPr>
          <w:rFonts w:ascii="Consolas" w:hAnsi="Consolas"/>
          <w:color w:val="5A6B73"/>
          <w:sz w:val="18"/>
          <w:szCs w:val="18"/>
        </w:rPr>
        <w:t>.TxAuditListener</w:t>
      </w:r>
      <w:proofErr w:type="spellEnd"/>
      <w:r>
        <w:rPr>
          <w:rFonts w:ascii="Consolas" w:hAnsi="Consolas"/>
          <w:color w:val="5A6B73"/>
          <w:sz w:val="18"/>
          <w:szCs w:val="18"/>
        </w:rPr>
        <w:t xml:space="preserve"> · interface</w:t>
      </w:r>
    </w:p>
    <w:p w14:paraId="37960E80" w14:textId="77777777" w:rsidR="00EC7D8B" w:rsidRDefault="00000000">
      <w:pPr>
        <w:spacing w:after="120"/>
        <w:jc w:val="both"/>
      </w:pPr>
      <w:r>
        <w:t>Die Schnittstelle für Empfänger von Audit-Ereignissen: Datei-Logger, SIEM-Anbindung oder der Ringpuffer. Über dieses Interface kann ein Betrieb später eigene Senken anschließen, ohne die Steuerung anzufassen.</w:t>
      </w:r>
    </w:p>
    <w:p w14:paraId="12B720AA" w14:textId="77777777" w:rsidR="00EC7D8B" w:rsidRDefault="00000000">
      <w:pPr>
        <w:pStyle w:val="berschrift3"/>
        <w:keepNext/>
        <w:pBdr>
          <w:left w:val="single" w:sz="14" w:space="8" w:color="1B6B7A"/>
        </w:pBdr>
        <w:spacing w:before="260" w:after="80"/>
        <w:ind w:left="140"/>
      </w:pPr>
      <w:proofErr w:type="spellStart"/>
      <w:r>
        <w:lastRenderedPageBreak/>
        <w:t>TxAuditLog</w:t>
      </w:r>
      <w:proofErr w:type="spellEnd"/>
    </w:p>
    <w:p w14:paraId="166CDD45"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w:t>
      </w:r>
      <w:proofErr w:type="gramStart"/>
      <w:r>
        <w:rPr>
          <w:rFonts w:ascii="Consolas" w:hAnsi="Consolas"/>
          <w:color w:val="5A6B73"/>
          <w:sz w:val="18"/>
          <w:szCs w:val="18"/>
        </w:rPr>
        <w:t>tx.audit</w:t>
      </w:r>
      <w:proofErr w:type="gramEnd"/>
      <w:r>
        <w:rPr>
          <w:rFonts w:ascii="Consolas" w:hAnsi="Consolas"/>
          <w:color w:val="5A6B73"/>
          <w:sz w:val="18"/>
          <w:szCs w:val="18"/>
        </w:rPr>
        <w:t>.TxAuditLog</w:t>
      </w:r>
      <w:proofErr w:type="spellEnd"/>
      <w:r>
        <w:rPr>
          <w:rFonts w:ascii="Consolas" w:hAnsi="Consolas"/>
          <w:color w:val="5A6B73"/>
          <w:sz w:val="18"/>
          <w:szCs w:val="18"/>
        </w:rPr>
        <w:t xml:space="preserve"> · 271 Zeilen</w:t>
      </w:r>
    </w:p>
    <w:p w14:paraId="69716CCA" w14:textId="77777777" w:rsidR="00EC7D8B" w:rsidRDefault="00000000">
      <w:pPr>
        <w:spacing w:after="120"/>
        <w:jc w:val="both"/>
      </w:pPr>
      <w:r>
        <w:t>Das Audit-Log selbst: Ereignisse gehen an einen strukturierten Logger, in einen thread-sicheren In-Memory-Ringpuffer der letzten 1.000 Einträge (für Oberfläche und Diagnose) und optional in eine Datei auf Platte, die bei etwa 10 MB rotiert (ein Vorgänger wird gehalten). Der Writer bleibt dauerhaft geöffnet — jede Zeile einzeln öffnen und schließen wäre auf Dauer zu teuer.</w:t>
      </w:r>
    </w:p>
    <w:p w14:paraId="3F678196" w14:textId="77777777" w:rsidR="00EC7D8B" w:rsidRPr="00DC0975" w:rsidRDefault="00000000">
      <w:pPr>
        <w:pStyle w:val="berschrift2"/>
        <w:keepNext/>
        <w:spacing w:before="320"/>
        <w:rPr>
          <w:lang w:val="en-US"/>
        </w:rPr>
      </w:pPr>
      <w:bookmarkStart w:id="22" w:name="_Toc12"/>
      <w:bookmarkStart w:id="23" w:name="_Toc242984009"/>
      <w:r w:rsidRPr="00DC0975">
        <w:rPr>
          <w:lang w:val="en-US"/>
        </w:rPr>
        <w:t>2.7 Das Monitoring-Paket tx.monitoring (JMX)</w:t>
      </w:r>
      <w:bookmarkEnd w:id="22"/>
      <w:bookmarkEnd w:id="23"/>
    </w:p>
    <w:p w14:paraId="00E3292B" w14:textId="77777777" w:rsidR="00EC7D8B" w:rsidRDefault="00000000">
      <w:pPr>
        <w:spacing w:after="120"/>
        <w:jc w:val="both"/>
      </w:pPr>
      <w:r>
        <w:t xml:space="preserve">JMX ist die Standard-Überwachungsschnittstelle des JDK: Komponenten melden Kennzahlen als </w:t>
      </w:r>
      <w:proofErr w:type="spellStart"/>
      <w:r>
        <w:t>MBeans</w:t>
      </w:r>
      <w:proofErr w:type="spellEnd"/>
      <w:r>
        <w:t xml:space="preserve">, und Werkzeuge wie </w:t>
      </w:r>
      <w:proofErr w:type="spellStart"/>
      <w:r>
        <w:t>JConsole</w:t>
      </w:r>
      <w:proofErr w:type="spellEnd"/>
      <w:r>
        <w:t xml:space="preserve"> oder </w:t>
      </w:r>
      <w:proofErr w:type="spellStart"/>
      <w:r>
        <w:t>VisualVM</w:t>
      </w:r>
      <w:proofErr w:type="spellEnd"/>
      <w:r>
        <w:t xml:space="preserve"> zeigen sie live an. Das Paket besteht aus Paaren — je ein </w:t>
      </w:r>
      <w:proofErr w:type="spellStart"/>
      <w:r>
        <w:t>MBean</w:t>
      </w:r>
      <w:proofErr w:type="spellEnd"/>
      <w:r>
        <w:t>-Interface (was ist abfragbar?) und ein Adapter (wie kommt man an die Werte?).</w:t>
      </w:r>
    </w:p>
    <w:p w14:paraId="25AF09A6"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TxMonitoring</w:t>
      </w:r>
    </w:p>
    <w:p w14:paraId="4711F388"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de.allgemein.tx.monitoring.TxMonitoring · final class</w:t>
      </w:r>
    </w:p>
    <w:p w14:paraId="16B87FAA" w14:textId="77777777" w:rsidR="00EC7D8B" w:rsidRDefault="00000000">
      <w:pPr>
        <w:spacing w:after="120"/>
        <w:jc w:val="both"/>
      </w:pPr>
      <w:r>
        <w:t xml:space="preserve">Die zentrale Registrierung: meldet </w:t>
      </w:r>
      <w:proofErr w:type="spellStart"/>
      <w:r>
        <w:t>TaskController</w:t>
      </w:r>
      <w:proofErr w:type="spellEnd"/>
      <w:r>
        <w:t xml:space="preserve">, UCP-Pool und generische Pools als </w:t>
      </w:r>
      <w:proofErr w:type="spellStart"/>
      <w:r>
        <w:t>MBeans</w:t>
      </w:r>
      <w:proofErr w:type="spellEnd"/>
      <w:r>
        <w:t xml:space="preserve"> beim JDK-</w:t>
      </w:r>
      <w:proofErr w:type="spellStart"/>
      <w:r>
        <w:t>MBeanServer</w:t>
      </w:r>
      <w:proofErr w:type="spellEnd"/>
      <w:r>
        <w:t xml:space="preserve"> an. Ein Aufruf beim Serverstart genügt, danach sind Parallelität, Durchlauf, Fehler, Timeouts und Pool-Auslastung über </w:t>
      </w:r>
      <w:proofErr w:type="spellStart"/>
      <w:r>
        <w:t>JConsole</w:t>
      </w:r>
      <w:proofErr w:type="spellEnd"/>
      <w:r>
        <w:t xml:space="preserve"> sichtbar.</w:t>
      </w:r>
    </w:p>
    <w:p w14:paraId="3F06510F" w14:textId="77777777" w:rsidR="00EC7D8B" w:rsidRDefault="00000000">
      <w:pPr>
        <w:pStyle w:val="berschrift3"/>
        <w:keepNext/>
        <w:pBdr>
          <w:left w:val="single" w:sz="14" w:space="8" w:color="1B6B7A"/>
        </w:pBdr>
        <w:spacing w:before="260" w:after="80"/>
        <w:ind w:left="140"/>
      </w:pPr>
      <w:proofErr w:type="spellStart"/>
      <w:r>
        <w:t>TaskControllerMBean</w:t>
      </w:r>
      <w:proofErr w:type="spellEnd"/>
    </w:p>
    <w:p w14:paraId="70607E0B"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w:t>
      </w:r>
      <w:proofErr w:type="gramStart"/>
      <w:r>
        <w:rPr>
          <w:rFonts w:ascii="Consolas" w:hAnsi="Consolas"/>
          <w:color w:val="5A6B73"/>
          <w:sz w:val="18"/>
          <w:szCs w:val="18"/>
        </w:rPr>
        <w:t>tx.monitoring</w:t>
      </w:r>
      <w:proofErr w:type="gramEnd"/>
      <w:r>
        <w:rPr>
          <w:rFonts w:ascii="Consolas" w:hAnsi="Consolas"/>
          <w:color w:val="5A6B73"/>
          <w:sz w:val="18"/>
          <w:szCs w:val="18"/>
        </w:rPr>
        <w:t>.TaskControllerMBean</w:t>
      </w:r>
      <w:proofErr w:type="spellEnd"/>
      <w:r>
        <w:rPr>
          <w:rFonts w:ascii="Consolas" w:hAnsi="Consolas"/>
          <w:color w:val="5A6B73"/>
          <w:sz w:val="18"/>
          <w:szCs w:val="18"/>
        </w:rPr>
        <w:t xml:space="preserve"> · interface</w:t>
      </w:r>
    </w:p>
    <w:p w14:paraId="40D064C8" w14:textId="77777777" w:rsidR="00EC7D8B" w:rsidRDefault="00000000">
      <w:pPr>
        <w:spacing w:after="120"/>
        <w:jc w:val="both"/>
      </w:pPr>
      <w:r>
        <w:t xml:space="preserve">Die JMX-Schnittstelle für den </w:t>
      </w:r>
      <w:proofErr w:type="spellStart"/>
      <w:r>
        <w:t>TaskController</w:t>
      </w:r>
      <w:proofErr w:type="spellEnd"/>
      <w:r>
        <w:t xml:space="preserve"> (Vorbild: CICS-Transaktionsüberwachung): Statistik und Laufzeitzahlen zum Abfragen über beliebige Monitoring-Werkzeuge.</w:t>
      </w:r>
    </w:p>
    <w:p w14:paraId="15B71F01"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TaskControllerAdapter</w:t>
      </w:r>
    </w:p>
    <w:p w14:paraId="2D2D34BE"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de.allgemein.tx.monitoring.TaskControllerAdapter · final class</w:t>
      </w:r>
    </w:p>
    <w:p w14:paraId="3A4D2C86" w14:textId="77777777" w:rsidR="00EC7D8B" w:rsidRDefault="00000000">
      <w:pPr>
        <w:spacing w:after="120"/>
        <w:jc w:val="both"/>
      </w:pPr>
      <w:r>
        <w:t xml:space="preserve">Der Standard-Adapter, der das </w:t>
      </w:r>
      <w:proofErr w:type="spellStart"/>
      <w:r>
        <w:t>MBean</w:t>
      </w:r>
      <w:proofErr w:type="spellEnd"/>
      <w:r>
        <w:t xml:space="preserve">-Interface für den </w:t>
      </w:r>
      <w:proofErr w:type="spellStart"/>
      <w:r>
        <w:t>TaskController</w:t>
      </w:r>
      <w:proofErr w:type="spellEnd"/>
      <w:r>
        <w:t xml:space="preserve"> implementiert, indem es die </w:t>
      </w:r>
      <w:proofErr w:type="spellStart"/>
      <w:r>
        <w:rPr>
          <w:rFonts w:ascii="Consolas" w:hAnsi="Consolas"/>
          <w:color w:val="0B4A56"/>
          <w:sz w:val="20"/>
          <w:szCs w:val="20"/>
        </w:rPr>
        <w:t>TaskStats</w:t>
      </w:r>
      <w:proofErr w:type="spellEnd"/>
      <w:r>
        <w:t xml:space="preserve"> durchreicht. Er übersetzt zwischen der JMX-Welt (Attribute, einfache Typen) und der Klasse selbst.</w:t>
      </w:r>
    </w:p>
    <w:p w14:paraId="3DB1DFCE"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UcpConnectionPoolMBean</w:t>
      </w:r>
    </w:p>
    <w:p w14:paraId="6BE3B47B"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de.allgemein.tx.monitoring.UcpConnectionPoolMBean · interface</w:t>
      </w:r>
    </w:p>
    <w:p w14:paraId="198FB9F0" w14:textId="77777777" w:rsidR="00EC7D8B" w:rsidRDefault="00000000">
      <w:pPr>
        <w:spacing w:after="120"/>
        <w:jc w:val="both"/>
      </w:pPr>
      <w:r>
        <w:t>Die JMX-Schnittstelle für den Oracle-UCP-Pool: ausgeliehene und freie Verbindungen sowie die Grenzen — die Fragen, die man im Betrieb zuerst stellt, wenn die Anwendung langsam wird.</w:t>
      </w:r>
    </w:p>
    <w:p w14:paraId="39DCEB5A"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UcpConnectionPoolAdapter</w:t>
      </w:r>
    </w:p>
    <w:p w14:paraId="6B3DBA41"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de.allgemein.tx.monitoring.UcpConnectionPoolAdapter · final class</w:t>
      </w:r>
    </w:p>
    <w:p w14:paraId="3A1F324B" w14:textId="77777777" w:rsidR="00EC7D8B" w:rsidRDefault="00000000">
      <w:pPr>
        <w:spacing w:after="120"/>
        <w:jc w:val="both"/>
      </w:pPr>
      <w:r>
        <w:t xml:space="preserve">Der Adapter für den UCP-Pool; er liest die Poolkennzahlen und stellt sie als </w:t>
      </w:r>
      <w:proofErr w:type="spellStart"/>
      <w:r>
        <w:t>MBean</w:t>
      </w:r>
      <w:proofErr w:type="spellEnd"/>
      <w:r>
        <w:t>-Attribute bereit.</w:t>
      </w:r>
    </w:p>
    <w:p w14:paraId="59D949A0"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lastRenderedPageBreak/>
        <w:t>GenericConnectionPoolMBean</w:t>
      </w:r>
    </w:p>
    <w:p w14:paraId="7FEA6BEB"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de.allgemein.tx.monitoring.GenericConnectionPoolMBean · interface</w:t>
      </w:r>
    </w:p>
    <w:p w14:paraId="5F3B0CAE" w14:textId="77777777" w:rsidR="00EC7D8B" w:rsidRDefault="00000000">
      <w:pPr>
        <w:spacing w:after="120"/>
        <w:jc w:val="both"/>
      </w:pPr>
      <w:r>
        <w:t xml:space="preserve">Die generische JMX-Schnittstelle für beliebige Verbindungspools (etwa den </w:t>
      </w:r>
      <w:proofErr w:type="spellStart"/>
      <w:r>
        <w:t>SimpleConnectionPool</w:t>
      </w:r>
      <w:proofErr w:type="spellEnd"/>
      <w:r>
        <w:t xml:space="preserve"> in der Entwicklung): die üblichen Kennzahlen ohne herstellerspezifische Typen.</w:t>
      </w:r>
    </w:p>
    <w:p w14:paraId="77626838"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GenericConnectionPoolAdapter</w:t>
      </w:r>
    </w:p>
    <w:p w14:paraId="15451399"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de.allgemein.tx.monitoring.GenericConnectionPoolAdapter · final class</w:t>
      </w:r>
    </w:p>
    <w:p w14:paraId="160D93C0" w14:textId="77777777" w:rsidR="00EC7D8B" w:rsidRDefault="00000000">
      <w:pPr>
        <w:spacing w:after="120"/>
        <w:jc w:val="both"/>
      </w:pPr>
      <w:r>
        <w:t>Der zugehörige Adapter; er ummantelt jeden Pool, der die Grundkennzahlen hergibt, und meldet ihn unter JMX.</w:t>
      </w:r>
    </w:p>
    <w:p w14:paraId="21E9E4F3" w14:textId="77777777" w:rsidR="00EC7D8B" w:rsidRDefault="00000000">
      <w:pPr>
        <w:pStyle w:val="berschrift2"/>
        <w:keepNext/>
        <w:spacing w:before="320"/>
      </w:pPr>
      <w:bookmarkStart w:id="24" w:name="_Toc13"/>
      <w:bookmarkStart w:id="25" w:name="_Toc242984010"/>
      <w:r>
        <w:t xml:space="preserve">2.8 Das Demo-Paket </w:t>
      </w:r>
      <w:proofErr w:type="spellStart"/>
      <w:proofErr w:type="gramStart"/>
      <w:r>
        <w:t>tx.demo</w:t>
      </w:r>
      <w:bookmarkEnd w:id="24"/>
      <w:bookmarkEnd w:id="25"/>
      <w:proofErr w:type="spellEnd"/>
      <w:proofErr w:type="gramEnd"/>
    </w:p>
    <w:p w14:paraId="2500FA99" w14:textId="77777777" w:rsidR="00EC7D8B" w:rsidRDefault="00000000">
      <w:pPr>
        <w:spacing w:after="120"/>
        <w:jc w:val="both"/>
      </w:pPr>
      <w:r>
        <w:t>Die Demo zeigt Kern und Engine im Zusammenspiel auf zwei kleinen Tabellen (</w:t>
      </w:r>
      <w:r>
        <w:rPr>
          <w:rFonts w:ascii="Consolas" w:hAnsi="Consolas"/>
          <w:color w:val="0B4A56"/>
          <w:sz w:val="20"/>
          <w:szCs w:val="20"/>
        </w:rPr>
        <w:t>TX_DEMO_ANTRAG</w:t>
      </w:r>
      <w:r>
        <w:t xml:space="preserve">, </w:t>
      </w:r>
      <w:r>
        <w:rPr>
          <w:rFonts w:ascii="Consolas" w:hAnsi="Consolas"/>
          <w:color w:val="0B4A56"/>
          <w:sz w:val="20"/>
          <w:szCs w:val="20"/>
        </w:rPr>
        <w:t>TX_DEMO_ZAHLUNG</w:t>
      </w:r>
      <w:r>
        <w:t xml:space="preserve">) — ohne Fachschicht. Sie ist der schnellste Weg, eine Saga einmal leben zu sehen: </w:t>
      </w:r>
      <w:r>
        <w:rPr>
          <w:rFonts w:ascii="Consolas" w:hAnsi="Consolas"/>
          <w:color w:val="0B4A56"/>
          <w:sz w:val="20"/>
          <w:szCs w:val="20"/>
        </w:rPr>
        <w:t xml:space="preserve">start.bat </w:t>
      </w:r>
      <w:proofErr w:type="spellStart"/>
      <w:r>
        <w:rPr>
          <w:rFonts w:ascii="Consolas" w:hAnsi="Consolas"/>
          <w:color w:val="0B4A56"/>
          <w:sz w:val="20"/>
          <w:szCs w:val="20"/>
        </w:rPr>
        <w:t>demo</w:t>
      </w:r>
      <w:proofErr w:type="spellEnd"/>
      <w:r>
        <w:t xml:space="preserve"> oder </w:t>
      </w:r>
      <w:proofErr w:type="spellStart"/>
      <w:r>
        <w:rPr>
          <w:rFonts w:ascii="Consolas" w:hAnsi="Consolas"/>
          <w:color w:val="0B4A56"/>
          <w:sz w:val="20"/>
          <w:szCs w:val="20"/>
        </w:rPr>
        <w:t>mvn</w:t>
      </w:r>
      <w:proofErr w:type="spellEnd"/>
      <w:r>
        <w:rPr>
          <w:rFonts w:ascii="Consolas" w:hAnsi="Consolas"/>
          <w:color w:val="0B4A56"/>
          <w:sz w:val="20"/>
          <w:szCs w:val="20"/>
        </w:rPr>
        <w:t xml:space="preserve"> </w:t>
      </w:r>
      <w:proofErr w:type="spellStart"/>
      <w:r>
        <w:rPr>
          <w:rFonts w:ascii="Consolas" w:hAnsi="Consolas"/>
          <w:color w:val="0B4A56"/>
          <w:sz w:val="20"/>
          <w:szCs w:val="20"/>
        </w:rPr>
        <w:t>compile</w:t>
      </w:r>
      <w:proofErr w:type="spellEnd"/>
      <w:r>
        <w:rPr>
          <w:rFonts w:ascii="Consolas" w:hAnsi="Consolas"/>
          <w:color w:val="0B4A56"/>
          <w:sz w:val="20"/>
          <w:szCs w:val="20"/>
        </w:rPr>
        <w:t xml:space="preserve"> </w:t>
      </w:r>
      <w:proofErr w:type="spellStart"/>
      <w:r>
        <w:rPr>
          <w:rFonts w:ascii="Consolas" w:hAnsi="Consolas"/>
          <w:color w:val="0B4A56"/>
          <w:sz w:val="20"/>
          <w:szCs w:val="20"/>
        </w:rPr>
        <w:t>exec:java</w:t>
      </w:r>
      <w:proofErr w:type="spellEnd"/>
      <w:r>
        <w:t>.</w:t>
      </w:r>
    </w:p>
    <w:p w14:paraId="319A7B87"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DemoMain</w:t>
      </w:r>
    </w:p>
    <w:p w14:paraId="0E81A983"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de.allgemein.tx.demo.DemoMain · final class</w:t>
      </w:r>
    </w:p>
    <w:p w14:paraId="1F50B44C" w14:textId="77777777" w:rsidR="00EC7D8B" w:rsidRDefault="00000000">
      <w:pPr>
        <w:spacing w:after="120"/>
        <w:jc w:val="both"/>
      </w:pPr>
      <w:r>
        <w:t xml:space="preserve">Der Einstiegspunkt der Demo: baut Pool, </w:t>
      </w:r>
      <w:proofErr w:type="spellStart"/>
      <w:r>
        <w:t>TxManager</w:t>
      </w:r>
      <w:proofErr w:type="spellEnd"/>
      <w:r>
        <w:t xml:space="preserve">, </w:t>
      </w:r>
      <w:proofErr w:type="spellStart"/>
      <w:r>
        <w:t>TaskController</w:t>
      </w:r>
      <w:proofErr w:type="spellEnd"/>
      <w:r>
        <w:t xml:space="preserve"> und </w:t>
      </w:r>
      <w:proofErr w:type="spellStart"/>
      <w:r>
        <w:t>SagaEngine</w:t>
      </w:r>
      <w:proofErr w:type="spellEnd"/>
      <w:r>
        <w:t xml:space="preserve"> auf, konfiguriert über die Umgebungsvariablen TX_URL, TX_USER und TX_PASS, und führt dann die Antrag-Saga plus parallele Tasks über die Task-Steuerung vor. Wer den Aufbau einer lauffähigen Instanz sehen will (Reihenfolge Pool, Manager, Engine, Wiederanlauf), liest zuerst diese Klasse.</w:t>
      </w:r>
    </w:p>
    <w:p w14:paraId="762199CD" w14:textId="77777777" w:rsidR="00EC7D8B" w:rsidRDefault="00000000">
      <w:pPr>
        <w:pStyle w:val="berschrift3"/>
        <w:keepNext/>
        <w:pBdr>
          <w:left w:val="single" w:sz="14" w:space="8" w:color="1B6B7A"/>
        </w:pBdr>
        <w:spacing w:before="260" w:after="80"/>
        <w:ind w:left="140"/>
      </w:pPr>
      <w:proofErr w:type="spellStart"/>
      <w:r>
        <w:t>AntragsDemoProzess</w:t>
      </w:r>
      <w:proofErr w:type="spellEnd"/>
    </w:p>
    <w:p w14:paraId="021657A5" w14:textId="77777777" w:rsidR="00EC7D8B" w:rsidRDefault="00000000">
      <w:pPr>
        <w:keepNext/>
        <w:spacing w:after="100" w:line="276" w:lineRule="auto"/>
      </w:pPr>
      <w:proofErr w:type="spellStart"/>
      <w:proofErr w:type="gramStart"/>
      <w:r>
        <w:rPr>
          <w:rFonts w:ascii="Consolas" w:hAnsi="Consolas"/>
          <w:color w:val="5A6B73"/>
          <w:sz w:val="18"/>
          <w:szCs w:val="18"/>
        </w:rPr>
        <w:t>de.allgemein</w:t>
      </w:r>
      <w:proofErr w:type="gramEnd"/>
      <w:r>
        <w:rPr>
          <w:rFonts w:ascii="Consolas" w:hAnsi="Consolas"/>
          <w:color w:val="5A6B73"/>
          <w:sz w:val="18"/>
          <w:szCs w:val="18"/>
        </w:rPr>
        <w:t>.</w:t>
      </w:r>
      <w:proofErr w:type="gramStart"/>
      <w:r>
        <w:rPr>
          <w:rFonts w:ascii="Consolas" w:hAnsi="Consolas"/>
          <w:color w:val="5A6B73"/>
          <w:sz w:val="18"/>
          <w:szCs w:val="18"/>
        </w:rPr>
        <w:t>tx.demo</w:t>
      </w:r>
      <w:proofErr w:type="gramEnd"/>
      <w:r>
        <w:rPr>
          <w:rFonts w:ascii="Consolas" w:hAnsi="Consolas"/>
          <w:color w:val="5A6B73"/>
          <w:sz w:val="18"/>
          <w:szCs w:val="18"/>
        </w:rPr>
        <w:t>.AntragsDemoProzess</w:t>
      </w:r>
      <w:proofErr w:type="spellEnd"/>
      <w:r>
        <w:rPr>
          <w:rFonts w:ascii="Consolas" w:hAnsi="Consolas"/>
          <w:color w:val="5A6B73"/>
          <w:sz w:val="18"/>
          <w:szCs w:val="18"/>
        </w:rPr>
        <w:t xml:space="preserve"> · final </w:t>
      </w:r>
      <w:proofErr w:type="spellStart"/>
      <w:r>
        <w:rPr>
          <w:rFonts w:ascii="Consolas" w:hAnsi="Consolas"/>
          <w:color w:val="5A6B73"/>
          <w:sz w:val="18"/>
          <w:szCs w:val="18"/>
        </w:rPr>
        <w:t>class</w:t>
      </w:r>
      <w:proofErr w:type="spellEnd"/>
    </w:p>
    <w:p w14:paraId="2E2D0652" w14:textId="77777777" w:rsidR="00EC7D8B" w:rsidRDefault="00000000">
      <w:pPr>
        <w:spacing w:after="120"/>
        <w:jc w:val="both"/>
      </w:pPr>
      <w:r>
        <w:t xml:space="preserve">Die Saga-Definition der Demo (Antrag, Bescheid, Auszahlung) samt Schritten und Kompensationen auf den Demo-Tabellen. Ausgelagert aus der </w:t>
      </w:r>
      <w:proofErr w:type="spellStart"/>
      <w:r>
        <w:t>DemoMain</w:t>
      </w:r>
      <w:proofErr w:type="spellEnd"/>
      <w:r>
        <w:t xml:space="preserve">, damit auch der </w:t>
      </w:r>
      <w:proofErr w:type="spellStart"/>
      <w:r>
        <w:t>Adminbereich</w:t>
      </w:r>
      <w:proofErr w:type="spellEnd"/>
      <w:r>
        <w:t xml:space="preserve"> der Fachschicht-Anwendung dieselbe Definition für den Wiederanlauf-Aktion nutzen kann. Alle Schritte und Kompensationen korrelieren über die mitgespeicherte SAGA_ID, nicht über den Namen — parallele Demos mit gleichem Namen können sich dadurch gegenseitig nichts wegkompensieren.</w:t>
      </w:r>
    </w:p>
    <w:p w14:paraId="1058462B" w14:textId="77777777" w:rsidR="00EC7D8B" w:rsidRDefault="00000000">
      <w:pPr>
        <w:pStyle w:val="berschrift1"/>
        <w:keepNext/>
        <w:pageBreakBefore/>
        <w:pBdr>
          <w:bottom w:val="single" w:sz="6" w:space="6" w:color="1B6B7A"/>
        </w:pBdr>
        <w:spacing w:before="120" w:after="240"/>
      </w:pPr>
      <w:bookmarkStart w:id="26" w:name="_Toc14"/>
      <w:bookmarkStart w:id="27" w:name="_Toc242984011"/>
      <w:r>
        <w:lastRenderedPageBreak/>
        <w:t xml:space="preserve">3 Die Fachschicht </w:t>
      </w:r>
      <w:proofErr w:type="spellStart"/>
      <w:r>
        <w:t>SDN.Leistung</w:t>
      </w:r>
      <w:proofErr w:type="spellEnd"/>
      <w:r>
        <w:t xml:space="preserve">: </w:t>
      </w:r>
      <w:proofErr w:type="spellStart"/>
      <w:r>
        <w:t>de.allgemein.lmg</w:t>
      </w:r>
      <w:bookmarkEnd w:id="26"/>
      <w:bookmarkEnd w:id="27"/>
      <w:proofErr w:type="spellEnd"/>
    </w:p>
    <w:p w14:paraId="2588A9F4" w14:textId="77777777" w:rsidR="00EC7D8B" w:rsidRDefault="00000000">
      <w:pPr>
        <w:pStyle w:val="berschrift2"/>
        <w:keepNext/>
        <w:spacing w:before="320"/>
      </w:pPr>
      <w:bookmarkStart w:id="28" w:name="_Toc15"/>
      <w:bookmarkStart w:id="29" w:name="_Toc242984012"/>
      <w:r>
        <w:t>3.1 Idee und Zusammenspiel</w:t>
      </w:r>
      <w:bookmarkEnd w:id="28"/>
      <w:bookmarkEnd w:id="29"/>
    </w:p>
    <w:p w14:paraId="06ECB050" w14:textId="77777777" w:rsidR="00EC7D8B" w:rsidRDefault="00000000">
      <w:pPr>
        <w:spacing w:after="120"/>
        <w:jc w:val="both"/>
      </w:pPr>
      <w:r>
        <w:t xml:space="preserve">Die Fachschicht setzt die Transaktionssteuerung für die Grundsicherung im Alter und bei Erwerbsminderung (SGB XII) ein. Die Schichtung ist streng: Die </w:t>
      </w:r>
      <w:r>
        <w:rPr>
          <w:b/>
          <w:bCs/>
          <w:color w:val="0E2A33"/>
        </w:rPr>
        <w:t>Webschicht</w:t>
      </w:r>
      <w:r>
        <w:t xml:space="preserve"> (</w:t>
      </w:r>
      <w:r>
        <w:rPr>
          <w:rFonts w:ascii="Consolas" w:hAnsi="Consolas"/>
          <w:color w:val="0B4A56"/>
          <w:sz w:val="20"/>
          <w:szCs w:val="20"/>
        </w:rPr>
        <w:t>web</w:t>
      </w:r>
      <w:r>
        <w:t xml:space="preserve">) nimmt Anfragen entgegen und prüft Sitzung und Rolle; die </w:t>
      </w:r>
      <w:r>
        <w:rPr>
          <w:b/>
          <w:bCs/>
          <w:color w:val="0E2A33"/>
        </w:rPr>
        <w:t>Fachdienste</w:t>
      </w:r>
      <w:r>
        <w:t xml:space="preserve"> (</w:t>
      </w:r>
      <w:proofErr w:type="spellStart"/>
      <w:r>
        <w:rPr>
          <w:rFonts w:ascii="Consolas" w:hAnsi="Consolas"/>
          <w:color w:val="0B4A56"/>
          <w:sz w:val="20"/>
          <w:szCs w:val="20"/>
        </w:rPr>
        <w:t>service</w:t>
      </w:r>
      <w:proofErr w:type="spellEnd"/>
      <w:r>
        <w:t xml:space="preserve">) ordnen die fachliche Arbeit als kurze Transaktionen über den </w:t>
      </w:r>
      <w:proofErr w:type="spellStart"/>
      <w:r>
        <w:t>TxManager</w:t>
      </w:r>
      <w:proofErr w:type="spellEnd"/>
      <w:r>
        <w:t xml:space="preserve"> an; die </w:t>
      </w:r>
      <w:r>
        <w:rPr>
          <w:b/>
          <w:bCs/>
          <w:color w:val="0E2A33"/>
        </w:rPr>
        <w:t>Datenzugriffe</w:t>
      </w:r>
      <w:r>
        <w:t xml:space="preserve"> (</w:t>
      </w:r>
      <w:proofErr w:type="spellStart"/>
      <w:r>
        <w:rPr>
          <w:rFonts w:ascii="Consolas" w:hAnsi="Consolas"/>
          <w:color w:val="0B4A56"/>
          <w:sz w:val="20"/>
          <w:szCs w:val="20"/>
        </w:rPr>
        <w:t>dao</w:t>
      </w:r>
      <w:proofErr w:type="spellEnd"/>
      <w:r>
        <w:t xml:space="preserve">) sprechen die Oracle-Tabellen auf der Verbindung der laufenden Transaktion; die </w:t>
      </w:r>
      <w:r>
        <w:rPr>
          <w:b/>
          <w:bCs/>
          <w:color w:val="0E2A33"/>
        </w:rPr>
        <w:t>Berechnung</w:t>
      </w:r>
      <w:r>
        <w:t xml:space="preserve"> (</w:t>
      </w:r>
      <w:proofErr w:type="spellStart"/>
      <w:r>
        <w:rPr>
          <w:rFonts w:ascii="Consolas" w:hAnsi="Consolas"/>
          <w:color w:val="0B4A56"/>
          <w:sz w:val="20"/>
          <w:szCs w:val="20"/>
        </w:rPr>
        <w:t>calc</w:t>
      </w:r>
      <w:proofErr w:type="spellEnd"/>
      <w:r>
        <w:t xml:space="preserve">) ist reines Fachrecht ohne Datenbank; die </w:t>
      </w:r>
      <w:r>
        <w:rPr>
          <w:b/>
          <w:bCs/>
          <w:color w:val="0E2A33"/>
        </w:rPr>
        <w:t>Wertobjekte</w:t>
      </w:r>
      <w:r>
        <w:t xml:space="preserve"> (</w:t>
      </w:r>
      <w:proofErr w:type="spellStart"/>
      <w:r>
        <w:rPr>
          <w:rFonts w:ascii="Consolas" w:hAnsi="Consolas"/>
          <w:color w:val="0B4A56"/>
          <w:sz w:val="20"/>
          <w:szCs w:val="20"/>
        </w:rPr>
        <w:t>model</w:t>
      </w:r>
      <w:proofErr w:type="spellEnd"/>
      <w:r>
        <w:t>) tragen die Daten.</w:t>
      </w:r>
    </w:p>
    <w:p w14:paraId="4134A928" w14:textId="77777777" w:rsidR="00EC7D8B" w:rsidRDefault="00000000">
      <w:pPr>
        <w:spacing w:after="120"/>
        <w:jc w:val="both"/>
      </w:pPr>
      <w:r>
        <w:t xml:space="preserve">Die fachlichen Tabellen: </w:t>
      </w:r>
      <w:r>
        <w:rPr>
          <w:rFonts w:ascii="Consolas" w:hAnsi="Consolas"/>
          <w:color w:val="0B4A56"/>
          <w:sz w:val="20"/>
          <w:szCs w:val="20"/>
        </w:rPr>
        <w:t>SOZIAL_FALL</w:t>
      </w:r>
      <w:r>
        <w:t xml:space="preserve"> (Leistungsberechtigte), </w:t>
      </w:r>
      <w:r>
        <w:rPr>
          <w:rFonts w:ascii="Consolas" w:hAnsi="Consolas"/>
          <w:color w:val="0B4A56"/>
          <w:sz w:val="20"/>
          <w:szCs w:val="20"/>
        </w:rPr>
        <w:t>BEDARFSGEMEINSCHAFT</w:t>
      </w:r>
      <w:r>
        <w:t xml:space="preserve"> (Vorgänge mit Budget und Bankverbindung), </w:t>
      </w:r>
      <w:r>
        <w:rPr>
          <w:rFonts w:ascii="Consolas" w:hAnsi="Consolas"/>
          <w:color w:val="0B4A56"/>
          <w:sz w:val="20"/>
          <w:szCs w:val="20"/>
        </w:rPr>
        <w:t>ZAHLUNG</w:t>
      </w:r>
      <w:r>
        <w:t xml:space="preserve"> (Auszahlungen mit Vier-Augen-Workflow), </w:t>
      </w:r>
      <w:r>
        <w:rPr>
          <w:rFonts w:ascii="Consolas" w:hAnsi="Consolas"/>
          <w:color w:val="0B4A56"/>
          <w:sz w:val="20"/>
          <w:szCs w:val="20"/>
        </w:rPr>
        <w:t>BESCHEID</w:t>
      </w:r>
      <w:r>
        <w:t xml:space="preserve"> (Bewilligungsbescheide mit JSON-Snapshot), </w:t>
      </w:r>
      <w:r>
        <w:rPr>
          <w:rFonts w:ascii="Consolas" w:hAnsi="Consolas"/>
          <w:color w:val="0B4A56"/>
          <w:sz w:val="20"/>
          <w:szCs w:val="20"/>
        </w:rPr>
        <w:t>JOURNAL</w:t>
      </w:r>
      <w:r>
        <w:t xml:space="preserve"> (revisionssicheres Wer-wann-was) und </w:t>
      </w:r>
      <w:r>
        <w:rPr>
          <w:rFonts w:ascii="Consolas" w:hAnsi="Consolas"/>
          <w:color w:val="0B4A56"/>
          <w:sz w:val="20"/>
          <w:szCs w:val="20"/>
        </w:rPr>
        <w:t>SATZSTAND</w:t>
      </w:r>
      <w:r>
        <w:t xml:space="preserve"> (Regelbedarfsstufen je Jahr).</w:t>
      </w:r>
    </w:p>
    <w:p w14:paraId="1C4A30EF" w14:textId="77777777" w:rsidR="00EC7D8B" w:rsidRDefault="00000000">
      <w:pPr>
        <w:pStyle w:val="berschrift2"/>
        <w:keepNext/>
        <w:spacing w:before="320"/>
      </w:pPr>
      <w:bookmarkStart w:id="30" w:name="_Toc16"/>
      <w:bookmarkStart w:id="31" w:name="_Toc242984013"/>
      <w:r>
        <w:t xml:space="preserve">3.2 </w:t>
      </w:r>
      <w:proofErr w:type="spellStart"/>
      <w:r>
        <w:t>model</w:t>
      </w:r>
      <w:proofErr w:type="spellEnd"/>
      <w:r>
        <w:t xml:space="preserve"> — die Wertobjekte der Fachwelt</w:t>
      </w:r>
      <w:bookmarkEnd w:id="30"/>
      <w:bookmarkEnd w:id="31"/>
    </w:p>
    <w:p w14:paraId="65440CA6" w14:textId="77777777" w:rsidR="00EC7D8B" w:rsidRDefault="00000000">
      <w:pPr>
        <w:spacing w:after="120"/>
        <w:jc w:val="both"/>
      </w:pPr>
      <w:r>
        <w:t>Alle Modellklassen sind unveränderliche Records: Daten werden gelesen, nie an Ort und Stelle verändert — Änderungen laufen immer über die DAOs als neue schreibende Transaktion. Das macht Objekte im Umlauf unempfindlich gegen Nebenläufigkeit.</w:t>
      </w:r>
    </w:p>
    <w:p w14:paraId="7EA6359C" w14:textId="77777777" w:rsidR="00EC7D8B" w:rsidRDefault="00000000">
      <w:pPr>
        <w:pStyle w:val="berschrift3"/>
        <w:keepNext/>
        <w:pBdr>
          <w:left w:val="single" w:sz="14" w:space="8" w:color="1B6B7A"/>
        </w:pBdr>
        <w:spacing w:before="260" w:after="80"/>
        <w:ind w:left="140"/>
      </w:pPr>
      <w:proofErr w:type="spellStart"/>
      <w:r>
        <w:t>SozialFall</w:t>
      </w:r>
      <w:proofErr w:type="spellEnd"/>
    </w:p>
    <w:p w14:paraId="4963A4CC" w14:textId="77777777" w:rsidR="00EC7D8B" w:rsidRDefault="00000000">
      <w:pPr>
        <w:keepNext/>
        <w:spacing w:after="100" w:line="276" w:lineRule="auto"/>
      </w:pPr>
      <w:proofErr w:type="spellStart"/>
      <w:proofErr w:type="gramStart"/>
      <w:r>
        <w:rPr>
          <w:rFonts w:ascii="Consolas" w:hAnsi="Consolas"/>
          <w:color w:val="5A6B73"/>
          <w:sz w:val="18"/>
          <w:szCs w:val="18"/>
        </w:rPr>
        <w:t>de.allgemein.lmg.model</w:t>
      </w:r>
      <w:proofErr w:type="gramEnd"/>
      <w:r>
        <w:rPr>
          <w:rFonts w:ascii="Consolas" w:hAnsi="Consolas"/>
          <w:color w:val="5A6B73"/>
          <w:sz w:val="18"/>
          <w:szCs w:val="18"/>
        </w:rPr>
        <w:t>.SozialFall</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r>
        <w:rPr>
          <w:rFonts w:ascii="Consolas" w:hAnsi="Consolas"/>
          <w:color w:val="5A6B73"/>
          <w:sz w:val="18"/>
          <w:szCs w:val="18"/>
        </w:rPr>
        <w:t xml:space="preserve"> · 141 Zeilen</w:t>
      </w:r>
    </w:p>
    <w:p w14:paraId="0EB5FB28" w14:textId="77777777" w:rsidR="00EC7D8B" w:rsidRDefault="00000000">
      <w:pPr>
        <w:spacing w:after="120"/>
        <w:jc w:val="both"/>
      </w:pPr>
      <w:r>
        <w:t xml:space="preserve">Ein Leistungsberechtigter innerhalb einer Bedarfsgemeinschaft — der zentrale Fachbegriff des Projekts. Der </w:t>
      </w:r>
      <w:proofErr w:type="spellStart"/>
      <w:r>
        <w:t>Record</w:t>
      </w:r>
      <w:proofErr w:type="spellEnd"/>
      <w:r>
        <w:t xml:space="preserve"> trägt alle Parameter der Bedarfs- und Einkommensermittlung (Paragrafen 27a, 30, 82 SGB XII): Regelbedarfsstufe, Merkzeichen G, Schwangerschaft ab der 13. Woche, Alleinerziehend-Merkmal, dezentrale Warmwassererzeugung, Rente, Erwerbseinkommen und die Absetzbeträge.</w:t>
      </w:r>
    </w:p>
    <w:p w14:paraId="7670E739" w14:textId="77777777" w:rsidR="00EC7D8B" w:rsidRDefault="00000000">
      <w:pPr>
        <w:spacing w:after="120"/>
        <w:jc w:val="both"/>
      </w:pPr>
      <w:r>
        <w:t xml:space="preserve">Die VERSION-Spalte schützt die Maskenbearbeitung gegen verlorene Aktualisierungen zweier Sachbearbeiter (optimistisches </w:t>
      </w:r>
      <w:proofErr w:type="spellStart"/>
      <w:r>
        <w:t>Locking</w:t>
      </w:r>
      <w:proofErr w:type="spellEnd"/>
      <w:r>
        <w:t xml:space="preserve">). Besonders ist das Feld </w:t>
      </w:r>
      <w:proofErr w:type="spellStart"/>
      <w:r>
        <w:rPr>
          <w:rFonts w:ascii="Consolas" w:hAnsi="Consolas"/>
          <w:color w:val="0B4A56"/>
          <w:sz w:val="20"/>
          <w:szCs w:val="20"/>
        </w:rPr>
        <w:t>entbindungsmonat</w:t>
      </w:r>
      <w:proofErr w:type="spellEnd"/>
      <w:r>
        <w:t>: Es beendet den Schwangeren-Mehrbedarf fachlich zum Ende des Entbindungsmonats — nur dieser Mehrbedarf entfällt danach, die übrige Leistung bleibt berechenbar.</w:t>
      </w:r>
    </w:p>
    <w:p w14:paraId="646370AA" w14:textId="77777777" w:rsidR="00EC7D8B" w:rsidRDefault="00000000">
      <w:pPr>
        <w:pStyle w:val="berschrift3"/>
        <w:keepNext/>
        <w:pBdr>
          <w:left w:val="single" w:sz="14" w:space="8" w:color="1B6B7A"/>
        </w:pBdr>
        <w:spacing w:before="260" w:after="80"/>
        <w:ind w:left="140"/>
      </w:pPr>
      <w:r>
        <w:t>Bedarfsgemeinschaft</w:t>
      </w:r>
    </w:p>
    <w:p w14:paraId="55E60671" w14:textId="77777777" w:rsidR="00EC7D8B" w:rsidRDefault="00000000">
      <w:pPr>
        <w:keepNext/>
        <w:spacing w:after="100" w:line="276" w:lineRule="auto"/>
      </w:pPr>
      <w:proofErr w:type="spellStart"/>
      <w:proofErr w:type="gramStart"/>
      <w:r>
        <w:rPr>
          <w:rFonts w:ascii="Consolas" w:hAnsi="Consolas"/>
          <w:color w:val="5A6B73"/>
          <w:sz w:val="18"/>
          <w:szCs w:val="18"/>
        </w:rPr>
        <w:t>de.allgemein.lmg.model</w:t>
      </w:r>
      <w:proofErr w:type="gramEnd"/>
      <w:r>
        <w:rPr>
          <w:rFonts w:ascii="Consolas" w:hAnsi="Consolas"/>
          <w:color w:val="5A6B73"/>
          <w:sz w:val="18"/>
          <w:szCs w:val="18"/>
        </w:rPr>
        <w:t>.Bedarfsgemeinschaft</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p>
    <w:p w14:paraId="74921156" w14:textId="77777777" w:rsidR="00EC7D8B" w:rsidRDefault="00000000">
      <w:pPr>
        <w:spacing w:after="120"/>
        <w:jc w:val="both"/>
      </w:pPr>
      <w:r>
        <w:t xml:space="preserve">Der geführte Vorgang mit eindeutigem Aktenzeichen. Er trägt das verfügbare Restbudget pro Monat (bei jeder angeordneten Auszahlung gemindert, bei Storno zurückgebucht), die Standard-Bankverbindung (IBAN, BIC, Kontoinhaber) und das Gesamtvermögen für die Vermögensanrechnung nach Paragraf 90 SGB XII — das Schonvermögen (10.000 EUR </w:t>
      </w:r>
      <w:proofErr w:type="gramStart"/>
      <w:r>
        <w:t>je volljähriger Person</w:t>
      </w:r>
      <w:proofErr w:type="gramEnd"/>
      <w:r>
        <w:t xml:space="preserve"> zuzüglich 500 EUR </w:t>
      </w:r>
      <w:proofErr w:type="gramStart"/>
      <w:r>
        <w:t>je unterhaltener Person</w:t>
      </w:r>
      <w:proofErr w:type="gramEnd"/>
      <w:r>
        <w:t>) wird in der Berechnung abgezogen.</w:t>
      </w:r>
    </w:p>
    <w:p w14:paraId="22B00CDA" w14:textId="77777777" w:rsidR="00EC7D8B" w:rsidRDefault="00000000">
      <w:pPr>
        <w:spacing w:after="120"/>
        <w:jc w:val="both"/>
      </w:pPr>
      <w:r>
        <w:lastRenderedPageBreak/>
        <w:t>Auch hier schützt eine VERSION-Spalte gegen Gleichzeitigkeitskonflikte, und eine Historisierungskennzeile hält alte Stände nachvollziehbar, statt sie zu löschen.</w:t>
      </w:r>
    </w:p>
    <w:p w14:paraId="56E9BD5E" w14:textId="77777777" w:rsidR="00EC7D8B" w:rsidRDefault="00000000">
      <w:pPr>
        <w:pStyle w:val="berschrift3"/>
        <w:keepNext/>
        <w:pBdr>
          <w:left w:val="single" w:sz="14" w:space="8" w:color="1B6B7A"/>
        </w:pBdr>
        <w:spacing w:before="260" w:after="80"/>
        <w:ind w:left="140"/>
      </w:pPr>
      <w:r>
        <w:t>Zahlung</w:t>
      </w:r>
    </w:p>
    <w:p w14:paraId="6012A580" w14:textId="77777777" w:rsidR="00EC7D8B" w:rsidRDefault="00000000">
      <w:pPr>
        <w:keepNext/>
        <w:spacing w:after="100" w:line="276" w:lineRule="auto"/>
      </w:pPr>
      <w:proofErr w:type="spellStart"/>
      <w:proofErr w:type="gramStart"/>
      <w:r>
        <w:rPr>
          <w:rFonts w:ascii="Consolas" w:hAnsi="Consolas"/>
          <w:color w:val="5A6B73"/>
          <w:sz w:val="18"/>
          <w:szCs w:val="18"/>
        </w:rPr>
        <w:t>de.allgemein.lmg.model</w:t>
      </w:r>
      <w:proofErr w:type="gramEnd"/>
      <w:r>
        <w:rPr>
          <w:rFonts w:ascii="Consolas" w:hAnsi="Consolas"/>
          <w:color w:val="5A6B73"/>
          <w:sz w:val="18"/>
          <w:szCs w:val="18"/>
        </w:rPr>
        <w:t>.Zahlung</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p>
    <w:p w14:paraId="4663FDFC" w14:textId="77777777" w:rsidR="00EC7D8B" w:rsidRDefault="00000000">
      <w:pPr>
        <w:spacing w:after="120"/>
        <w:jc w:val="both"/>
      </w:pPr>
      <w:r>
        <w:t>Eine angeordnete Auszahlung. Der Status durchläuft ANGELEGT, BEREIT, UEBERGEBEN oder endet STORNIERT — die Zahlung entsteht immer im Status ANGELEGT und wartet auf die Freigabe durch eine zweite Person (Vier-Augen-Prinzip, serverseitig erzwungen). Die VORGANGS_NR ist eine UUID aus dem Frontend und macht den Buchungsvorgang idempotent: derselbe Request kann nie doppelt buchen.</w:t>
      </w:r>
    </w:p>
    <w:p w14:paraId="05138843" w14:textId="77777777" w:rsidR="00EC7D8B" w:rsidRDefault="00000000">
      <w:pPr>
        <w:spacing w:after="120"/>
        <w:jc w:val="both"/>
      </w:pPr>
      <w:r>
        <w:t xml:space="preserve">Das Feld </w:t>
      </w:r>
      <w:proofErr w:type="spellStart"/>
      <w:r>
        <w:rPr>
          <w:rFonts w:ascii="Consolas" w:hAnsi="Consolas"/>
          <w:color w:val="0B4A56"/>
          <w:sz w:val="20"/>
          <w:szCs w:val="20"/>
        </w:rPr>
        <w:t>vermoegenseinsatz</w:t>
      </w:r>
      <w:proofErr w:type="spellEnd"/>
      <w:r>
        <w:t xml:space="preserve"> dokumentiert den bei der Anordnung verbrauchten verwertbaren Vermögensanteil (Verbrauchsfortschreibung nach Paragraf 90 SGB XII) — das Storno bucht genau diesen dokumentierten Betrag zurück, neben dem Restbudget auch ins Vermögen.</w:t>
      </w:r>
    </w:p>
    <w:p w14:paraId="595F3267" w14:textId="77777777" w:rsidR="00EC7D8B" w:rsidRDefault="00000000">
      <w:pPr>
        <w:pStyle w:val="berschrift3"/>
        <w:keepNext/>
        <w:pBdr>
          <w:left w:val="single" w:sz="14" w:space="8" w:color="1B6B7A"/>
        </w:pBdr>
        <w:spacing w:before="260" w:after="80"/>
        <w:ind w:left="140"/>
      </w:pPr>
      <w:r>
        <w:t>Bescheid</w:t>
      </w:r>
    </w:p>
    <w:p w14:paraId="341D7EDF" w14:textId="77777777" w:rsidR="00EC7D8B" w:rsidRDefault="00000000">
      <w:pPr>
        <w:keepNext/>
        <w:spacing w:after="100" w:line="276" w:lineRule="auto"/>
      </w:pPr>
      <w:proofErr w:type="spellStart"/>
      <w:proofErr w:type="gramStart"/>
      <w:r>
        <w:rPr>
          <w:rFonts w:ascii="Consolas" w:hAnsi="Consolas"/>
          <w:color w:val="5A6B73"/>
          <w:sz w:val="18"/>
          <w:szCs w:val="18"/>
        </w:rPr>
        <w:t>de.allgemein.lmg.model</w:t>
      </w:r>
      <w:proofErr w:type="gramEnd"/>
      <w:r>
        <w:rPr>
          <w:rFonts w:ascii="Consolas" w:hAnsi="Consolas"/>
          <w:color w:val="5A6B73"/>
          <w:sz w:val="18"/>
          <w:szCs w:val="18"/>
        </w:rPr>
        <w:t>.Bescheid</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p>
    <w:p w14:paraId="6A99089A" w14:textId="77777777" w:rsidR="00EC7D8B" w:rsidRDefault="00000000">
      <w:pPr>
        <w:spacing w:after="120"/>
        <w:jc w:val="both"/>
      </w:pPr>
      <w:r>
        <w:t xml:space="preserve">Der Bewilligungsbescheid nach Paragraf 44 SGB XII: Bewilligungszeitraum, Zahlbetrag des ersten Monats, Status ERTEILT oder AUFGEHOBEN. Im Feld BERECHNUNG liegt der versionierte JSON-Snapshot des Berechnungsergebnisses aus dem Erteilungszeitpunkt — der Nachdruck zeigt ausschließlich diesen Stand, auch wenn die </w:t>
      </w:r>
      <w:proofErr w:type="spellStart"/>
      <w:r>
        <w:t>SozialFälle</w:t>
      </w:r>
      <w:proofErr w:type="spellEnd"/>
      <w:r>
        <w:t xml:space="preserve"> später geändert werden (revisionssicherer Nachdruck). Die Snapshot-Version 2 enthält zusätzlich die verbindlichen Einzelbeträge aller Bewilligungsmonate.</w:t>
      </w:r>
    </w:p>
    <w:p w14:paraId="0BEBE2C0" w14:textId="77777777" w:rsidR="00EC7D8B" w:rsidRDefault="00000000">
      <w:pPr>
        <w:pStyle w:val="berschrift3"/>
        <w:keepNext/>
        <w:pBdr>
          <w:left w:val="single" w:sz="14" w:space="8" w:color="1B6B7A"/>
        </w:pBdr>
        <w:spacing w:before="260" w:after="80"/>
        <w:ind w:left="140"/>
      </w:pPr>
      <w:r>
        <w:t>Journaleintrag</w:t>
      </w:r>
    </w:p>
    <w:p w14:paraId="73669B51" w14:textId="77777777" w:rsidR="00EC7D8B" w:rsidRDefault="00000000">
      <w:pPr>
        <w:keepNext/>
        <w:spacing w:after="100" w:line="276" w:lineRule="auto"/>
      </w:pPr>
      <w:proofErr w:type="spellStart"/>
      <w:proofErr w:type="gramStart"/>
      <w:r>
        <w:rPr>
          <w:rFonts w:ascii="Consolas" w:hAnsi="Consolas"/>
          <w:color w:val="5A6B73"/>
          <w:sz w:val="18"/>
          <w:szCs w:val="18"/>
        </w:rPr>
        <w:t>de.allgemein.lmg.model</w:t>
      </w:r>
      <w:proofErr w:type="gramEnd"/>
      <w:r>
        <w:rPr>
          <w:rFonts w:ascii="Consolas" w:hAnsi="Consolas"/>
          <w:color w:val="5A6B73"/>
          <w:sz w:val="18"/>
          <w:szCs w:val="18"/>
        </w:rPr>
        <w:t>.Journaleintrag</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p>
    <w:p w14:paraId="42615BC6" w14:textId="77777777" w:rsidR="00EC7D8B" w:rsidRDefault="00000000">
      <w:pPr>
        <w:spacing w:after="120"/>
        <w:jc w:val="both"/>
      </w:pPr>
      <w:r>
        <w:t>Ein Eintrag im revisionssicheren Buchungsjournal: Wer hat wann was angeordnet? Die Referenz auf die Bedarfsgemeinschaft ist bewusst nur logisch (kein Fremdschlüssel), damit Einträge auch nach der Historisierung des Vorgangs erhalten bleiben — Nachvollziehbarkeit überdauert den Lebenszyklus des Vorgangs.</w:t>
      </w:r>
    </w:p>
    <w:p w14:paraId="2C0AA3C2" w14:textId="77777777" w:rsidR="00EC7D8B" w:rsidRDefault="00000000">
      <w:pPr>
        <w:pStyle w:val="berschrift3"/>
        <w:keepNext/>
        <w:pBdr>
          <w:left w:val="single" w:sz="14" w:space="8" w:color="1B6B7A"/>
        </w:pBdr>
        <w:spacing w:before="260" w:after="80"/>
        <w:ind w:left="140"/>
      </w:pPr>
      <w:proofErr w:type="spellStart"/>
      <w:r>
        <w:t>VorgangslisteEintrag</w:t>
      </w:r>
      <w:proofErr w:type="spellEnd"/>
    </w:p>
    <w:p w14:paraId="2F390160" w14:textId="77777777" w:rsidR="00EC7D8B" w:rsidRDefault="00000000">
      <w:pPr>
        <w:keepNext/>
        <w:spacing w:after="100" w:line="276" w:lineRule="auto"/>
      </w:pPr>
      <w:proofErr w:type="spellStart"/>
      <w:proofErr w:type="gramStart"/>
      <w:r>
        <w:rPr>
          <w:rFonts w:ascii="Consolas" w:hAnsi="Consolas"/>
          <w:color w:val="5A6B73"/>
          <w:sz w:val="18"/>
          <w:szCs w:val="18"/>
        </w:rPr>
        <w:t>de.allgemein.lmg.model</w:t>
      </w:r>
      <w:proofErr w:type="gramEnd"/>
      <w:r>
        <w:rPr>
          <w:rFonts w:ascii="Consolas" w:hAnsi="Consolas"/>
          <w:color w:val="5A6B73"/>
          <w:sz w:val="18"/>
          <w:szCs w:val="18"/>
        </w:rPr>
        <w:t>.VorgangslisteEintrag</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p>
    <w:p w14:paraId="38F686AF" w14:textId="77777777" w:rsidR="00EC7D8B" w:rsidRDefault="00000000">
      <w:pPr>
        <w:spacing w:after="120"/>
        <w:jc w:val="both"/>
      </w:pPr>
      <w:r>
        <w:t xml:space="preserve">Eine Zeile der Fallübersicht: Bedarfsgemeinschaft plus Vorschau des Zahlbetrags, berechnet über alle zugehörigen </w:t>
      </w:r>
      <w:proofErr w:type="spellStart"/>
      <w:r>
        <w:t>SozialFälle</w:t>
      </w:r>
      <w:proofErr w:type="spellEnd"/>
      <w:r>
        <w:t>. Ist die Berechnung nicht möglich (etwa fehlende Regelbedarfsstufe), steht die Vorschau auf null und die Maske zeigt einen Hinweis — die Liste bleibt lesbar.</w:t>
      </w:r>
    </w:p>
    <w:p w14:paraId="6499B400" w14:textId="77777777" w:rsidR="00EC7D8B" w:rsidRDefault="00000000">
      <w:pPr>
        <w:pStyle w:val="berschrift2"/>
        <w:keepNext/>
        <w:spacing w:before="320"/>
      </w:pPr>
      <w:bookmarkStart w:id="32" w:name="_Toc17"/>
      <w:bookmarkStart w:id="33" w:name="_Toc242984014"/>
      <w:r>
        <w:lastRenderedPageBreak/>
        <w:t xml:space="preserve">3.3 </w:t>
      </w:r>
      <w:proofErr w:type="spellStart"/>
      <w:r>
        <w:t>dao</w:t>
      </w:r>
      <w:proofErr w:type="spellEnd"/>
      <w:r>
        <w:t xml:space="preserve"> — der Datenzugriff</w:t>
      </w:r>
      <w:bookmarkEnd w:id="32"/>
      <w:bookmarkEnd w:id="33"/>
    </w:p>
    <w:p w14:paraId="779B4853" w14:textId="77777777" w:rsidR="00EC7D8B" w:rsidRDefault="00000000">
      <w:pPr>
        <w:keepNext/>
        <w:spacing w:after="120"/>
        <w:jc w:val="both"/>
      </w:pPr>
      <w:r>
        <w:t xml:space="preserve">Die DAOs folgen einer strikten Regel: Alle Methoden laufen auf der Verbindung der laufenden Transaktion (aus dem </w:t>
      </w:r>
      <w:proofErr w:type="spellStart"/>
      <w:r>
        <w:t>TxContext</w:t>
      </w:r>
      <w:proofErr w:type="spellEnd"/>
      <w:r>
        <w:t>); DAOs öffnen und schließen bewusst keine eigenen Verbindungen, sonst brächen die Transaktionsgrenzen. So entsteht nie ein Mischzustand aus transaktionalen und freien Zugriffen.</w:t>
      </w:r>
    </w:p>
    <w:p w14:paraId="1B32A0AD" w14:textId="77777777" w:rsidR="00EC7D8B" w:rsidRDefault="00000000">
      <w:pPr>
        <w:keepNext/>
        <w:spacing w:before="160" w:after="80"/>
      </w:pPr>
      <w:r>
        <w:rPr>
          <w:b/>
          <w:bCs/>
          <w:color w:val="5A6B73"/>
          <w:sz w:val="20"/>
          <w:szCs w:val="20"/>
        </w:rPr>
        <w:t>Tabelle 2: DAOs und ihre Tabellen</w:t>
      </w:r>
    </w:p>
    <w:tbl>
      <w:tblPr>
        <w:tblW w:w="5000" w:type="pct"/>
        <w:tblBorders>
          <w:top w:val="single" w:sz="4" w:space="0" w:color="1B6B7A"/>
          <w:bottom w:val="single" w:sz="4" w:space="0" w:color="1B6B7A"/>
          <w:insideH w:val="single" w:sz="1" w:space="0" w:color="C8DDE2"/>
        </w:tblBorders>
        <w:tblLook w:val="04A0" w:firstRow="1" w:lastRow="0" w:firstColumn="1" w:lastColumn="0" w:noHBand="0" w:noVBand="1"/>
      </w:tblPr>
      <w:tblGrid>
        <w:gridCol w:w="2637"/>
        <w:gridCol w:w="2812"/>
        <w:gridCol w:w="3339"/>
      </w:tblGrid>
      <w:tr w:rsidR="00EC7D8B" w14:paraId="57255EBD" w14:textId="77777777">
        <w:trPr>
          <w:cantSplit/>
          <w:tblHeader/>
        </w:trPr>
        <w:tc>
          <w:tcPr>
            <w:tcW w:w="1500" w:type="pct"/>
            <w:shd w:val="clear" w:color="auto" w:fill="1B6B7A"/>
            <w:tcMar>
              <w:top w:w="70" w:type="dxa"/>
              <w:left w:w="120" w:type="dxa"/>
              <w:bottom w:w="70" w:type="dxa"/>
              <w:right w:w="120" w:type="dxa"/>
            </w:tcMar>
          </w:tcPr>
          <w:p w14:paraId="004ABE88" w14:textId="77777777" w:rsidR="00EC7D8B" w:rsidRDefault="00000000">
            <w:pPr>
              <w:spacing w:line="276" w:lineRule="auto"/>
            </w:pPr>
            <w:r>
              <w:rPr>
                <w:b/>
                <w:bCs/>
                <w:color w:val="FFFFFF"/>
                <w:sz w:val="20"/>
                <w:szCs w:val="20"/>
              </w:rPr>
              <w:t>DAO</w:t>
            </w:r>
          </w:p>
        </w:tc>
        <w:tc>
          <w:tcPr>
            <w:tcW w:w="1600" w:type="pct"/>
            <w:shd w:val="clear" w:color="auto" w:fill="1B6B7A"/>
            <w:tcMar>
              <w:top w:w="70" w:type="dxa"/>
              <w:left w:w="120" w:type="dxa"/>
              <w:bottom w:w="70" w:type="dxa"/>
              <w:right w:w="120" w:type="dxa"/>
            </w:tcMar>
          </w:tcPr>
          <w:p w14:paraId="4E7C04ED" w14:textId="77777777" w:rsidR="00EC7D8B" w:rsidRDefault="00000000">
            <w:pPr>
              <w:spacing w:line="276" w:lineRule="auto"/>
            </w:pPr>
            <w:r>
              <w:rPr>
                <w:b/>
                <w:bCs/>
                <w:color w:val="FFFFFF"/>
                <w:sz w:val="20"/>
                <w:szCs w:val="20"/>
              </w:rPr>
              <w:t>Tabelle</w:t>
            </w:r>
          </w:p>
        </w:tc>
        <w:tc>
          <w:tcPr>
            <w:tcW w:w="1900" w:type="pct"/>
            <w:shd w:val="clear" w:color="auto" w:fill="1B6B7A"/>
            <w:tcMar>
              <w:top w:w="70" w:type="dxa"/>
              <w:left w:w="120" w:type="dxa"/>
              <w:bottom w:w="70" w:type="dxa"/>
              <w:right w:w="120" w:type="dxa"/>
            </w:tcMar>
          </w:tcPr>
          <w:p w14:paraId="06D5E7AC" w14:textId="77777777" w:rsidR="00EC7D8B" w:rsidRDefault="00000000">
            <w:pPr>
              <w:spacing w:line="276" w:lineRule="auto"/>
            </w:pPr>
            <w:r>
              <w:rPr>
                <w:b/>
                <w:bCs/>
                <w:color w:val="FFFFFF"/>
                <w:sz w:val="20"/>
                <w:szCs w:val="20"/>
              </w:rPr>
              <w:t>Besonderheit</w:t>
            </w:r>
          </w:p>
        </w:tc>
      </w:tr>
      <w:tr w:rsidR="00EC7D8B" w14:paraId="5514E1E8" w14:textId="77777777">
        <w:trPr>
          <w:cantSplit/>
        </w:trPr>
        <w:tc>
          <w:tcPr>
            <w:tcW w:w="1500" w:type="pct"/>
            <w:shd w:val="clear" w:color="auto" w:fill="EDF3F5"/>
            <w:tcMar>
              <w:top w:w="60" w:type="dxa"/>
              <w:left w:w="120" w:type="dxa"/>
              <w:bottom w:w="60" w:type="dxa"/>
              <w:right w:w="120" w:type="dxa"/>
            </w:tcMar>
          </w:tcPr>
          <w:p w14:paraId="4FB06DC6" w14:textId="77777777" w:rsidR="00EC7D8B" w:rsidRDefault="00000000">
            <w:pPr>
              <w:spacing w:line="276" w:lineRule="auto"/>
            </w:pPr>
            <w:proofErr w:type="spellStart"/>
            <w:r>
              <w:rPr>
                <w:sz w:val="20"/>
                <w:szCs w:val="20"/>
              </w:rPr>
              <w:t>SozialFallDao</w:t>
            </w:r>
            <w:proofErr w:type="spellEnd"/>
          </w:p>
        </w:tc>
        <w:tc>
          <w:tcPr>
            <w:tcW w:w="1600" w:type="pct"/>
            <w:shd w:val="clear" w:color="auto" w:fill="EDF3F5"/>
            <w:tcMar>
              <w:top w:w="60" w:type="dxa"/>
              <w:left w:w="120" w:type="dxa"/>
              <w:bottom w:w="60" w:type="dxa"/>
              <w:right w:w="120" w:type="dxa"/>
            </w:tcMar>
          </w:tcPr>
          <w:p w14:paraId="3E701B19" w14:textId="77777777" w:rsidR="00EC7D8B" w:rsidRDefault="00000000">
            <w:pPr>
              <w:spacing w:line="276" w:lineRule="auto"/>
            </w:pPr>
            <w:r>
              <w:rPr>
                <w:sz w:val="20"/>
                <w:szCs w:val="20"/>
              </w:rPr>
              <w:t>SOZIAL_FALL</w:t>
            </w:r>
          </w:p>
        </w:tc>
        <w:tc>
          <w:tcPr>
            <w:tcW w:w="1900" w:type="pct"/>
            <w:shd w:val="clear" w:color="auto" w:fill="EDF3F5"/>
            <w:tcMar>
              <w:top w:w="60" w:type="dxa"/>
              <w:left w:w="120" w:type="dxa"/>
              <w:bottom w:w="60" w:type="dxa"/>
              <w:right w:w="120" w:type="dxa"/>
            </w:tcMar>
          </w:tcPr>
          <w:p w14:paraId="6DCC6393" w14:textId="77777777" w:rsidR="00EC7D8B" w:rsidRDefault="00000000">
            <w:pPr>
              <w:spacing w:line="276" w:lineRule="auto"/>
            </w:pPr>
            <w:r>
              <w:rPr>
                <w:sz w:val="20"/>
                <w:szCs w:val="20"/>
              </w:rPr>
              <w:t xml:space="preserve">aktualisiere mit VERSION-Prüfung (optimistisches </w:t>
            </w:r>
            <w:proofErr w:type="spellStart"/>
            <w:r>
              <w:rPr>
                <w:sz w:val="20"/>
                <w:szCs w:val="20"/>
              </w:rPr>
              <w:t>Locking</w:t>
            </w:r>
            <w:proofErr w:type="spellEnd"/>
            <w:r>
              <w:rPr>
                <w:sz w:val="20"/>
                <w:szCs w:val="20"/>
              </w:rPr>
              <w:t>)</w:t>
            </w:r>
          </w:p>
        </w:tc>
      </w:tr>
      <w:tr w:rsidR="00EC7D8B" w14:paraId="472651EA" w14:textId="77777777">
        <w:trPr>
          <w:cantSplit/>
        </w:trPr>
        <w:tc>
          <w:tcPr>
            <w:tcW w:w="1500" w:type="pct"/>
            <w:tcMar>
              <w:top w:w="60" w:type="dxa"/>
              <w:left w:w="120" w:type="dxa"/>
              <w:bottom w:w="60" w:type="dxa"/>
              <w:right w:w="120" w:type="dxa"/>
            </w:tcMar>
          </w:tcPr>
          <w:p w14:paraId="1D2B6384" w14:textId="77777777" w:rsidR="00EC7D8B" w:rsidRDefault="00000000">
            <w:pPr>
              <w:spacing w:line="276" w:lineRule="auto"/>
            </w:pPr>
            <w:proofErr w:type="spellStart"/>
            <w:r>
              <w:rPr>
                <w:sz w:val="20"/>
                <w:szCs w:val="20"/>
              </w:rPr>
              <w:t>BedarfsgemeinschaftDao</w:t>
            </w:r>
            <w:proofErr w:type="spellEnd"/>
          </w:p>
        </w:tc>
        <w:tc>
          <w:tcPr>
            <w:tcW w:w="1600" w:type="pct"/>
            <w:tcMar>
              <w:top w:w="60" w:type="dxa"/>
              <w:left w:w="120" w:type="dxa"/>
              <w:bottom w:w="60" w:type="dxa"/>
              <w:right w:w="120" w:type="dxa"/>
            </w:tcMar>
          </w:tcPr>
          <w:p w14:paraId="24957773" w14:textId="77777777" w:rsidR="00EC7D8B" w:rsidRDefault="00000000">
            <w:pPr>
              <w:spacing w:line="276" w:lineRule="auto"/>
            </w:pPr>
            <w:r>
              <w:rPr>
                <w:sz w:val="20"/>
                <w:szCs w:val="20"/>
              </w:rPr>
              <w:t>BEDARFSGEMEINSCHAFT</w:t>
            </w:r>
          </w:p>
        </w:tc>
        <w:tc>
          <w:tcPr>
            <w:tcW w:w="1900" w:type="pct"/>
            <w:tcMar>
              <w:top w:w="60" w:type="dxa"/>
              <w:left w:w="120" w:type="dxa"/>
              <w:bottom w:w="60" w:type="dxa"/>
              <w:right w:w="120" w:type="dxa"/>
            </w:tcMar>
          </w:tcPr>
          <w:p w14:paraId="15144EF9" w14:textId="77777777" w:rsidR="00EC7D8B" w:rsidRDefault="00000000">
            <w:pPr>
              <w:spacing w:line="276" w:lineRule="auto"/>
            </w:pPr>
            <w:r>
              <w:rPr>
                <w:sz w:val="20"/>
                <w:szCs w:val="20"/>
              </w:rPr>
              <w:t>BG-Sperre (FOR UPDATE), Budget, Historisierung</w:t>
            </w:r>
          </w:p>
        </w:tc>
      </w:tr>
      <w:tr w:rsidR="00EC7D8B" w14:paraId="7CF8DF55" w14:textId="77777777">
        <w:trPr>
          <w:cantSplit/>
        </w:trPr>
        <w:tc>
          <w:tcPr>
            <w:tcW w:w="1500" w:type="pct"/>
            <w:shd w:val="clear" w:color="auto" w:fill="EDF3F5"/>
            <w:tcMar>
              <w:top w:w="60" w:type="dxa"/>
              <w:left w:w="120" w:type="dxa"/>
              <w:bottom w:w="60" w:type="dxa"/>
              <w:right w:w="120" w:type="dxa"/>
            </w:tcMar>
          </w:tcPr>
          <w:p w14:paraId="24216556" w14:textId="77777777" w:rsidR="00EC7D8B" w:rsidRDefault="00000000">
            <w:pPr>
              <w:spacing w:line="276" w:lineRule="auto"/>
            </w:pPr>
            <w:proofErr w:type="spellStart"/>
            <w:r>
              <w:rPr>
                <w:sz w:val="20"/>
                <w:szCs w:val="20"/>
              </w:rPr>
              <w:t>ZahlungDao</w:t>
            </w:r>
            <w:proofErr w:type="spellEnd"/>
          </w:p>
        </w:tc>
        <w:tc>
          <w:tcPr>
            <w:tcW w:w="1600" w:type="pct"/>
            <w:shd w:val="clear" w:color="auto" w:fill="EDF3F5"/>
            <w:tcMar>
              <w:top w:w="60" w:type="dxa"/>
              <w:left w:w="120" w:type="dxa"/>
              <w:bottom w:w="60" w:type="dxa"/>
              <w:right w:w="120" w:type="dxa"/>
            </w:tcMar>
          </w:tcPr>
          <w:p w14:paraId="30395A3A" w14:textId="77777777" w:rsidR="00EC7D8B" w:rsidRDefault="00000000">
            <w:pPr>
              <w:spacing w:line="276" w:lineRule="auto"/>
            </w:pPr>
            <w:r>
              <w:rPr>
                <w:sz w:val="20"/>
                <w:szCs w:val="20"/>
              </w:rPr>
              <w:t>ZAHLUNG</w:t>
            </w:r>
          </w:p>
        </w:tc>
        <w:tc>
          <w:tcPr>
            <w:tcW w:w="1900" w:type="pct"/>
            <w:shd w:val="clear" w:color="auto" w:fill="EDF3F5"/>
            <w:tcMar>
              <w:top w:w="60" w:type="dxa"/>
              <w:left w:w="120" w:type="dxa"/>
              <w:bottom w:w="60" w:type="dxa"/>
              <w:right w:w="120" w:type="dxa"/>
            </w:tcMar>
          </w:tcPr>
          <w:p w14:paraId="23472F93" w14:textId="77777777" w:rsidR="00EC7D8B" w:rsidRDefault="00000000">
            <w:pPr>
              <w:spacing w:line="276" w:lineRule="auto"/>
            </w:pPr>
            <w:r>
              <w:rPr>
                <w:sz w:val="20"/>
                <w:szCs w:val="20"/>
              </w:rPr>
              <w:t>VORGANGS_NR eindeutig (Idempotenz-Anker)</w:t>
            </w:r>
          </w:p>
        </w:tc>
      </w:tr>
      <w:tr w:rsidR="00EC7D8B" w14:paraId="7D973920" w14:textId="77777777">
        <w:trPr>
          <w:cantSplit/>
        </w:trPr>
        <w:tc>
          <w:tcPr>
            <w:tcW w:w="1500" w:type="pct"/>
            <w:tcMar>
              <w:top w:w="60" w:type="dxa"/>
              <w:left w:w="120" w:type="dxa"/>
              <w:bottom w:w="60" w:type="dxa"/>
              <w:right w:w="120" w:type="dxa"/>
            </w:tcMar>
          </w:tcPr>
          <w:p w14:paraId="729CC446" w14:textId="77777777" w:rsidR="00EC7D8B" w:rsidRDefault="00000000">
            <w:pPr>
              <w:spacing w:line="276" w:lineRule="auto"/>
            </w:pPr>
            <w:proofErr w:type="spellStart"/>
            <w:r>
              <w:rPr>
                <w:sz w:val="20"/>
                <w:szCs w:val="20"/>
              </w:rPr>
              <w:t>BescheidDao</w:t>
            </w:r>
            <w:proofErr w:type="spellEnd"/>
          </w:p>
        </w:tc>
        <w:tc>
          <w:tcPr>
            <w:tcW w:w="1600" w:type="pct"/>
            <w:tcMar>
              <w:top w:w="60" w:type="dxa"/>
              <w:left w:w="120" w:type="dxa"/>
              <w:bottom w:w="60" w:type="dxa"/>
              <w:right w:w="120" w:type="dxa"/>
            </w:tcMar>
          </w:tcPr>
          <w:p w14:paraId="0322B023" w14:textId="77777777" w:rsidR="00EC7D8B" w:rsidRDefault="00000000">
            <w:pPr>
              <w:spacing w:line="276" w:lineRule="auto"/>
            </w:pPr>
            <w:r>
              <w:rPr>
                <w:sz w:val="20"/>
                <w:szCs w:val="20"/>
              </w:rPr>
              <w:t>BESCHEID</w:t>
            </w:r>
          </w:p>
        </w:tc>
        <w:tc>
          <w:tcPr>
            <w:tcW w:w="1900" w:type="pct"/>
            <w:tcMar>
              <w:top w:w="60" w:type="dxa"/>
              <w:left w:w="120" w:type="dxa"/>
              <w:bottom w:w="60" w:type="dxa"/>
              <w:right w:w="120" w:type="dxa"/>
            </w:tcMar>
          </w:tcPr>
          <w:p w14:paraId="64CBE82F" w14:textId="77777777" w:rsidR="00EC7D8B" w:rsidRDefault="00000000">
            <w:pPr>
              <w:spacing w:line="276" w:lineRule="auto"/>
            </w:pPr>
            <w:r>
              <w:rPr>
                <w:sz w:val="20"/>
                <w:szCs w:val="20"/>
              </w:rPr>
              <w:t>Snapshot-CLOB versioniert speichern und lesen</w:t>
            </w:r>
          </w:p>
        </w:tc>
      </w:tr>
      <w:tr w:rsidR="00EC7D8B" w14:paraId="2AFF6F22" w14:textId="77777777">
        <w:trPr>
          <w:cantSplit/>
        </w:trPr>
        <w:tc>
          <w:tcPr>
            <w:tcW w:w="1500" w:type="pct"/>
            <w:shd w:val="clear" w:color="auto" w:fill="EDF3F5"/>
            <w:tcMar>
              <w:top w:w="60" w:type="dxa"/>
              <w:left w:w="120" w:type="dxa"/>
              <w:bottom w:w="60" w:type="dxa"/>
              <w:right w:w="120" w:type="dxa"/>
            </w:tcMar>
          </w:tcPr>
          <w:p w14:paraId="2D77809B" w14:textId="77777777" w:rsidR="00EC7D8B" w:rsidRDefault="00000000">
            <w:pPr>
              <w:spacing w:line="276" w:lineRule="auto"/>
            </w:pPr>
            <w:proofErr w:type="spellStart"/>
            <w:r>
              <w:rPr>
                <w:sz w:val="20"/>
                <w:szCs w:val="20"/>
              </w:rPr>
              <w:t>JournalDao</w:t>
            </w:r>
            <w:proofErr w:type="spellEnd"/>
          </w:p>
        </w:tc>
        <w:tc>
          <w:tcPr>
            <w:tcW w:w="1600" w:type="pct"/>
            <w:shd w:val="clear" w:color="auto" w:fill="EDF3F5"/>
            <w:tcMar>
              <w:top w:w="60" w:type="dxa"/>
              <w:left w:w="120" w:type="dxa"/>
              <w:bottom w:w="60" w:type="dxa"/>
              <w:right w:w="120" w:type="dxa"/>
            </w:tcMar>
          </w:tcPr>
          <w:p w14:paraId="5C8D7713" w14:textId="77777777" w:rsidR="00EC7D8B" w:rsidRDefault="00000000">
            <w:pPr>
              <w:spacing w:line="276" w:lineRule="auto"/>
            </w:pPr>
            <w:r>
              <w:rPr>
                <w:sz w:val="20"/>
                <w:szCs w:val="20"/>
              </w:rPr>
              <w:t>JOURNAL</w:t>
            </w:r>
          </w:p>
        </w:tc>
        <w:tc>
          <w:tcPr>
            <w:tcW w:w="1900" w:type="pct"/>
            <w:shd w:val="clear" w:color="auto" w:fill="EDF3F5"/>
            <w:tcMar>
              <w:top w:w="60" w:type="dxa"/>
              <w:left w:w="120" w:type="dxa"/>
              <w:bottom w:w="60" w:type="dxa"/>
              <w:right w:w="120" w:type="dxa"/>
            </w:tcMar>
          </w:tcPr>
          <w:p w14:paraId="3A1DF9A8" w14:textId="77777777" w:rsidR="00EC7D8B" w:rsidRDefault="00000000">
            <w:pPr>
              <w:spacing w:line="276" w:lineRule="auto"/>
            </w:pPr>
            <w:r>
              <w:rPr>
                <w:sz w:val="20"/>
                <w:szCs w:val="20"/>
              </w:rPr>
              <w:t>revisionssicher, atomar in derselben Transaktion</w:t>
            </w:r>
          </w:p>
        </w:tc>
      </w:tr>
      <w:tr w:rsidR="00EC7D8B" w14:paraId="72502406" w14:textId="77777777">
        <w:trPr>
          <w:cantSplit/>
        </w:trPr>
        <w:tc>
          <w:tcPr>
            <w:tcW w:w="1500" w:type="pct"/>
            <w:tcMar>
              <w:top w:w="60" w:type="dxa"/>
              <w:left w:w="120" w:type="dxa"/>
              <w:bottom w:w="60" w:type="dxa"/>
              <w:right w:w="120" w:type="dxa"/>
            </w:tcMar>
          </w:tcPr>
          <w:p w14:paraId="245741AC" w14:textId="77777777" w:rsidR="00EC7D8B" w:rsidRDefault="00000000">
            <w:pPr>
              <w:spacing w:line="276" w:lineRule="auto"/>
            </w:pPr>
            <w:r>
              <w:rPr>
                <w:sz w:val="20"/>
                <w:szCs w:val="20"/>
              </w:rPr>
              <w:t>SatzstandDao</w:t>
            </w:r>
          </w:p>
        </w:tc>
        <w:tc>
          <w:tcPr>
            <w:tcW w:w="1600" w:type="pct"/>
            <w:tcMar>
              <w:top w:w="60" w:type="dxa"/>
              <w:left w:w="120" w:type="dxa"/>
              <w:bottom w:w="60" w:type="dxa"/>
              <w:right w:w="120" w:type="dxa"/>
            </w:tcMar>
          </w:tcPr>
          <w:p w14:paraId="427F208D" w14:textId="77777777" w:rsidR="00EC7D8B" w:rsidRDefault="00000000">
            <w:pPr>
              <w:spacing w:line="276" w:lineRule="auto"/>
            </w:pPr>
            <w:r>
              <w:rPr>
                <w:sz w:val="20"/>
                <w:szCs w:val="20"/>
              </w:rPr>
              <w:t>SATZSTAND</w:t>
            </w:r>
          </w:p>
        </w:tc>
        <w:tc>
          <w:tcPr>
            <w:tcW w:w="1900" w:type="pct"/>
            <w:tcMar>
              <w:top w:w="60" w:type="dxa"/>
              <w:left w:w="120" w:type="dxa"/>
              <w:bottom w:w="60" w:type="dxa"/>
              <w:right w:w="120" w:type="dxa"/>
            </w:tcMar>
          </w:tcPr>
          <w:p w14:paraId="22109C7D" w14:textId="77777777" w:rsidR="00EC7D8B" w:rsidRDefault="00000000">
            <w:pPr>
              <w:spacing w:line="276" w:lineRule="auto"/>
            </w:pPr>
            <w:r>
              <w:rPr>
                <w:sz w:val="20"/>
                <w:szCs w:val="20"/>
              </w:rPr>
              <w:t>größter GUELTIG_AB kleiner gleich Bezugsmonat</w:t>
            </w:r>
          </w:p>
        </w:tc>
      </w:tr>
    </w:tbl>
    <w:p w14:paraId="0782F85D" w14:textId="77777777" w:rsidR="00EC7D8B" w:rsidRDefault="00000000">
      <w:pPr>
        <w:pStyle w:val="berschrift3"/>
        <w:keepNext/>
        <w:pBdr>
          <w:left w:val="single" w:sz="14" w:space="8" w:color="1B6B7A"/>
        </w:pBdr>
        <w:spacing w:before="260" w:after="80"/>
        <w:ind w:left="140"/>
      </w:pPr>
      <w:proofErr w:type="spellStart"/>
      <w:r>
        <w:t>SozialFallDao</w:t>
      </w:r>
      <w:proofErr w:type="spellEnd"/>
    </w:p>
    <w:p w14:paraId="467EB6C4" w14:textId="77777777" w:rsidR="00EC7D8B" w:rsidRDefault="00000000">
      <w:pPr>
        <w:keepNext/>
        <w:spacing w:after="100" w:line="276" w:lineRule="auto"/>
      </w:pPr>
      <w:proofErr w:type="spellStart"/>
      <w:proofErr w:type="gramStart"/>
      <w:r>
        <w:rPr>
          <w:rFonts w:ascii="Consolas" w:hAnsi="Consolas"/>
          <w:color w:val="5A6B73"/>
          <w:sz w:val="18"/>
          <w:szCs w:val="18"/>
        </w:rPr>
        <w:t>de.allgemein.lmg.dao.SozialFallDao</w:t>
      </w:r>
      <w:proofErr w:type="spellEnd"/>
      <w:proofErr w:type="gramEnd"/>
      <w:r>
        <w:rPr>
          <w:rFonts w:ascii="Consolas" w:hAnsi="Consolas"/>
          <w:color w:val="5A6B73"/>
          <w:sz w:val="18"/>
          <w:szCs w:val="18"/>
        </w:rPr>
        <w:t xml:space="preserve"> · 174 Zeilen</w:t>
      </w:r>
    </w:p>
    <w:p w14:paraId="063652C6" w14:textId="77777777" w:rsidR="00EC7D8B" w:rsidRDefault="00000000">
      <w:pPr>
        <w:spacing w:after="120"/>
        <w:jc w:val="both"/>
      </w:pPr>
      <w:r>
        <w:t xml:space="preserve">Datenzugriff für SOZIAL_FALL, die Parameter der Bedarfs- und Einkommensermittlung. Maskenänderungen laufen über </w:t>
      </w:r>
      <w:r>
        <w:rPr>
          <w:rFonts w:ascii="Consolas" w:hAnsi="Consolas"/>
          <w:color w:val="0B4A56"/>
          <w:sz w:val="20"/>
          <w:szCs w:val="20"/>
        </w:rPr>
        <w:t>aktualisiere</w:t>
      </w:r>
      <w:r>
        <w:t xml:space="preserve"> mit VERSION-Prüfung: Zwei Sachbearbeiter, die dieselbe Maske speichern, bekommen keinen stillen Überschreibkonflikt — der zweite erhält einen fachlichen Fehler. Der Buchungsweg liest dagegen im Bann der BG-Sperre (siehe </w:t>
      </w:r>
      <w:proofErr w:type="spellStart"/>
      <w:r>
        <w:t>BedarfsgemeinschaftDao</w:t>
      </w:r>
      <w:proofErr w:type="spellEnd"/>
      <w:r>
        <w:t>), also mit konsistentem Stand.</w:t>
      </w:r>
    </w:p>
    <w:p w14:paraId="6D123A09" w14:textId="77777777" w:rsidR="00EC7D8B" w:rsidRDefault="00000000">
      <w:pPr>
        <w:pStyle w:val="berschrift3"/>
        <w:keepNext/>
        <w:pBdr>
          <w:left w:val="single" w:sz="14" w:space="8" w:color="1B6B7A"/>
        </w:pBdr>
        <w:spacing w:before="260" w:after="80"/>
        <w:ind w:left="140"/>
      </w:pPr>
      <w:proofErr w:type="spellStart"/>
      <w:r>
        <w:t>BedarfsgemeinschaftDao</w:t>
      </w:r>
      <w:proofErr w:type="spellEnd"/>
    </w:p>
    <w:p w14:paraId="6F496FBD" w14:textId="77777777" w:rsidR="00EC7D8B" w:rsidRDefault="00000000">
      <w:pPr>
        <w:keepNext/>
        <w:spacing w:after="100" w:line="276" w:lineRule="auto"/>
      </w:pPr>
      <w:proofErr w:type="spellStart"/>
      <w:proofErr w:type="gramStart"/>
      <w:r>
        <w:rPr>
          <w:rFonts w:ascii="Consolas" w:hAnsi="Consolas"/>
          <w:color w:val="5A6B73"/>
          <w:sz w:val="18"/>
          <w:szCs w:val="18"/>
        </w:rPr>
        <w:t>de.allgemein.lmg.dao.BedarfsgemeinschaftDao</w:t>
      </w:r>
      <w:proofErr w:type="spellEnd"/>
      <w:proofErr w:type="gramEnd"/>
      <w:r>
        <w:rPr>
          <w:rFonts w:ascii="Consolas" w:hAnsi="Consolas"/>
          <w:color w:val="5A6B73"/>
          <w:sz w:val="18"/>
          <w:szCs w:val="18"/>
        </w:rPr>
        <w:t xml:space="preserve"> · 273 Zeilen</w:t>
      </w:r>
    </w:p>
    <w:p w14:paraId="6F50AB41" w14:textId="77777777" w:rsidR="00EC7D8B" w:rsidRDefault="00000000">
      <w:pPr>
        <w:spacing w:after="120"/>
        <w:jc w:val="both"/>
      </w:pPr>
      <w:r>
        <w:t>Der größte DAO, weil hier der kritische Buchungspfad liegt: die pessimistische Zeilensperre auf die Bedarfsgemeinschaft (SELECT ... FOR UPDATE), die Minderung und Rückbuchung des Restbudgets, die Vermögensverbrauchsfortschreibung sowie Anlage, Änderung und Historisierung des Vorgangs. Fallanlage und Falländerung sind gegen konkurrierende Historisierung abgesichert — zwei gleichzeitige Änderungen können keinen Mischzustand erzeugen.</w:t>
      </w:r>
    </w:p>
    <w:p w14:paraId="04C6D7B9" w14:textId="77777777" w:rsidR="00EC7D8B" w:rsidRDefault="00000000">
      <w:pPr>
        <w:pStyle w:val="berschrift3"/>
        <w:keepNext/>
        <w:pBdr>
          <w:left w:val="single" w:sz="14" w:space="8" w:color="1B6B7A"/>
        </w:pBdr>
        <w:spacing w:before="260" w:after="80"/>
        <w:ind w:left="140"/>
      </w:pPr>
      <w:proofErr w:type="spellStart"/>
      <w:r>
        <w:lastRenderedPageBreak/>
        <w:t>ZahlungDao</w:t>
      </w:r>
      <w:proofErr w:type="spellEnd"/>
    </w:p>
    <w:p w14:paraId="5B4E9877" w14:textId="77777777" w:rsidR="00EC7D8B" w:rsidRDefault="00000000">
      <w:pPr>
        <w:keepNext/>
        <w:spacing w:after="100" w:line="276" w:lineRule="auto"/>
      </w:pPr>
      <w:proofErr w:type="spellStart"/>
      <w:proofErr w:type="gramStart"/>
      <w:r>
        <w:rPr>
          <w:rFonts w:ascii="Consolas" w:hAnsi="Consolas"/>
          <w:color w:val="5A6B73"/>
          <w:sz w:val="18"/>
          <w:szCs w:val="18"/>
        </w:rPr>
        <w:t>de.allgemein.lmg.dao.ZahlungDao</w:t>
      </w:r>
      <w:proofErr w:type="spellEnd"/>
      <w:proofErr w:type="gramEnd"/>
      <w:r>
        <w:rPr>
          <w:rFonts w:ascii="Consolas" w:hAnsi="Consolas"/>
          <w:color w:val="5A6B73"/>
          <w:sz w:val="18"/>
          <w:szCs w:val="18"/>
        </w:rPr>
        <w:t xml:space="preserve"> · 252 Zeilen</w:t>
      </w:r>
    </w:p>
    <w:p w14:paraId="713BF946" w14:textId="77777777" w:rsidR="00EC7D8B" w:rsidRDefault="00000000">
      <w:pPr>
        <w:spacing w:after="120"/>
        <w:jc w:val="both"/>
      </w:pPr>
      <w:r>
        <w:t xml:space="preserve">Datenzugriff für ZAHLUNG. Die VORGANGS_NR ist eindeutig — sie ist der Idempotenz-Anker gegen Doppelbuchungen bei wiederholten </w:t>
      </w:r>
      <w:proofErr w:type="spellStart"/>
      <w:r>
        <w:t>Requests</w:t>
      </w:r>
      <w:proofErr w:type="spellEnd"/>
      <w:r>
        <w:t xml:space="preserve"> (Doppelklick, Netzwerk-Wiederholung). Statuswechsel sind bewusst </w:t>
      </w:r>
      <w:proofErr w:type="spellStart"/>
      <w:r>
        <w:t>guarded</w:t>
      </w:r>
      <w:proofErr w:type="spellEnd"/>
      <w:r>
        <w:t>: Ein Übergang, der im Workflow nicht vorgesehen ist (etwa UEBERGEBEN direkt freigeben), wirft statt still zu passieren. Der Kassenlauf holt sich hier die gesperrte Menge der freigegebenen Zahlungen.</w:t>
      </w:r>
    </w:p>
    <w:p w14:paraId="24D6EFC9" w14:textId="77777777" w:rsidR="00EC7D8B" w:rsidRDefault="00000000">
      <w:pPr>
        <w:pStyle w:val="berschrift3"/>
        <w:keepNext/>
        <w:pBdr>
          <w:left w:val="single" w:sz="14" w:space="8" w:color="1B6B7A"/>
        </w:pBdr>
        <w:spacing w:before="260" w:after="80"/>
        <w:ind w:left="140"/>
      </w:pPr>
      <w:proofErr w:type="spellStart"/>
      <w:r>
        <w:t>BescheidDao</w:t>
      </w:r>
      <w:proofErr w:type="spellEnd"/>
    </w:p>
    <w:p w14:paraId="64B9C783" w14:textId="77777777" w:rsidR="00EC7D8B" w:rsidRDefault="00000000">
      <w:pPr>
        <w:keepNext/>
        <w:spacing w:after="100" w:line="276" w:lineRule="auto"/>
      </w:pPr>
      <w:proofErr w:type="spellStart"/>
      <w:proofErr w:type="gramStart"/>
      <w:r>
        <w:rPr>
          <w:rFonts w:ascii="Consolas" w:hAnsi="Consolas"/>
          <w:color w:val="5A6B73"/>
          <w:sz w:val="18"/>
          <w:szCs w:val="18"/>
        </w:rPr>
        <w:t>de.allgemein.lmg.dao.BescheidDao</w:t>
      </w:r>
      <w:proofErr w:type="spellEnd"/>
      <w:proofErr w:type="gramEnd"/>
      <w:r>
        <w:rPr>
          <w:rFonts w:ascii="Consolas" w:hAnsi="Consolas"/>
          <w:color w:val="5A6B73"/>
          <w:sz w:val="18"/>
          <w:szCs w:val="18"/>
        </w:rPr>
        <w:t xml:space="preserve"> · 131 Zeilen</w:t>
      </w:r>
    </w:p>
    <w:p w14:paraId="4627D018" w14:textId="77777777" w:rsidR="00EC7D8B" w:rsidRDefault="00000000">
      <w:pPr>
        <w:spacing w:after="120"/>
        <w:jc w:val="both"/>
      </w:pPr>
      <w:r>
        <w:t>Datenzugriff für BESCHEID, einschließlich des versionierten JSON-Snapshots im CLOB-Feld BERECHNUNG. Gespeichert wird beim Erteilen, gelesen beim Nachdruck — ältere Snapshot-Versionen (v1) bleiben lesbar, auch wenn der Schreibweg bereits v2 erzeugt.</w:t>
      </w:r>
    </w:p>
    <w:p w14:paraId="00670AF4" w14:textId="77777777" w:rsidR="00EC7D8B" w:rsidRPr="00DC0975" w:rsidRDefault="00000000">
      <w:pPr>
        <w:pStyle w:val="berschrift3"/>
        <w:keepNext/>
        <w:pBdr>
          <w:left w:val="single" w:sz="14" w:space="8" w:color="1B6B7A"/>
        </w:pBdr>
        <w:spacing w:before="260" w:after="80"/>
        <w:ind w:left="140"/>
        <w:rPr>
          <w:lang w:val="en-US"/>
        </w:rPr>
      </w:pPr>
      <w:r w:rsidRPr="00DC0975">
        <w:rPr>
          <w:lang w:val="en-US"/>
        </w:rPr>
        <w:t>JournalDao</w:t>
      </w:r>
    </w:p>
    <w:p w14:paraId="0C1BEB24" w14:textId="77777777" w:rsidR="00EC7D8B" w:rsidRPr="00DC0975" w:rsidRDefault="00000000">
      <w:pPr>
        <w:keepNext/>
        <w:spacing w:after="100" w:line="276" w:lineRule="auto"/>
        <w:rPr>
          <w:lang w:val="en-US"/>
        </w:rPr>
      </w:pPr>
      <w:r w:rsidRPr="00DC0975">
        <w:rPr>
          <w:rFonts w:ascii="Consolas" w:hAnsi="Consolas"/>
          <w:color w:val="5A6B73"/>
          <w:sz w:val="18"/>
          <w:szCs w:val="18"/>
          <w:lang w:val="en-US"/>
        </w:rPr>
        <w:t>de.allgemein.lmg.dao.JournalDao · final class</w:t>
      </w:r>
    </w:p>
    <w:p w14:paraId="261875E9" w14:textId="77777777" w:rsidR="00EC7D8B" w:rsidRDefault="00000000">
      <w:pPr>
        <w:spacing w:after="120"/>
        <w:jc w:val="both"/>
      </w:pPr>
      <w:r>
        <w:t>Datenzugriff für das Buchungsjournal (JOURNAL). Jede fachlich relevante Aktion schreibt hier einen revisionssicheren Eintrag — und zwar in derselben Transaktion wie die Änderung selbst: Journal und Fachwirkung stehen oder fallen zusammen. Neben der Sachbearbeiter-Kennung läuft hier auch das Einsichtsprotokoll mit (60-Sekunden-Bündelung gleicher Kennungen, damit Masken-</w:t>
      </w:r>
      <w:proofErr w:type="spellStart"/>
      <w:r>
        <w:t>Reloads</w:t>
      </w:r>
      <w:proofErr w:type="spellEnd"/>
      <w:r>
        <w:t xml:space="preserve"> das Journal nicht fluten).</w:t>
      </w:r>
    </w:p>
    <w:p w14:paraId="1370257C" w14:textId="77777777" w:rsidR="00EC7D8B" w:rsidRDefault="00000000">
      <w:pPr>
        <w:pStyle w:val="berschrift3"/>
        <w:keepNext/>
        <w:pBdr>
          <w:left w:val="single" w:sz="14" w:space="8" w:color="1B6B7A"/>
        </w:pBdr>
        <w:spacing w:before="260" w:after="80"/>
        <w:ind w:left="140"/>
      </w:pPr>
      <w:r>
        <w:t>SatzstandDao</w:t>
      </w:r>
    </w:p>
    <w:p w14:paraId="505AB2F7" w14:textId="77777777" w:rsidR="00EC7D8B" w:rsidRDefault="00000000">
      <w:pPr>
        <w:keepNext/>
        <w:spacing w:after="100" w:line="276" w:lineRule="auto"/>
      </w:pPr>
      <w:proofErr w:type="spellStart"/>
      <w:proofErr w:type="gramStart"/>
      <w:r>
        <w:rPr>
          <w:rFonts w:ascii="Consolas" w:hAnsi="Consolas"/>
          <w:color w:val="5A6B73"/>
          <w:sz w:val="18"/>
          <w:szCs w:val="18"/>
        </w:rPr>
        <w:t>de.allgemein.lmg.dao.SatzstandDao</w:t>
      </w:r>
      <w:proofErr w:type="spellEnd"/>
      <w:proofErr w:type="gramEnd"/>
      <w:r>
        <w:rPr>
          <w:rFonts w:ascii="Consolas" w:hAnsi="Consolas"/>
          <w:color w:val="5A6B73"/>
          <w:sz w:val="18"/>
          <w:szCs w:val="18"/>
        </w:rPr>
        <w:t xml:space="preserve"> · final </w:t>
      </w:r>
      <w:proofErr w:type="spellStart"/>
      <w:r>
        <w:rPr>
          <w:rFonts w:ascii="Consolas" w:hAnsi="Consolas"/>
          <w:color w:val="5A6B73"/>
          <w:sz w:val="18"/>
          <w:szCs w:val="18"/>
        </w:rPr>
        <w:t>class</w:t>
      </w:r>
      <w:proofErr w:type="spellEnd"/>
    </w:p>
    <w:p w14:paraId="429096AB" w14:textId="77777777" w:rsidR="00EC7D8B" w:rsidRDefault="00000000">
      <w:pPr>
        <w:spacing w:after="120"/>
        <w:jc w:val="both"/>
      </w:pPr>
      <w:r>
        <w:t>Datenzugriff auf SATZSTAND, die je Jahr gepflegten Regelbedarfsstufen (Anlage zu Paragraf 28 SGB XII). Für einen Bezugsmonat gilt der zuletzt wirksam gewordene Stand: der größte GUELTIG_AB kleiner gleich Monat. Neue Zeilen gelten ab ihrem Gültigkeitsmonat; alte bleiben für zurückliegende Monate lesbar — der Jahreswechsel ist ein INSERT, keine Codeänderung. Ohne passenden Stand weist der Service fachlich ab, statt mit erfundenen Sätzen zu rechnen.</w:t>
      </w:r>
    </w:p>
    <w:p w14:paraId="3FF0F3B1" w14:textId="77777777" w:rsidR="00EC7D8B" w:rsidRDefault="00000000">
      <w:pPr>
        <w:pStyle w:val="berschrift2"/>
        <w:keepNext/>
        <w:spacing w:before="320"/>
      </w:pPr>
      <w:bookmarkStart w:id="34" w:name="_Toc18"/>
      <w:bookmarkStart w:id="35" w:name="_Toc242984015"/>
      <w:r>
        <w:t xml:space="preserve">3.4 </w:t>
      </w:r>
      <w:proofErr w:type="spellStart"/>
      <w:r>
        <w:t>calc</w:t>
      </w:r>
      <w:proofErr w:type="spellEnd"/>
      <w:r>
        <w:t xml:space="preserve"> — Bedarfsberechnung nach SGB XII</w:t>
      </w:r>
      <w:bookmarkEnd w:id="34"/>
      <w:bookmarkEnd w:id="35"/>
    </w:p>
    <w:p w14:paraId="19C1916A" w14:textId="77777777" w:rsidR="00EC7D8B" w:rsidRDefault="00000000">
      <w:pPr>
        <w:spacing w:after="120"/>
        <w:jc w:val="both"/>
      </w:pPr>
      <w:r>
        <w:t>Das Berechnungspaket ist das fachliche Herz: hier steht das Recht in Code. Die Berechnung ist deterministisch und ohne Datenbank — sie erhält die Parameter und liefert das Ergebnis. Genau deshalb lässt sich jede Regel mit handgerechneten Werten testen (</w:t>
      </w:r>
      <w:proofErr w:type="spellStart"/>
      <w:r>
        <w:rPr>
          <w:rFonts w:ascii="Consolas" w:hAnsi="Consolas"/>
          <w:color w:val="0B4A56"/>
          <w:sz w:val="20"/>
          <w:szCs w:val="20"/>
        </w:rPr>
        <w:t>GoldWerteTest</w:t>
      </w:r>
      <w:proofErr w:type="spellEnd"/>
      <w:r>
        <w:t>).</w:t>
      </w:r>
    </w:p>
    <w:p w14:paraId="31F44741" w14:textId="77777777" w:rsidR="00EC7D8B" w:rsidRDefault="00000000">
      <w:pPr>
        <w:pStyle w:val="berschrift3"/>
        <w:keepNext/>
        <w:pBdr>
          <w:left w:val="single" w:sz="14" w:space="8" w:color="1B6B7A"/>
        </w:pBdr>
        <w:spacing w:before="260" w:after="80"/>
        <w:ind w:left="140"/>
      </w:pPr>
      <w:r>
        <w:t>Leistungsberechnung</w:t>
      </w:r>
    </w:p>
    <w:p w14:paraId="035E67DA" w14:textId="77777777" w:rsidR="00EC7D8B" w:rsidRDefault="00000000">
      <w:pPr>
        <w:keepNext/>
        <w:spacing w:after="100" w:line="276" w:lineRule="auto"/>
      </w:pPr>
      <w:proofErr w:type="spellStart"/>
      <w:proofErr w:type="gramStart"/>
      <w:r>
        <w:rPr>
          <w:rFonts w:ascii="Consolas" w:hAnsi="Consolas"/>
          <w:color w:val="5A6B73"/>
          <w:sz w:val="18"/>
          <w:szCs w:val="18"/>
        </w:rPr>
        <w:t>de.allgemein.lmg.calc</w:t>
      </w:r>
      <w:proofErr w:type="gramEnd"/>
      <w:r>
        <w:rPr>
          <w:rFonts w:ascii="Consolas" w:hAnsi="Consolas"/>
          <w:color w:val="5A6B73"/>
          <w:sz w:val="18"/>
          <w:szCs w:val="18"/>
        </w:rPr>
        <w:t>.Leistungsberechnung</w:t>
      </w:r>
      <w:proofErr w:type="spellEnd"/>
      <w:r>
        <w:rPr>
          <w:rFonts w:ascii="Consolas" w:hAnsi="Consolas"/>
          <w:color w:val="5A6B73"/>
          <w:sz w:val="18"/>
          <w:szCs w:val="18"/>
        </w:rPr>
        <w:t xml:space="preserve"> · 387 Zeilen</w:t>
      </w:r>
    </w:p>
    <w:p w14:paraId="57C2C480" w14:textId="77777777" w:rsidR="00EC7D8B" w:rsidRDefault="00000000">
      <w:pPr>
        <w:spacing w:after="120"/>
        <w:jc w:val="both"/>
      </w:pPr>
      <w:r>
        <w:t xml:space="preserve">Die komplette Bedarfsberechnung der Grundsicherung: Regelbedarf nach der Regelbedarfsstufe; Mehrbedarfe nach Paragraf 30 SGB XII (Merkzeichen G mit 17 Prozent, Schwangerschaft ab der 13. </w:t>
      </w:r>
      <w:r>
        <w:lastRenderedPageBreak/>
        <w:t>Woche mit 17 Prozent, Alleinerziehende mit 36 bzw. 12 Prozent und Deckel, Obergrenze: Summe höchstens der Regelbedarf; dezentrales Warmwasser stufenabhängig zwischen 0,8 und 2,3 Prozent); Kosten der Unterkunft als Kaltmiete plus Betriebskosten plus Heizkosten mit Angemessenheitsgrenze je Bedarfsgemeinschaft; Einkommensanrechnung nach Paragraf 82 mit Absetzbeträgen und Erwerbsfreibetrag (höchstens 50 Prozent der Stufe 1); Vermögensanrechnung nach Paragraf 90 mit Schonvermögen.</w:t>
      </w:r>
    </w:p>
    <w:p w14:paraId="65F94614" w14:textId="77777777" w:rsidR="00EC7D8B" w:rsidRDefault="00000000">
      <w:pPr>
        <w:spacing w:after="120"/>
        <w:jc w:val="both"/>
      </w:pPr>
      <w:r>
        <w:t>Die Klassendokumentation listet alle Sätze als Formeln — das ist die beste Nachschlagestelle, wenn die Frage lautet: Wie setzt sich dieser Betrag zusammen?</w:t>
      </w:r>
    </w:p>
    <w:p w14:paraId="27025677" w14:textId="77777777" w:rsidR="00EC7D8B" w:rsidRDefault="00000000">
      <w:pPr>
        <w:pStyle w:val="berschrift3"/>
        <w:keepNext/>
        <w:pBdr>
          <w:left w:val="single" w:sz="14" w:space="8" w:color="1B6B7A"/>
        </w:pBdr>
        <w:spacing w:before="260" w:after="80"/>
        <w:ind w:left="140"/>
      </w:pPr>
      <w:r>
        <w:t>Satzstand</w:t>
      </w:r>
    </w:p>
    <w:p w14:paraId="1FBBEDF9" w14:textId="77777777" w:rsidR="00EC7D8B" w:rsidRDefault="00000000">
      <w:pPr>
        <w:keepNext/>
        <w:spacing w:after="100" w:line="276" w:lineRule="auto"/>
      </w:pPr>
      <w:proofErr w:type="spellStart"/>
      <w:proofErr w:type="gramStart"/>
      <w:r>
        <w:rPr>
          <w:rFonts w:ascii="Consolas" w:hAnsi="Consolas"/>
          <w:color w:val="5A6B73"/>
          <w:sz w:val="18"/>
          <w:szCs w:val="18"/>
        </w:rPr>
        <w:t>de.allgemein.lmg.calc</w:t>
      </w:r>
      <w:proofErr w:type="gramEnd"/>
      <w:r>
        <w:rPr>
          <w:rFonts w:ascii="Consolas" w:hAnsi="Consolas"/>
          <w:color w:val="5A6B73"/>
          <w:sz w:val="18"/>
          <w:szCs w:val="18"/>
        </w:rPr>
        <w:t>.Satzstand</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r>
        <w:rPr>
          <w:rFonts w:ascii="Consolas" w:hAnsi="Consolas"/>
          <w:color w:val="5A6B73"/>
          <w:sz w:val="18"/>
          <w:szCs w:val="18"/>
        </w:rPr>
        <w:t xml:space="preserve"> (</w:t>
      </w:r>
      <w:proofErr w:type="spellStart"/>
      <w:r>
        <w:rPr>
          <w:rFonts w:ascii="Consolas" w:hAnsi="Consolas"/>
          <w:color w:val="5A6B73"/>
          <w:sz w:val="18"/>
          <w:szCs w:val="18"/>
        </w:rPr>
        <w:t>gueltigAb</w:t>
      </w:r>
      <w:proofErr w:type="spellEnd"/>
      <w:r>
        <w:rPr>
          <w:rFonts w:ascii="Consolas" w:hAnsi="Consolas"/>
          <w:color w:val="5A6B73"/>
          <w:sz w:val="18"/>
          <w:szCs w:val="18"/>
        </w:rPr>
        <w:t>, Beträge je Stufe)</w:t>
      </w:r>
    </w:p>
    <w:p w14:paraId="07A51BAA" w14:textId="77777777" w:rsidR="00EC7D8B" w:rsidRDefault="00000000">
      <w:pPr>
        <w:spacing w:after="120"/>
        <w:jc w:val="both"/>
      </w:pPr>
      <w:r>
        <w:t xml:space="preserve">Die Regelbedarfsstufen eines Gültigkeitszeitraums. Weil die Sätze jährlich zum 1. Januar per Verordnung fortgeschrieben werden, liegen sie in der Datenbanktabelle SATZSTAND — eine Zeile je Gültigkeitsmonat —, nicht als Konstanten im Code. Die Konstante </w:t>
      </w:r>
      <w:r>
        <w:rPr>
          <w:rFonts w:ascii="Consolas" w:hAnsi="Consolas"/>
          <w:color w:val="0B4A56"/>
          <w:sz w:val="20"/>
          <w:szCs w:val="20"/>
        </w:rPr>
        <w:t>REFERENZ_2026</w:t>
      </w:r>
      <w:r>
        <w:t xml:space="preserve"> ist der Seed-Stand (und dient DB-unabhängigen Kompatibilitätsüberladungen sowie dem Simulator); der Produktionspfad liest den Stand stets aus der Datenbank zum Bezugsmonat.</w:t>
      </w:r>
    </w:p>
    <w:p w14:paraId="6422F0B1" w14:textId="77777777" w:rsidR="00EC7D8B" w:rsidRDefault="00000000">
      <w:pPr>
        <w:pStyle w:val="berschrift3"/>
        <w:keepNext/>
        <w:pBdr>
          <w:left w:val="single" w:sz="14" w:space="8" w:color="1B6B7A"/>
        </w:pBdr>
        <w:spacing w:before="260" w:after="80"/>
        <w:ind w:left="140"/>
      </w:pPr>
      <w:proofErr w:type="spellStart"/>
      <w:r>
        <w:t>BerechnungsSnapshot</w:t>
      </w:r>
      <w:proofErr w:type="spellEnd"/>
    </w:p>
    <w:p w14:paraId="2B78AF63" w14:textId="77777777" w:rsidR="00EC7D8B" w:rsidRDefault="00000000">
      <w:pPr>
        <w:keepNext/>
        <w:spacing w:after="100" w:line="276" w:lineRule="auto"/>
      </w:pPr>
      <w:proofErr w:type="spellStart"/>
      <w:proofErr w:type="gramStart"/>
      <w:r>
        <w:rPr>
          <w:rFonts w:ascii="Consolas" w:hAnsi="Consolas"/>
          <w:color w:val="5A6B73"/>
          <w:sz w:val="18"/>
          <w:szCs w:val="18"/>
        </w:rPr>
        <w:t>de.allgemein.lmg.calc</w:t>
      </w:r>
      <w:proofErr w:type="gramEnd"/>
      <w:r>
        <w:rPr>
          <w:rFonts w:ascii="Consolas" w:hAnsi="Consolas"/>
          <w:color w:val="5A6B73"/>
          <w:sz w:val="18"/>
          <w:szCs w:val="18"/>
        </w:rPr>
        <w:t>.BerechnungsSnapshot</w:t>
      </w:r>
      <w:proofErr w:type="spellEnd"/>
      <w:r>
        <w:rPr>
          <w:rFonts w:ascii="Consolas" w:hAnsi="Consolas"/>
          <w:color w:val="5A6B73"/>
          <w:sz w:val="18"/>
          <w:szCs w:val="18"/>
        </w:rPr>
        <w:t xml:space="preserve"> · 221 Zeilen</w:t>
      </w:r>
    </w:p>
    <w:p w14:paraId="4FED30D2" w14:textId="77777777" w:rsidR="00EC7D8B" w:rsidRDefault="00000000">
      <w:pPr>
        <w:spacing w:after="120"/>
        <w:jc w:val="both"/>
      </w:pPr>
      <w:r>
        <w:t xml:space="preserve">Serialisiert das Berechnungsergebnis einer </w:t>
      </w:r>
      <w:proofErr w:type="spellStart"/>
      <w:r>
        <w:t>Bescheiderteilung</w:t>
      </w:r>
      <w:proofErr w:type="spellEnd"/>
      <w:r>
        <w:t xml:space="preserve"> als versioniertes JSON und liest es verlustfrei zurück. Der Snapshot wird mit dem Bescheid gespeichert, damit der Nachdruck unabhängig von späteren Falländerungen stets den Zustand des Erteilungszeitpunkts zeigt. Alle Beträge werden als Zeichenketten fester Skala geführt, damit die </w:t>
      </w:r>
      <w:proofErr w:type="spellStart"/>
      <w:r>
        <w:t>BigDecimal</w:t>
      </w:r>
      <w:proofErr w:type="spellEnd"/>
      <w:r>
        <w:t>-Skalierung den Speicher-</w:t>
      </w:r>
      <w:proofErr w:type="spellStart"/>
      <w:r>
        <w:t>Roundtrip</w:t>
      </w:r>
      <w:proofErr w:type="spellEnd"/>
      <w:r>
        <w:t xml:space="preserve"> exakt überlebt — kein Cent darf beim Serialisieren verrutschen.</w:t>
      </w:r>
    </w:p>
    <w:p w14:paraId="5976C98B" w14:textId="77777777" w:rsidR="00EC7D8B" w:rsidRDefault="00000000">
      <w:pPr>
        <w:pStyle w:val="berschrift3"/>
        <w:keepNext/>
        <w:pBdr>
          <w:left w:val="single" w:sz="14" w:space="8" w:color="1B6B7A"/>
        </w:pBdr>
        <w:spacing w:before="260" w:after="80"/>
        <w:ind w:left="140"/>
      </w:pPr>
      <w:r>
        <w:t>Bewilligungsplan</w:t>
      </w:r>
    </w:p>
    <w:p w14:paraId="3D1ED0DB" w14:textId="77777777" w:rsidR="00EC7D8B" w:rsidRDefault="00000000">
      <w:pPr>
        <w:keepNext/>
        <w:spacing w:after="100" w:line="276" w:lineRule="auto"/>
      </w:pPr>
      <w:proofErr w:type="spellStart"/>
      <w:proofErr w:type="gramStart"/>
      <w:r>
        <w:rPr>
          <w:rFonts w:ascii="Consolas" w:hAnsi="Consolas"/>
          <w:color w:val="5A6B73"/>
          <w:sz w:val="18"/>
          <w:szCs w:val="18"/>
        </w:rPr>
        <w:t>de.allgemein.lmg.calc</w:t>
      </w:r>
      <w:proofErr w:type="gramEnd"/>
      <w:r>
        <w:rPr>
          <w:rFonts w:ascii="Consolas" w:hAnsi="Consolas"/>
          <w:color w:val="5A6B73"/>
          <w:sz w:val="18"/>
          <w:szCs w:val="18"/>
        </w:rPr>
        <w:t>.Bewilligungsplan</w:t>
      </w:r>
      <w:proofErr w:type="spellEnd"/>
      <w:r>
        <w:rPr>
          <w:rFonts w:ascii="Consolas" w:hAnsi="Consolas"/>
          <w:color w:val="5A6B73"/>
          <w:sz w:val="18"/>
          <w:szCs w:val="18"/>
        </w:rPr>
        <w:t xml:space="preserve"> · final </w:t>
      </w:r>
      <w:proofErr w:type="spellStart"/>
      <w:r>
        <w:rPr>
          <w:rFonts w:ascii="Consolas" w:hAnsi="Consolas"/>
          <w:color w:val="5A6B73"/>
          <w:sz w:val="18"/>
          <w:szCs w:val="18"/>
        </w:rPr>
        <w:t>class</w:t>
      </w:r>
      <w:proofErr w:type="spellEnd"/>
    </w:p>
    <w:p w14:paraId="623F48F5" w14:textId="77777777" w:rsidR="00EC7D8B" w:rsidRDefault="00000000">
      <w:pPr>
        <w:spacing w:after="120"/>
        <w:jc w:val="both"/>
      </w:pPr>
      <w:r>
        <w:t>Die monatsbezogene Bewilligung: Für jeden Monat des Bewilligungszeitraums steht der verbindliche Einzelbetrag, einschließlich bekannter Satzwechsel und Bedarfsänderungen (etwa das Ende des Schwangeren-Mehrbedarfs ab dem Folgemonat der Entbindung). Der Plan ist der Inhalt von Snapshot-Version 2 und die Grundlage, mit der Bescheid und Auszahlungen auch über Monatsgrenzen hinweg zusammenpassen.</w:t>
      </w:r>
    </w:p>
    <w:p w14:paraId="30DED252" w14:textId="77777777" w:rsidR="00EC7D8B" w:rsidRDefault="00000000">
      <w:pPr>
        <w:pStyle w:val="berschrift2"/>
        <w:keepNext/>
        <w:spacing w:before="320"/>
      </w:pPr>
      <w:bookmarkStart w:id="36" w:name="_Toc19"/>
      <w:bookmarkStart w:id="37" w:name="_Toc242984016"/>
      <w:r>
        <w:t xml:space="preserve">3.5 </w:t>
      </w:r>
      <w:proofErr w:type="spellStart"/>
      <w:r>
        <w:t>config</w:t>
      </w:r>
      <w:proofErr w:type="spellEnd"/>
      <w:r>
        <w:t xml:space="preserve"> — externalisierte Konfiguration</w:t>
      </w:r>
      <w:bookmarkEnd w:id="36"/>
      <w:bookmarkEnd w:id="37"/>
    </w:p>
    <w:p w14:paraId="6F375C2B" w14:textId="77777777" w:rsidR="00EC7D8B" w:rsidRDefault="00000000">
      <w:pPr>
        <w:pStyle w:val="berschrift3"/>
        <w:keepNext/>
        <w:pBdr>
          <w:left w:val="single" w:sz="14" w:space="8" w:color="1B6B7A"/>
        </w:pBdr>
        <w:spacing w:before="260" w:after="80"/>
        <w:ind w:left="140"/>
      </w:pPr>
      <w:proofErr w:type="spellStart"/>
      <w:r>
        <w:t>LmgConfig</w:t>
      </w:r>
      <w:proofErr w:type="spellEnd"/>
    </w:p>
    <w:p w14:paraId="39D7C94B" w14:textId="77777777" w:rsidR="00EC7D8B" w:rsidRDefault="00000000">
      <w:pPr>
        <w:keepNext/>
        <w:spacing w:after="100" w:line="276" w:lineRule="auto"/>
      </w:pPr>
      <w:proofErr w:type="spellStart"/>
      <w:r>
        <w:rPr>
          <w:rFonts w:ascii="Consolas" w:hAnsi="Consolas"/>
          <w:color w:val="5A6B73"/>
          <w:sz w:val="18"/>
          <w:szCs w:val="18"/>
        </w:rPr>
        <w:t>de.allgemein.lmg.</w:t>
      </w:r>
      <w:proofErr w:type="gramStart"/>
      <w:r>
        <w:rPr>
          <w:rFonts w:ascii="Consolas" w:hAnsi="Consolas"/>
          <w:color w:val="5A6B73"/>
          <w:sz w:val="18"/>
          <w:szCs w:val="18"/>
        </w:rPr>
        <w:t>config.LmgConfig</w:t>
      </w:r>
      <w:proofErr w:type="spellEnd"/>
      <w:proofErr w:type="gramEnd"/>
      <w:r>
        <w:rPr>
          <w:rFonts w:ascii="Consolas" w:hAnsi="Consolas"/>
          <w:color w:val="5A6B73"/>
          <w:sz w:val="18"/>
          <w:szCs w:val="18"/>
        </w:rPr>
        <w:t xml:space="preserve"> · 193 Zeilen</w:t>
      </w:r>
    </w:p>
    <w:p w14:paraId="26521CD6" w14:textId="77777777" w:rsidR="00EC7D8B" w:rsidRDefault="00000000">
      <w:pPr>
        <w:spacing w:after="120"/>
        <w:jc w:val="both"/>
      </w:pPr>
      <w:r>
        <w:t xml:space="preserve">Die externalisierte Konfiguration des Leistungsmanagements, geladen als Prioritätskaskade (12-Factor-Prinzip): System-Properties schlagen Umgebungsvariablen, diese schlagen die Datei </w:t>
      </w:r>
      <w:proofErr w:type="spellStart"/>
      <w:proofErr w:type="gramStart"/>
      <w:r>
        <w:lastRenderedPageBreak/>
        <w:t>lmg.properties</w:t>
      </w:r>
      <w:proofErr w:type="spellEnd"/>
      <w:proofErr w:type="gramEnd"/>
      <w:r>
        <w:t xml:space="preserve">, und am Ende stehen Standardwerte. Über die Kaskade konfiguriert sind unter anderem Datenbankverbindung, Port und Bind-Adresse (Standard </w:t>
      </w:r>
      <w:proofErr w:type="spellStart"/>
      <w:r>
        <w:t>Loopback</w:t>
      </w:r>
      <w:proofErr w:type="spellEnd"/>
      <w:r>
        <w:t>), die Benutzerliste, Sitzungs-Timeout und Anmelde-Drosselung, die örtlichen KdU-Parameter (Warmwasser-Abzug, Angemessenheitsgrenze) und der Text der Rechtsbehelfsbelehrung. Die Datei wird UTF-8-gelesen — Umlaute sind kein Glücksspiel.</w:t>
      </w:r>
    </w:p>
    <w:p w14:paraId="3729085F" w14:textId="77777777" w:rsidR="00EC7D8B" w:rsidRDefault="00000000">
      <w:pPr>
        <w:pStyle w:val="berschrift2"/>
        <w:keepNext/>
        <w:spacing w:before="320"/>
      </w:pPr>
      <w:bookmarkStart w:id="38" w:name="_Toc20"/>
      <w:bookmarkStart w:id="39" w:name="_Toc242984017"/>
      <w:r>
        <w:t xml:space="preserve">3.6 </w:t>
      </w:r>
      <w:proofErr w:type="spellStart"/>
      <w:r>
        <w:t>service</w:t>
      </w:r>
      <w:proofErr w:type="spellEnd"/>
      <w:r>
        <w:t xml:space="preserve"> — die Fachdienste</w:t>
      </w:r>
      <w:bookmarkEnd w:id="38"/>
      <w:bookmarkEnd w:id="39"/>
    </w:p>
    <w:p w14:paraId="3C32FB0E" w14:textId="77777777" w:rsidR="00EC7D8B" w:rsidRDefault="00000000">
      <w:pPr>
        <w:spacing w:after="120"/>
        <w:jc w:val="both"/>
      </w:pPr>
      <w:r>
        <w:t xml:space="preserve">Die Fachdienste sind die Schnittstelle zwischen Webschicht und Transaktionssteuerung. Das Interface </w:t>
      </w:r>
      <w:proofErr w:type="spellStart"/>
      <w:r>
        <w:rPr>
          <w:rFonts w:ascii="Consolas" w:hAnsi="Consolas"/>
          <w:color w:val="0B4A56"/>
          <w:sz w:val="20"/>
          <w:szCs w:val="20"/>
        </w:rPr>
        <w:t>LeistungsService</w:t>
      </w:r>
      <w:proofErr w:type="spellEnd"/>
      <w:r>
        <w:t xml:space="preserve"> beschreibt den Vertrag, </w:t>
      </w:r>
      <w:proofErr w:type="spellStart"/>
      <w:r>
        <w:rPr>
          <w:rFonts w:ascii="Consolas" w:hAnsi="Consolas"/>
          <w:color w:val="0B4A56"/>
          <w:sz w:val="20"/>
          <w:szCs w:val="20"/>
        </w:rPr>
        <w:t>SozialLeistungsService</w:t>
      </w:r>
      <w:proofErr w:type="spellEnd"/>
      <w:r>
        <w:t xml:space="preserve"> implementiert ihn; die übrigen Klassen sind Hilfstypen (Aufträge, Ergebnisse, Validierung, </w:t>
      </w:r>
      <w:proofErr w:type="spellStart"/>
      <w:r>
        <w:t>Bescheiddruck</w:t>
      </w:r>
      <w:proofErr w:type="spellEnd"/>
      <w:r>
        <w:t xml:space="preserve">). Jede </w:t>
      </w:r>
      <w:proofErr w:type="spellStart"/>
      <w:r>
        <w:t>DienstMethode</w:t>
      </w:r>
      <w:proofErr w:type="spellEnd"/>
      <w:r>
        <w:t xml:space="preserve"> ist eine abgeschlossene Arbeitseinheit — eine kurze Oracle-Transaktion.</w:t>
      </w:r>
    </w:p>
    <w:p w14:paraId="0AD61A10" w14:textId="77777777" w:rsidR="00EC7D8B" w:rsidRDefault="00000000">
      <w:pPr>
        <w:pStyle w:val="berschrift3"/>
        <w:keepNext/>
        <w:pBdr>
          <w:left w:val="single" w:sz="14" w:space="8" w:color="1B6B7A"/>
        </w:pBdr>
        <w:spacing w:before="260" w:after="80"/>
        <w:ind w:left="140"/>
      </w:pPr>
      <w:proofErr w:type="spellStart"/>
      <w:r>
        <w:t>LeistungsService</w:t>
      </w:r>
      <w:proofErr w:type="spellEnd"/>
    </w:p>
    <w:p w14:paraId="52B28059"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.LeistungsService</w:t>
      </w:r>
      <w:proofErr w:type="spellEnd"/>
      <w:r>
        <w:rPr>
          <w:rFonts w:ascii="Consolas" w:hAnsi="Consolas"/>
          <w:color w:val="5A6B73"/>
          <w:sz w:val="18"/>
          <w:szCs w:val="18"/>
        </w:rPr>
        <w:t xml:space="preserve"> · interface · 117 Zeilen</w:t>
      </w:r>
    </w:p>
    <w:p w14:paraId="24F2BA70" w14:textId="77777777" w:rsidR="00EC7D8B" w:rsidRDefault="00000000">
      <w:pPr>
        <w:spacing w:after="120"/>
        <w:jc w:val="both"/>
      </w:pPr>
      <w:r>
        <w:t>Das Fach-Interface: Fall anlegen und ändern, Vorgangslisten und -details lesen, Auszahlung anordnen, freigeben, stornieren, Kassenlauf starten, Bescheid erteilen und drucken, Systemstatus. Die Webschicht kennt nur dieses Interface — dadurch bleibt sie testbar und die Implementierung austauschbar. Jede Methode entspricht einer abgeschlossenen Arbeitseinheit.</w:t>
      </w:r>
    </w:p>
    <w:p w14:paraId="0EE727F1" w14:textId="77777777" w:rsidR="00EC7D8B" w:rsidRDefault="00000000">
      <w:pPr>
        <w:pStyle w:val="berschrift3"/>
        <w:keepNext/>
        <w:pBdr>
          <w:left w:val="single" w:sz="14" w:space="8" w:color="1B6B7A"/>
        </w:pBdr>
        <w:spacing w:before="260" w:after="80"/>
        <w:ind w:left="140"/>
      </w:pPr>
      <w:proofErr w:type="spellStart"/>
      <w:r>
        <w:t>SozialLeistungsService</w:t>
      </w:r>
      <w:proofErr w:type="spellEnd"/>
    </w:p>
    <w:p w14:paraId="54F40671"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.SozialLeistungsService</w:t>
      </w:r>
      <w:proofErr w:type="spellEnd"/>
      <w:r>
        <w:rPr>
          <w:rFonts w:ascii="Consolas" w:hAnsi="Consolas"/>
          <w:color w:val="5A6B73"/>
          <w:sz w:val="18"/>
          <w:szCs w:val="18"/>
        </w:rPr>
        <w:t xml:space="preserve"> · 894 Zeilen</w:t>
      </w:r>
    </w:p>
    <w:p w14:paraId="30A7F83D" w14:textId="77777777" w:rsidR="00EC7D8B" w:rsidRDefault="00000000">
      <w:pPr>
        <w:spacing w:after="120"/>
        <w:jc w:val="both"/>
      </w:pPr>
      <w:r>
        <w:t xml:space="preserve">Die mit Abstand größte Klasse: die Fachschicht der Leistungsverarbeitung. Alle Aktionen laufen als kurze Oracle-Transaktionen über den </w:t>
      </w:r>
      <w:proofErr w:type="spellStart"/>
      <w:r>
        <w:t>TxManager</w:t>
      </w:r>
      <w:proofErr w:type="spellEnd"/>
      <w:r>
        <w:t xml:space="preserve">. Der kritische Buchungsweg </w:t>
      </w:r>
      <w:proofErr w:type="spellStart"/>
      <w:r>
        <w:rPr>
          <w:rFonts w:ascii="Consolas" w:hAnsi="Consolas"/>
          <w:color w:val="0B4A56"/>
          <w:sz w:val="20"/>
          <w:szCs w:val="20"/>
        </w:rPr>
        <w:t>ordneAuszahlungAn</w:t>
      </w:r>
      <w:proofErr w:type="spellEnd"/>
      <w:r>
        <w:t xml:space="preserve"> zeigt das ganze Muster auf einmal: Idempotenz über die Vorgangsnummer, pessimistische Zeilensperre auf die Bedarfsgemeinschaft, Budget-Prüfung, Anlage der Zahlung im Status ANGELEGT (Vier-Augen: die Freigabe erfolgt immer durch eine zweite Person), Vermögensverbrauchsfortschreibung, Minderung des Restbudgets und revisionssicherer Journaleintrag — alles unteilbar in einer Transaktion.</w:t>
      </w:r>
    </w:p>
    <w:p w14:paraId="36EB182C" w14:textId="77777777" w:rsidR="00EC7D8B" w:rsidRDefault="00000000">
      <w:pPr>
        <w:spacing w:after="120"/>
        <w:jc w:val="both"/>
      </w:pPr>
      <w:r>
        <w:t xml:space="preserve">Dazu kommen: Fallanlage und -änderung mit Historisierung, die Einsichtsprotokollierung vollständiger Falldaten (60-Sekunden-Bündelung), die </w:t>
      </w:r>
      <w:proofErr w:type="spellStart"/>
      <w:r>
        <w:t>Bescheiderteilung</w:t>
      </w:r>
      <w:proofErr w:type="spellEnd"/>
      <w:r>
        <w:t xml:space="preserve"> mit Snapshot und Monatsplan, Storno mit Zahlungssperre und Restbudget-Rückbuchung, der Kassenlauf (übergibt exakt die gesperrte Menge) und die Abstimmung von Bescheid und Zahlung bei bekannten Satzwechseln.</w:t>
      </w:r>
    </w:p>
    <w:p w14:paraId="740B2BEB" w14:textId="77777777" w:rsidR="00EC7D8B" w:rsidRDefault="00000000">
      <w:pPr>
        <w:keepNext/>
        <w:spacing w:after="120"/>
        <w:jc w:val="both"/>
      </w:pPr>
      <w:r>
        <w:lastRenderedPageBreak/>
        <w:t>Der Statuswechsel einer Zahlung ist bewusst klein gehalten — der folgende Zustandsautomat zeigt alle erlaubten Wege und die Absicherungen an den Übergängen:</w:t>
      </w:r>
    </w:p>
    <w:p w14:paraId="6BA0D1B3" w14:textId="77777777" w:rsidR="00EC7D8B" w:rsidRDefault="00000000">
      <w:pPr>
        <w:keepNext/>
        <w:spacing w:before="200" w:after="60"/>
        <w:jc w:val="center"/>
      </w:pPr>
      <w:r>
        <w:rPr>
          <w:noProof/>
        </w:rPr>
        <w:drawing>
          <wp:inline distT="0" distB="0" distL="0" distR="0" wp14:anchorId="42FBF690" wp14:editId="572ED286">
            <wp:extent cx="5143500" cy="32766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276600"/>
                    </a:xfrm>
                    <a:prstGeom prst="rect">
                      <a:avLst/>
                    </a:prstGeom>
                  </pic:spPr>
                </pic:pic>
              </a:graphicData>
            </a:graphic>
          </wp:inline>
        </w:drawing>
      </w:r>
    </w:p>
    <w:p w14:paraId="1399BFA2" w14:textId="77777777" w:rsidR="00EC7D8B" w:rsidRDefault="00000000">
      <w:pPr>
        <w:spacing w:after="160"/>
        <w:jc w:val="center"/>
      </w:pPr>
      <w:r>
        <w:rPr>
          <w:i/>
          <w:iCs/>
          <w:color w:val="5A6B73"/>
          <w:sz w:val="18"/>
          <w:szCs w:val="18"/>
        </w:rPr>
        <w:t>Abbildung 4: Zustandsautomat einer Zahlung (ZAHLUNG.ZAHLUNGSSTATUS)</w:t>
      </w:r>
    </w:p>
    <w:p w14:paraId="0C596A38" w14:textId="77777777" w:rsidR="00EC7D8B" w:rsidRDefault="00000000">
      <w:pPr>
        <w:spacing w:after="120"/>
        <w:jc w:val="both"/>
      </w:pPr>
      <w:r>
        <w:rPr>
          <w:b/>
          <w:bCs/>
          <w:color w:val="0E2A33"/>
        </w:rPr>
        <w:t>So liest man das Bild:</w:t>
      </w:r>
      <w:r>
        <w:t xml:space="preserve"> Jede Zahlung entsteht als </w:t>
      </w:r>
      <w:r>
        <w:rPr>
          <w:rFonts w:ascii="Consolas" w:hAnsi="Consolas"/>
          <w:color w:val="0B4A56"/>
          <w:sz w:val="20"/>
          <w:szCs w:val="20"/>
        </w:rPr>
        <w:t>ANGELEGT</w:t>
      </w:r>
      <w:r>
        <w:t xml:space="preserve"> — auch die der Saga (Abschnitt 3.7). Die Freigabe auf </w:t>
      </w:r>
      <w:r>
        <w:rPr>
          <w:rFonts w:ascii="Consolas" w:hAnsi="Consolas"/>
          <w:color w:val="0B4A56"/>
          <w:sz w:val="20"/>
          <w:szCs w:val="20"/>
        </w:rPr>
        <w:t>BEREIT</w:t>
      </w:r>
      <w:r>
        <w:t xml:space="preserve"> ist das Vier-Augen-Prinzip: Sie erfolgt serverseitig und nur durch eine zweite Person, Erfasser und Freigebender müssen verschieden sein; eine Selbstfreigabe wird abgewehrt, nicht nur ausgegraut. Der </w:t>
      </w:r>
      <w:r>
        <w:rPr>
          <w:rFonts w:ascii="Consolas" w:hAnsi="Consolas"/>
          <w:color w:val="0B4A56"/>
          <w:sz w:val="20"/>
          <w:szCs w:val="20"/>
        </w:rPr>
        <w:t>Kassenlauf</w:t>
      </w:r>
      <w:r>
        <w:t xml:space="preserve"> überführt die gesperrte Menge aller BEREIT-Zahlungen auf </w:t>
      </w:r>
      <w:r>
        <w:rPr>
          <w:rFonts w:ascii="Consolas" w:hAnsi="Consolas"/>
          <w:color w:val="0B4A56"/>
          <w:sz w:val="20"/>
          <w:szCs w:val="20"/>
        </w:rPr>
        <w:t>UEBERGEBEN</w:t>
      </w:r>
      <w:r>
        <w:t xml:space="preserve"> — dieser Status ist ein Endzustand: Von hier gibt es kein Storno und kein Replay mehr, eine korrigierte Zahlung braucht eine neue Vorgangsnummer.</w:t>
      </w:r>
    </w:p>
    <w:p w14:paraId="5D4C9AF1" w14:textId="77777777" w:rsidR="00EC7D8B" w:rsidRDefault="00000000">
      <w:pPr>
        <w:spacing w:after="120"/>
        <w:jc w:val="both"/>
      </w:pPr>
      <w:r>
        <w:t xml:space="preserve">Zwei Absicherungen sind im Bild unten angemerkt: Alle Statuswechsel laufen </w:t>
      </w:r>
      <w:proofErr w:type="spellStart"/>
      <w:r>
        <w:rPr>
          <w:b/>
          <w:bCs/>
          <w:color w:val="0E2A33"/>
        </w:rPr>
        <w:t>guarded</w:t>
      </w:r>
      <w:proofErr w:type="spellEnd"/>
      <w:r>
        <w:t xml:space="preserve"> (UPDATE … WHERE STATUS = 'ALTER_STAND') — ein paralleler Kassenlauf oder ein Doppel-Storno findet keine passende Zeile mehr und wird als Rückgabe 0 erkannt, statt doppelt zu buchen. Und das </w:t>
      </w:r>
      <w:r>
        <w:rPr>
          <w:b/>
          <w:bCs/>
          <w:color w:val="0E2A33"/>
        </w:rPr>
        <w:t>Storno</w:t>
      </w:r>
      <w:r>
        <w:t xml:space="preserve"> bucht nicht nur das Restbudget zurück, sondern genau den bei der Anordnung dokumentierten Vermögenseinsatz — die Verbrauchsfortschreibung des Vermögens (§ 90 SGB XII) wird also exakt rückgängig gemacht, nicht geschätzt.</w:t>
      </w:r>
    </w:p>
    <w:p w14:paraId="5EE0FD05" w14:textId="77777777" w:rsidR="00EC7D8B" w:rsidRDefault="00000000">
      <w:pPr>
        <w:pStyle w:val="berschrift3"/>
        <w:keepNext/>
        <w:pBdr>
          <w:left w:val="single" w:sz="14" w:space="8" w:color="1B6B7A"/>
        </w:pBdr>
        <w:spacing w:before="260" w:after="80"/>
        <w:ind w:left="140"/>
      </w:pPr>
      <w:proofErr w:type="spellStart"/>
      <w:r>
        <w:t>FachlicheException</w:t>
      </w:r>
      <w:proofErr w:type="spellEnd"/>
    </w:p>
    <w:p w14:paraId="7857911D"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.FachlicheException</w:t>
      </w:r>
      <w:proofErr w:type="spellEnd"/>
      <w:r>
        <w:rPr>
          <w:rFonts w:ascii="Consolas" w:hAnsi="Consolas"/>
          <w:color w:val="5A6B73"/>
          <w:sz w:val="18"/>
          <w:szCs w:val="18"/>
        </w:rPr>
        <w:t xml:space="preserve"> · erbt </w:t>
      </w:r>
      <w:proofErr w:type="spellStart"/>
      <w:r>
        <w:rPr>
          <w:rFonts w:ascii="Consolas" w:hAnsi="Consolas"/>
          <w:color w:val="5A6B73"/>
          <w:sz w:val="18"/>
          <w:szCs w:val="18"/>
        </w:rPr>
        <w:t>TxException</w:t>
      </w:r>
      <w:proofErr w:type="spellEnd"/>
    </w:p>
    <w:p w14:paraId="5266FFBE" w14:textId="77777777" w:rsidR="00EC7D8B" w:rsidRDefault="00000000">
      <w:pPr>
        <w:spacing w:after="120"/>
        <w:jc w:val="both"/>
      </w:pPr>
      <w:r>
        <w:t xml:space="preserve">Der fachliche Fehler: kein Anspruch, Restbudget erschöpft, gleichzeitige Maskenänderung zweier Sachbearbeiter. Er erbt von </w:t>
      </w:r>
      <w:proofErr w:type="spellStart"/>
      <w:r>
        <w:t>TxException</w:t>
      </w:r>
      <w:proofErr w:type="spellEnd"/>
      <w:r>
        <w:t xml:space="preserve">, damit der </w:t>
      </w:r>
      <w:proofErr w:type="spellStart"/>
      <w:r>
        <w:t>TxManager</w:t>
      </w:r>
      <w:proofErr w:type="spellEnd"/>
      <w:r>
        <w:t xml:space="preserve"> ihn unangetastet durchreicht (Rollback ja, Wiederholung nein) und die Webschicht ihn als Fachfehler erkennt — sonst käme er als technischer Fehler (HTTP 500) an. Das Feld </w:t>
      </w:r>
      <w:r>
        <w:rPr>
          <w:rFonts w:ascii="Consolas" w:hAnsi="Consolas"/>
          <w:color w:val="0B4A56"/>
          <w:sz w:val="20"/>
          <w:szCs w:val="20"/>
        </w:rPr>
        <w:t>code</w:t>
      </w:r>
      <w:r>
        <w:t xml:space="preserve"> steuert die Anzeige in der Oberfläche.</w:t>
      </w:r>
    </w:p>
    <w:p w14:paraId="546DFFC1" w14:textId="77777777" w:rsidR="00EC7D8B" w:rsidRDefault="00000000">
      <w:pPr>
        <w:pStyle w:val="berschrift3"/>
        <w:keepNext/>
        <w:pBdr>
          <w:left w:val="single" w:sz="14" w:space="8" w:color="1B6B7A"/>
        </w:pBdr>
        <w:spacing w:before="260" w:after="80"/>
        <w:ind w:left="140"/>
      </w:pPr>
      <w:proofErr w:type="spellStart"/>
      <w:r>
        <w:lastRenderedPageBreak/>
        <w:t>SepaValidator</w:t>
      </w:r>
      <w:proofErr w:type="spellEnd"/>
    </w:p>
    <w:p w14:paraId="1AF95FE3"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.SepaValidator</w:t>
      </w:r>
      <w:proofErr w:type="spellEnd"/>
      <w:r>
        <w:rPr>
          <w:rFonts w:ascii="Consolas" w:hAnsi="Consolas"/>
          <w:color w:val="5A6B73"/>
          <w:sz w:val="18"/>
          <w:szCs w:val="18"/>
        </w:rPr>
        <w:t xml:space="preserve"> · final </w:t>
      </w:r>
      <w:proofErr w:type="spellStart"/>
      <w:r>
        <w:rPr>
          <w:rFonts w:ascii="Consolas" w:hAnsi="Consolas"/>
          <w:color w:val="5A6B73"/>
          <w:sz w:val="18"/>
          <w:szCs w:val="18"/>
        </w:rPr>
        <w:t>class</w:t>
      </w:r>
      <w:proofErr w:type="spellEnd"/>
    </w:p>
    <w:p w14:paraId="6BE059F5" w14:textId="77777777" w:rsidR="00EC7D8B" w:rsidRDefault="00000000">
      <w:pPr>
        <w:spacing w:after="120"/>
        <w:jc w:val="both"/>
      </w:pPr>
      <w:r>
        <w:t>Validierung und Formatierung von SEPA-Bankverbindungen: IBAN nach ISO 13616 mit Modulo-97-Prüfziffernverfahren (ISO 7064), BIC nach ISO 9362. Tippfehler in Bankverbindungen werden so vor dem Speichern abgefangen — nicht erst, wenn die Zahlung bei der Bank platzt.</w:t>
      </w:r>
    </w:p>
    <w:p w14:paraId="18E80BAF" w14:textId="77777777" w:rsidR="00EC7D8B" w:rsidRDefault="00000000">
      <w:pPr>
        <w:pStyle w:val="berschrift3"/>
        <w:keepNext/>
        <w:pBdr>
          <w:left w:val="single" w:sz="14" w:space="8" w:color="1B6B7A"/>
        </w:pBdr>
        <w:spacing w:before="260" w:after="80"/>
        <w:ind w:left="140"/>
      </w:pPr>
      <w:proofErr w:type="spellStart"/>
      <w:r>
        <w:t>BescheidGenerator</w:t>
      </w:r>
      <w:proofErr w:type="spellEnd"/>
    </w:p>
    <w:p w14:paraId="1914FFD5"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.BescheidGenerator</w:t>
      </w:r>
      <w:proofErr w:type="spellEnd"/>
      <w:r>
        <w:rPr>
          <w:rFonts w:ascii="Consolas" w:hAnsi="Consolas"/>
          <w:color w:val="5A6B73"/>
          <w:sz w:val="18"/>
          <w:szCs w:val="18"/>
        </w:rPr>
        <w:t xml:space="preserve"> · 432 Zeilen</w:t>
      </w:r>
    </w:p>
    <w:p w14:paraId="55A75E40" w14:textId="77777777" w:rsidR="00EC7D8B" w:rsidRDefault="00000000">
      <w:pPr>
        <w:spacing w:after="120"/>
        <w:jc w:val="both"/>
      </w:pPr>
      <w:r>
        <w:t>Erzeugt den Bewilligungsbescheid (Paragraf 44 SGB XII) mit amtlichem Layout: Verfügungssatz, fallbezogene Bedarfsaufschlüsselung mit KdU-Vorbehalt, Zahlungsverbindung, Begründung mit Hauptgründen und vollständiger Rechtsbehelfsbelehrung samt Belehrung nach Paragraf 73 SGG. Der Druck zeigt ausschließlich den versionierten JSON-Snapshot aus dem Erteilungszeitpunkt; fehlt er, wird neu gerechnet und ein deutlicher Hinweiskasten gesetzt. Ein Einmal-Druck-Token verhindert den wiederholten Aufruf desselben Links.</w:t>
      </w:r>
    </w:p>
    <w:p w14:paraId="10D7AF38" w14:textId="77777777" w:rsidR="00EC7D8B" w:rsidRDefault="00000000">
      <w:pPr>
        <w:pStyle w:val="berschrift3"/>
        <w:keepNext/>
        <w:pBdr>
          <w:left w:val="single" w:sz="14" w:space="8" w:color="1B6B7A"/>
        </w:pBdr>
        <w:spacing w:before="260" w:after="80"/>
        <w:ind w:left="140"/>
      </w:pPr>
      <w:r>
        <w:t>Auszahlungsauftrag</w:t>
      </w:r>
    </w:p>
    <w:p w14:paraId="3D69B563"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.Auszahlungsauftrag</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p>
    <w:p w14:paraId="1B6059BA" w14:textId="77777777" w:rsidR="00EC7D8B" w:rsidRDefault="00000000">
      <w:pPr>
        <w:spacing w:after="120"/>
        <w:jc w:val="both"/>
      </w:pPr>
      <w:r>
        <w:t>Die Anordnung einer Auszahlung durch den Sachbearbeiter (der Auszahlung-anordnen-Button): Ziel-Bedarfsgemeinschaft, Betrag, Zahlungsmonat, Bankverbindung und — die Vorgangsnummer, die das Frontend als UUID erzeugt und die den Vorgang idempotent macht.</w:t>
      </w:r>
    </w:p>
    <w:p w14:paraId="5A5F0857" w14:textId="77777777" w:rsidR="00EC7D8B" w:rsidRDefault="00000000">
      <w:pPr>
        <w:pStyle w:val="berschrift3"/>
        <w:keepNext/>
        <w:pBdr>
          <w:left w:val="single" w:sz="14" w:space="8" w:color="1B6B7A"/>
        </w:pBdr>
        <w:spacing w:before="260" w:after="80"/>
        <w:ind w:left="140"/>
      </w:pPr>
      <w:r>
        <w:t>Auszahlungsergebnis</w:t>
      </w:r>
    </w:p>
    <w:p w14:paraId="0ACFCE4C"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.Auszahlungsergebnis</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p>
    <w:p w14:paraId="6129E12B" w14:textId="77777777" w:rsidR="00EC7D8B" w:rsidRDefault="00000000">
      <w:pPr>
        <w:spacing w:after="120"/>
        <w:jc w:val="both"/>
      </w:pPr>
      <w:r>
        <w:t xml:space="preserve">Das Ergebnis einer Auszahlungsanordnung: die gebuchte (oder bei Wiederholung bereits existierende) Zahlung samt neuem Stand der Bedarfsgemeinschaft. Das Feld </w:t>
      </w:r>
      <w:proofErr w:type="spellStart"/>
      <w:r>
        <w:rPr>
          <w:rFonts w:ascii="Consolas" w:hAnsi="Consolas"/>
          <w:color w:val="0B4A56"/>
          <w:sz w:val="20"/>
          <w:szCs w:val="20"/>
        </w:rPr>
        <w:t>bereitsGebucht</w:t>
      </w:r>
      <w:proofErr w:type="spellEnd"/>
      <w:r>
        <w:t xml:space="preserve"> bedeutet: Die Vorgangsnummer war schon vorhanden, es wurde nichts erneut gebucht — die Oberfläche kann das dem Sachbearbeiter ehrlich melden.</w:t>
      </w:r>
    </w:p>
    <w:p w14:paraId="1EB02B3B" w14:textId="77777777" w:rsidR="00EC7D8B" w:rsidRDefault="00000000">
      <w:pPr>
        <w:pStyle w:val="berschrift3"/>
        <w:keepNext/>
        <w:pBdr>
          <w:left w:val="single" w:sz="14" w:space="8" w:color="1B6B7A"/>
        </w:pBdr>
        <w:spacing w:before="260" w:after="80"/>
        <w:ind w:left="140"/>
      </w:pPr>
      <w:proofErr w:type="spellStart"/>
      <w:r>
        <w:t>Kassenlaeufergebnis</w:t>
      </w:r>
      <w:proofErr w:type="spellEnd"/>
    </w:p>
    <w:p w14:paraId="67772C88"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.Kassenlaeufergebnis</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r>
        <w:rPr>
          <w:rFonts w:ascii="Consolas" w:hAnsi="Consolas"/>
          <w:color w:val="5A6B73"/>
          <w:sz w:val="18"/>
          <w:szCs w:val="18"/>
        </w:rPr>
        <w:t xml:space="preserve"> (</w:t>
      </w:r>
      <w:proofErr w:type="spellStart"/>
      <w:r>
        <w:rPr>
          <w:rFonts w:ascii="Consolas" w:hAnsi="Consolas"/>
          <w:color w:val="5A6B73"/>
          <w:sz w:val="18"/>
          <w:szCs w:val="18"/>
        </w:rPr>
        <w:t>anzahl</w:t>
      </w:r>
      <w:proofErr w:type="spellEnd"/>
      <w:r>
        <w:rPr>
          <w:rFonts w:ascii="Consolas" w:hAnsi="Consolas"/>
          <w:color w:val="5A6B73"/>
          <w:sz w:val="18"/>
          <w:szCs w:val="18"/>
        </w:rPr>
        <w:t>, summe)</w:t>
      </w:r>
    </w:p>
    <w:p w14:paraId="61F43CCA" w14:textId="77777777" w:rsidR="00EC7D8B" w:rsidRDefault="00000000">
      <w:pPr>
        <w:spacing w:after="120"/>
        <w:jc w:val="both"/>
      </w:pPr>
      <w:r>
        <w:t>Das Ergebnis eines Kassenlaufs: Anzahl und Summe der von BEREIT auf UEBERGEBEN gesetzten Zahlungen — null und null, wenn nichts bereit war. Bewusst schmal: Ein Kassenlauf ist ein einheitlicher Stapelübergang, keine Auswertung.</w:t>
      </w:r>
    </w:p>
    <w:p w14:paraId="71CCF3FC" w14:textId="77777777" w:rsidR="00EC7D8B" w:rsidRDefault="00000000">
      <w:pPr>
        <w:pStyle w:val="berschrift3"/>
        <w:keepNext/>
        <w:pBdr>
          <w:left w:val="single" w:sz="14" w:space="8" w:color="1B6B7A"/>
        </w:pBdr>
        <w:spacing w:before="260" w:after="80"/>
        <w:ind w:left="140"/>
      </w:pPr>
      <w:r>
        <w:t>Systemstatus</w:t>
      </w:r>
    </w:p>
    <w:p w14:paraId="5EB90C3F"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.Systemstatus</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p>
    <w:p w14:paraId="7C17B6E8" w14:textId="77777777" w:rsidR="00EC7D8B" w:rsidRDefault="00000000">
      <w:pPr>
        <w:spacing w:after="120"/>
        <w:jc w:val="both"/>
      </w:pPr>
      <w:r>
        <w:t xml:space="preserve">Die Momentaufnahme des Systemzustands für den </w:t>
      </w:r>
      <w:proofErr w:type="spellStart"/>
      <w:r>
        <w:t>Adminbereich</w:t>
      </w:r>
      <w:proofErr w:type="spellEnd"/>
      <w:r>
        <w:t>: Erreichbarkeit der Datenbank samt Kennung und Antwortzeit, Bestandszahlen einschließlich der Saga-Stände (offene Sagas zählen RUNNING und COMPENSATING — Wiederanlauf nötig; abgebrochene zählen FAILED), Task-Statistik und Laufzeitumgebung.</w:t>
      </w:r>
    </w:p>
    <w:p w14:paraId="34D0E34F" w14:textId="77777777" w:rsidR="00EC7D8B" w:rsidRDefault="00000000">
      <w:pPr>
        <w:pStyle w:val="berschrift3"/>
        <w:keepNext/>
        <w:pBdr>
          <w:left w:val="single" w:sz="14" w:space="8" w:color="1B6B7A"/>
        </w:pBdr>
        <w:spacing w:before="260" w:after="80"/>
        <w:ind w:left="140"/>
      </w:pPr>
      <w:r>
        <w:lastRenderedPageBreak/>
        <w:t>Systemdiagnose</w:t>
      </w:r>
    </w:p>
    <w:p w14:paraId="4CAD1F72"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.Systemdiagnose</w:t>
      </w:r>
      <w:proofErr w:type="spellEnd"/>
      <w:r>
        <w:rPr>
          <w:rFonts w:ascii="Consolas" w:hAnsi="Consolas"/>
          <w:color w:val="5A6B73"/>
          <w:sz w:val="18"/>
          <w:szCs w:val="18"/>
        </w:rPr>
        <w:t xml:space="preserve"> · 152 Zeilen</w:t>
      </w:r>
    </w:p>
    <w:p w14:paraId="289C38C6" w14:textId="77777777" w:rsidR="00EC7D8B" w:rsidRDefault="00000000">
      <w:pPr>
        <w:spacing w:after="120"/>
        <w:jc w:val="both"/>
      </w:pPr>
      <w:r>
        <w:t xml:space="preserve">Die aktive Systemdiagnose für den </w:t>
      </w:r>
      <w:proofErr w:type="spellStart"/>
      <w:r>
        <w:t>Adminbereich</w:t>
      </w:r>
      <w:proofErr w:type="spellEnd"/>
      <w:r>
        <w:t>: prüft die Datenbank (Erreichbarkeit, Produktkennung, Antwortzeit, Bestandszahlen), liest die Task-Statistik und stößt bei Bedarf den Wiederanlauf halbfertiger Sagas an. Die Prüfung läuft als kurze Transaktion mit hartem Zeitlimit und genau einem Versuch — ein Datenbank-Ausfall soll schnell und ohne Wiederholungslärm gemeldet werden.</w:t>
      </w:r>
    </w:p>
    <w:p w14:paraId="0C3ACE0A" w14:textId="77777777" w:rsidR="00EC7D8B" w:rsidRDefault="00000000">
      <w:pPr>
        <w:pStyle w:val="berschrift3"/>
        <w:keepNext/>
        <w:pBdr>
          <w:left w:val="single" w:sz="14" w:space="8" w:color="1B6B7A"/>
        </w:pBdr>
        <w:spacing w:before="260" w:after="80"/>
        <w:ind w:left="140"/>
      </w:pPr>
      <w:r>
        <w:t>Vorgangsdetail</w:t>
      </w:r>
    </w:p>
    <w:p w14:paraId="46FEFB66"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.Vorgangsdetail</w:t>
      </w:r>
      <w:proofErr w:type="spell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p>
    <w:p w14:paraId="3EFF4083" w14:textId="77777777" w:rsidR="00EC7D8B" w:rsidRDefault="00000000">
      <w:pPr>
        <w:spacing w:after="120"/>
        <w:jc w:val="both"/>
      </w:pPr>
      <w:r>
        <w:t xml:space="preserve">Der vollständige Lesezuschnitt für die Vorgangsmaske: Kopfdaten, alle </w:t>
      </w:r>
      <w:proofErr w:type="spellStart"/>
      <w:r>
        <w:t>SozialFälle</w:t>
      </w:r>
      <w:proofErr w:type="spellEnd"/>
      <w:r>
        <w:t xml:space="preserve"> samt berechneter Bedarfsermittlung, Zahlungshistorie und Journaleinträge. Die Berechnung kann null sein (</w:t>
      </w:r>
      <w:proofErr w:type="gramStart"/>
      <w:r>
        <w:t>etwa</w:t>
      </w:r>
      <w:proofErr w:type="gramEnd"/>
      <w:r>
        <w:t xml:space="preserve"> wenn die Regelbedarfsstufe nicht konfiguriert ist) — die Maske zeigt dann einen Hinweis statt einer Zahl.</w:t>
      </w:r>
    </w:p>
    <w:p w14:paraId="615AADDD" w14:textId="77777777" w:rsidR="00EC7D8B" w:rsidRDefault="00000000">
      <w:pPr>
        <w:pStyle w:val="berschrift3"/>
        <w:keepNext/>
        <w:pBdr>
          <w:left w:val="single" w:sz="14" w:space="8" w:color="1B6B7A"/>
        </w:pBdr>
        <w:spacing w:before="260" w:after="80"/>
        <w:ind w:left="140"/>
      </w:pPr>
      <w:r>
        <w:t>Zahlungsmonat</w:t>
      </w:r>
    </w:p>
    <w:p w14:paraId="6ECCF40A" w14:textId="77777777" w:rsidR="00EC7D8B" w:rsidRDefault="00000000">
      <w:pPr>
        <w:keepNext/>
        <w:spacing w:after="100" w:line="276" w:lineRule="auto"/>
      </w:pPr>
      <w:proofErr w:type="spellStart"/>
      <w:proofErr w:type="gramStart"/>
      <w:r>
        <w:rPr>
          <w:rFonts w:ascii="Consolas" w:hAnsi="Consolas"/>
          <w:color w:val="5A6B73"/>
          <w:sz w:val="18"/>
          <w:szCs w:val="18"/>
        </w:rPr>
        <w:t>de.allgemein.lmg.service</w:t>
      </w:r>
      <w:proofErr w:type="gramEnd"/>
      <w:r>
        <w:rPr>
          <w:rFonts w:ascii="Consolas" w:hAnsi="Consolas"/>
          <w:color w:val="5A6B73"/>
          <w:sz w:val="18"/>
          <w:szCs w:val="18"/>
        </w:rPr>
        <w:t>.Zahlungsmonat</w:t>
      </w:r>
      <w:proofErr w:type="spellEnd"/>
      <w:r>
        <w:rPr>
          <w:rFonts w:ascii="Consolas" w:hAnsi="Consolas"/>
          <w:color w:val="5A6B73"/>
          <w:sz w:val="18"/>
          <w:szCs w:val="18"/>
        </w:rPr>
        <w:t xml:space="preserve"> · final </w:t>
      </w:r>
      <w:proofErr w:type="spellStart"/>
      <w:r>
        <w:rPr>
          <w:rFonts w:ascii="Consolas" w:hAnsi="Consolas"/>
          <w:color w:val="5A6B73"/>
          <w:sz w:val="18"/>
          <w:szCs w:val="18"/>
        </w:rPr>
        <w:t>class</w:t>
      </w:r>
      <w:proofErr w:type="spellEnd"/>
    </w:p>
    <w:p w14:paraId="47BB0E08" w14:textId="77777777" w:rsidR="00EC7D8B" w:rsidRDefault="00000000">
      <w:pPr>
        <w:spacing w:after="120"/>
        <w:jc w:val="both"/>
      </w:pPr>
      <w:r>
        <w:t xml:space="preserve">Eine kleine Wertklasse für den Abrechnungszeitraum im Format JJJJ-MM (Spalte ZAHLUNG.ZAHLUNGSMONAT). Sie verhindert, dass Monatszeichenketten unverbindlich durch die Schichten geistern — </w:t>
      </w:r>
      <w:proofErr w:type="spellStart"/>
      <w:r>
        <w:t>Parsing</w:t>
      </w:r>
      <w:proofErr w:type="spellEnd"/>
      <w:r>
        <w:t xml:space="preserve"> und Formatierung haben genau einen Ort.</w:t>
      </w:r>
    </w:p>
    <w:p w14:paraId="6E16200C" w14:textId="77777777" w:rsidR="00EC7D8B" w:rsidRDefault="00000000">
      <w:pPr>
        <w:pStyle w:val="berschrift2"/>
        <w:keepNext/>
        <w:spacing w:before="320"/>
      </w:pPr>
      <w:bookmarkStart w:id="40" w:name="_Toc21"/>
      <w:bookmarkStart w:id="41" w:name="_Toc242984018"/>
      <w:r>
        <w:t xml:space="preserve">3.7 </w:t>
      </w:r>
      <w:proofErr w:type="spellStart"/>
      <w:r>
        <w:t>saga</w:t>
      </w:r>
      <w:proofErr w:type="spellEnd"/>
      <w:r>
        <w:t xml:space="preserve"> — die fachliche End-</w:t>
      </w:r>
      <w:proofErr w:type="spellStart"/>
      <w:r>
        <w:t>to</w:t>
      </w:r>
      <w:proofErr w:type="spellEnd"/>
      <w:r>
        <w:t>-End-Saga</w:t>
      </w:r>
      <w:bookmarkEnd w:id="40"/>
      <w:bookmarkEnd w:id="41"/>
    </w:p>
    <w:p w14:paraId="61D84FB6" w14:textId="77777777" w:rsidR="00EC7D8B" w:rsidRDefault="00000000">
      <w:pPr>
        <w:pStyle w:val="berschrift3"/>
        <w:keepNext/>
        <w:pBdr>
          <w:left w:val="single" w:sz="14" w:space="8" w:color="1B6B7A"/>
        </w:pBdr>
        <w:spacing w:before="260" w:after="80"/>
        <w:ind w:left="140"/>
      </w:pPr>
      <w:proofErr w:type="spellStart"/>
      <w:r>
        <w:t>AntragsSagaProzess</w:t>
      </w:r>
      <w:proofErr w:type="spellEnd"/>
    </w:p>
    <w:p w14:paraId="4276F3ED" w14:textId="77777777" w:rsidR="00EC7D8B" w:rsidRDefault="00000000">
      <w:pPr>
        <w:keepNext/>
        <w:spacing w:after="100" w:line="276" w:lineRule="auto"/>
      </w:pPr>
      <w:proofErr w:type="spellStart"/>
      <w:proofErr w:type="gramStart"/>
      <w:r>
        <w:rPr>
          <w:rFonts w:ascii="Consolas" w:hAnsi="Consolas"/>
          <w:color w:val="5A6B73"/>
          <w:sz w:val="18"/>
          <w:szCs w:val="18"/>
        </w:rPr>
        <w:t>de.allgemein.lmg.saga</w:t>
      </w:r>
      <w:proofErr w:type="gramEnd"/>
      <w:r>
        <w:rPr>
          <w:rFonts w:ascii="Consolas" w:hAnsi="Consolas"/>
          <w:color w:val="5A6B73"/>
          <w:sz w:val="18"/>
          <w:szCs w:val="18"/>
        </w:rPr>
        <w:t>.AntragsSagaProzess</w:t>
      </w:r>
      <w:proofErr w:type="spellEnd"/>
      <w:r>
        <w:rPr>
          <w:rFonts w:ascii="Consolas" w:hAnsi="Consolas"/>
          <w:color w:val="5A6B73"/>
          <w:sz w:val="18"/>
          <w:szCs w:val="18"/>
        </w:rPr>
        <w:t xml:space="preserve"> · 773 Zeilen</w:t>
      </w:r>
    </w:p>
    <w:p w14:paraId="687899C5" w14:textId="77777777" w:rsidR="00EC7D8B" w:rsidRDefault="00000000">
      <w:pPr>
        <w:spacing w:after="120"/>
        <w:jc w:val="both"/>
      </w:pPr>
      <w:r>
        <w:t xml:space="preserve">Die vollständige fachliche Saga des Leistungsmanagements — vier unteilbare Schritte mit automatischer Rückwärts-Kompensation: erstens Vorgang erfassen (Anlage von Bedarfsgemeinschaft und </w:t>
      </w:r>
      <w:proofErr w:type="spellStart"/>
      <w:r>
        <w:t>SozialFällen</w:t>
      </w:r>
      <w:proofErr w:type="spellEnd"/>
      <w:r>
        <w:t>), zweitens Bedarfsprüfung (SGB-XII-Berechnung; Abbruch bei fehlendem Anspruch), drittens Bescheid erteilen (Paragraf 44), viertens Erstauszahlung anweisen (Zahlung im Status ANGELEGT — auch hier wartet die Vier-Augen-Freigabe).</w:t>
      </w:r>
    </w:p>
    <w:p w14:paraId="75B01020" w14:textId="77777777" w:rsidR="00EC7D8B" w:rsidRDefault="00000000">
      <w:pPr>
        <w:spacing w:after="120"/>
        <w:jc w:val="both"/>
      </w:pPr>
      <w:r>
        <w:t>Drei Konventionen tragen den Wiederanlauf: Die Schritte zwei bis vier rechnen ausschließlich auf dem Datenbestand, den Schritt eins geschrieben hat — nicht auf dem Payload (manuelle Korrekturen zwischen den Schritten sind damit wirksam, und Bescheid wie Auszahlung nutzen dieselbe Basis wie der manuelle Buchungsweg). Alle Kompensationen sind idempotent. Die Saga-Zahlung wird über die deterministische VORGANGS_NR SAGA- plus Kennung korreliert — fremde Zahlungen derselben Bedarfsgemeinschaft bleiben unberührt. Und der Vorgang wird beim Rückwärtslauf historisiert, nicht gelöscht (Paragraf 67 SGB X: auch eine Ablehnung muss nachvollziehbar bleiben).</w:t>
      </w:r>
    </w:p>
    <w:p w14:paraId="7E679B99" w14:textId="77777777" w:rsidR="00EC7D8B" w:rsidRDefault="00000000">
      <w:pPr>
        <w:pStyle w:val="berschrift2"/>
        <w:keepNext/>
        <w:spacing w:before="320"/>
      </w:pPr>
      <w:bookmarkStart w:id="42" w:name="_Toc22"/>
      <w:bookmarkStart w:id="43" w:name="_Toc242984019"/>
      <w:r>
        <w:lastRenderedPageBreak/>
        <w:t>3.8 web — Weboberfläche und JSON-API</w:t>
      </w:r>
      <w:bookmarkEnd w:id="42"/>
      <w:bookmarkEnd w:id="43"/>
    </w:p>
    <w:p w14:paraId="67C94613" w14:textId="77777777" w:rsidR="00EC7D8B" w:rsidRDefault="00000000">
      <w:pPr>
        <w:spacing w:after="120"/>
        <w:jc w:val="both"/>
      </w:pPr>
      <w:r>
        <w:t xml:space="preserve">Die Webschicht setzt auf den im JDK enthaltenen </w:t>
      </w:r>
      <w:proofErr w:type="spellStart"/>
      <w:r>
        <w:t>HttpServer</w:t>
      </w:r>
      <w:proofErr w:type="spellEnd"/>
      <w:r>
        <w:t xml:space="preserve"> — bewusst kein Servlet-Container, keine zusätzliche Abhängigkeit. Jede API-Anfrage läuft als Task über den </w:t>
      </w:r>
      <w:proofErr w:type="spellStart"/>
      <w:r>
        <w:t>TaskController</w:t>
      </w:r>
      <w:proofErr w:type="spellEnd"/>
      <w:r>
        <w:t>: begrenzte Parallelität, Wachhund und Statistik der Transaktionssteuerung gelten damit auch für den Webbetrieb.</w:t>
      </w:r>
    </w:p>
    <w:p w14:paraId="2F922CBB" w14:textId="77777777" w:rsidR="00EC7D8B" w:rsidRDefault="00000000">
      <w:pPr>
        <w:pStyle w:val="berschrift3"/>
        <w:keepNext/>
        <w:pBdr>
          <w:left w:val="single" w:sz="14" w:space="8" w:color="1B6B7A"/>
        </w:pBdr>
        <w:spacing w:before="260" w:after="80"/>
        <w:ind w:left="140"/>
      </w:pPr>
      <w:proofErr w:type="spellStart"/>
      <w:r>
        <w:t>LmgServer</w:t>
      </w:r>
      <w:proofErr w:type="spellEnd"/>
    </w:p>
    <w:p w14:paraId="15CAD602" w14:textId="77777777" w:rsidR="00EC7D8B" w:rsidRDefault="00000000">
      <w:pPr>
        <w:keepNext/>
        <w:spacing w:after="100" w:line="276" w:lineRule="auto"/>
      </w:pPr>
      <w:proofErr w:type="spellStart"/>
      <w:proofErr w:type="gramStart"/>
      <w:r>
        <w:rPr>
          <w:rFonts w:ascii="Consolas" w:hAnsi="Consolas"/>
          <w:color w:val="5A6B73"/>
          <w:sz w:val="18"/>
          <w:szCs w:val="18"/>
        </w:rPr>
        <w:t>de.allgemein.lmg.web.LmgServer</w:t>
      </w:r>
      <w:proofErr w:type="spellEnd"/>
      <w:proofErr w:type="gramEnd"/>
      <w:r>
        <w:rPr>
          <w:rFonts w:ascii="Consolas" w:hAnsi="Consolas"/>
          <w:color w:val="5A6B73"/>
          <w:sz w:val="18"/>
          <w:szCs w:val="18"/>
        </w:rPr>
        <w:t xml:space="preserve"> · 929 Zeilen · </w:t>
      </w:r>
      <w:proofErr w:type="spellStart"/>
      <w:r>
        <w:rPr>
          <w:rFonts w:ascii="Consolas" w:hAnsi="Consolas"/>
          <w:color w:val="5A6B73"/>
          <w:sz w:val="18"/>
          <w:szCs w:val="18"/>
        </w:rPr>
        <w:t>AutoCloseable</w:t>
      </w:r>
      <w:proofErr w:type="spellEnd"/>
    </w:p>
    <w:p w14:paraId="2180B690" w14:textId="77777777" w:rsidR="00EC7D8B" w:rsidRDefault="00000000">
      <w:pPr>
        <w:spacing w:after="120"/>
        <w:jc w:val="both"/>
      </w:pPr>
      <w:r>
        <w:t xml:space="preserve">Die größte Klasse des Projekts: die Webschicht mit JSON-API und Oberfläche im </w:t>
      </w:r>
      <w:proofErr w:type="spellStart"/>
      <w:r>
        <w:t>SDN.Leistung</w:t>
      </w:r>
      <w:proofErr w:type="spellEnd"/>
      <w:r>
        <w:t>-Stil. Aufgabenpaket: Sitzungen und Rollen prüfen (Token nur aus dem Header, Ausnahme Druck-Link mit Einmal-Token), Anfragekörper begrenzen, JSON-Tiefen begrenzen, Alle Serverdaten HTML-</w:t>
      </w:r>
      <w:proofErr w:type="spellStart"/>
      <w:r>
        <w:t>escaped</w:t>
      </w:r>
      <w:proofErr w:type="spellEnd"/>
      <w:r>
        <w:t xml:space="preserve"> ausgeben und eine Content-Security-Policy setzen. Sammel-Übersichten liefern keine Bankdaten mehr — IBAN und BIC erscheinen nur im protokollierten Einzelkontext (Einsichtsprotokoll). Druckantworten setzen </w:t>
      </w:r>
      <w:proofErr w:type="spellStart"/>
      <w:r>
        <w:t>no</w:t>
      </w:r>
      <w:proofErr w:type="spellEnd"/>
      <w:r>
        <w:t>-store.</w:t>
      </w:r>
    </w:p>
    <w:p w14:paraId="61E86FC1" w14:textId="77777777" w:rsidR="00EC7D8B" w:rsidRDefault="00000000">
      <w:pPr>
        <w:spacing w:after="120"/>
        <w:jc w:val="both"/>
      </w:pPr>
      <w:r>
        <w:t xml:space="preserve">Zum Lesen lohnt der Einstieg über die ROUTEN-Struktur am Anfang der Klasse: Jede Zeile zeigt, welcher Endpunkt auf welche </w:t>
      </w:r>
      <w:proofErr w:type="spellStart"/>
      <w:r>
        <w:t>DienstMethode</w:t>
      </w:r>
      <w:proofErr w:type="spellEnd"/>
      <w:r>
        <w:t xml:space="preserve"> des </w:t>
      </w:r>
      <w:proofErr w:type="spellStart"/>
      <w:r>
        <w:t>LeistungsService</w:t>
      </w:r>
      <w:proofErr w:type="spellEnd"/>
      <w:r>
        <w:t xml:space="preserve"> zeigt.</w:t>
      </w:r>
    </w:p>
    <w:p w14:paraId="2D1416DB" w14:textId="77777777" w:rsidR="00EC7D8B" w:rsidRDefault="00000000">
      <w:pPr>
        <w:pStyle w:val="berschrift3"/>
        <w:keepNext/>
        <w:pBdr>
          <w:left w:val="single" w:sz="14" w:space="8" w:color="1B6B7A"/>
        </w:pBdr>
        <w:spacing w:before="260" w:after="80"/>
        <w:ind w:left="140"/>
      </w:pPr>
      <w:proofErr w:type="spellStart"/>
      <w:r>
        <w:t>LmgServerMain</w:t>
      </w:r>
      <w:proofErr w:type="spellEnd"/>
    </w:p>
    <w:p w14:paraId="76BD9DEE" w14:textId="77777777" w:rsidR="00EC7D8B" w:rsidRDefault="00000000">
      <w:pPr>
        <w:keepNext/>
        <w:spacing w:after="100" w:line="276" w:lineRule="auto"/>
      </w:pPr>
      <w:proofErr w:type="spellStart"/>
      <w:proofErr w:type="gramStart"/>
      <w:r>
        <w:rPr>
          <w:rFonts w:ascii="Consolas" w:hAnsi="Consolas"/>
          <w:color w:val="5A6B73"/>
          <w:sz w:val="18"/>
          <w:szCs w:val="18"/>
        </w:rPr>
        <w:t>de.allgemein.lmg.web.LmgServerMain</w:t>
      </w:r>
      <w:proofErr w:type="spellEnd"/>
      <w:proofErr w:type="gramEnd"/>
      <w:r>
        <w:rPr>
          <w:rFonts w:ascii="Consolas" w:hAnsi="Consolas"/>
          <w:color w:val="5A6B73"/>
          <w:sz w:val="18"/>
          <w:szCs w:val="18"/>
        </w:rPr>
        <w:t xml:space="preserve"> · 161 Zeilen</w:t>
      </w:r>
    </w:p>
    <w:p w14:paraId="6360B383" w14:textId="77777777" w:rsidR="00EC7D8B" w:rsidRDefault="00000000">
      <w:pPr>
        <w:spacing w:after="120"/>
        <w:jc w:val="both"/>
      </w:pPr>
      <w:r>
        <w:t xml:space="preserve">Der Startpunkt: baut Pool, </w:t>
      </w:r>
      <w:proofErr w:type="spellStart"/>
      <w:r>
        <w:t>TxManager</w:t>
      </w:r>
      <w:proofErr w:type="spellEnd"/>
      <w:r>
        <w:t xml:space="preserve">, </w:t>
      </w:r>
      <w:proofErr w:type="spellStart"/>
      <w:r>
        <w:t>TaskController</w:t>
      </w:r>
      <w:proofErr w:type="spellEnd"/>
      <w:r>
        <w:t xml:space="preserve">, </w:t>
      </w:r>
      <w:proofErr w:type="spellStart"/>
      <w:r>
        <w:t>SagaEngine</w:t>
      </w:r>
      <w:proofErr w:type="spellEnd"/>
      <w:r>
        <w:t xml:space="preserve"> und Fachdienste auf, stößt den Wiederanlauf halbfertiger Sagas über alle Saga-Typen an und startet den Server. Port über LMG_PORT (Standard 8080), Bind-Adresse über LMG_HOST (Standard 127.0.0.1 — bewusst kein Lauschen an allen Schnittstellen; Demo-Standardkonten werden bei Nicht-</w:t>
      </w:r>
      <w:proofErr w:type="spellStart"/>
      <w:r>
        <w:t>Loopback</w:t>
      </w:r>
      <w:proofErr w:type="spellEnd"/>
      <w:r>
        <w:t xml:space="preserve"> verweigert). Vorher die DDL-Skripte einspielen. Ein geordneter Shutdown-Hook sorgt dafür, dass beim Beenden nichts Halbfertiges zurückbleibt.</w:t>
      </w:r>
    </w:p>
    <w:p w14:paraId="0FD392C4" w14:textId="77777777" w:rsidR="00EC7D8B" w:rsidRDefault="00000000">
      <w:pPr>
        <w:pStyle w:val="berschrift3"/>
        <w:keepNext/>
        <w:pBdr>
          <w:left w:val="single" w:sz="14" w:space="8" w:color="1B6B7A"/>
        </w:pBdr>
        <w:spacing w:before="260" w:after="80"/>
        <w:ind w:left="140"/>
      </w:pPr>
      <w:r>
        <w:t>Benutzerverwaltung</w:t>
      </w:r>
    </w:p>
    <w:p w14:paraId="42B22B71" w14:textId="77777777" w:rsidR="00EC7D8B" w:rsidRDefault="00000000">
      <w:pPr>
        <w:keepNext/>
        <w:spacing w:after="100" w:line="276" w:lineRule="auto"/>
      </w:pPr>
      <w:proofErr w:type="spellStart"/>
      <w:proofErr w:type="gramStart"/>
      <w:r>
        <w:rPr>
          <w:rFonts w:ascii="Consolas" w:hAnsi="Consolas"/>
          <w:color w:val="5A6B73"/>
          <w:sz w:val="18"/>
          <w:szCs w:val="18"/>
        </w:rPr>
        <w:t>de.allgemein.lmg.web.Benutzerverwaltung</w:t>
      </w:r>
      <w:proofErr w:type="spellEnd"/>
      <w:proofErr w:type="gramEnd"/>
      <w:r>
        <w:rPr>
          <w:rFonts w:ascii="Consolas" w:hAnsi="Consolas"/>
          <w:color w:val="5A6B73"/>
          <w:sz w:val="18"/>
          <w:szCs w:val="18"/>
        </w:rPr>
        <w:t xml:space="preserve"> · 213 Zeilen</w:t>
      </w:r>
    </w:p>
    <w:p w14:paraId="48395768" w14:textId="77777777" w:rsidR="00EC7D8B" w:rsidRDefault="00000000">
      <w:pPr>
        <w:spacing w:after="120"/>
        <w:jc w:val="both"/>
      </w:pPr>
      <w:r>
        <w:t xml:space="preserve">Die Anmeldeverwaltung: Benutzerkonten kommen aus der Konfigurationskaskade (Format </w:t>
      </w:r>
      <w:proofErr w:type="spellStart"/>
      <w:proofErr w:type="gramStart"/>
      <w:r>
        <w:t>kennung:passwort</w:t>
      </w:r>
      <w:proofErr w:type="gramEnd"/>
      <w:r>
        <w:t>:rolle</w:t>
      </w:r>
      <w:proofErr w:type="spellEnd"/>
      <w:r>
        <w:t>), ohne Angabe gelten Demo-Konten. Die Anmeldung liefert ein Zufalls-Token, mit dem die Webschicht jede Anfrage prüft; Sitzungen liegen im Speicher und laufen nach einem Idle-Timeout ab. Fehlgeschlagene Anmeldeversuche werden gedrosselt (nach fünf Fehlversuchen 30 Sekunden Sperre je Kennung). Für den echten Betrieb gehört hier ein Verzeichnisdienst hinter HTTPS — bewusst nicht selbst gebaut (beim Vorbild machte das der External Security Manager).</w:t>
      </w:r>
    </w:p>
    <w:p w14:paraId="5ADB03F3" w14:textId="77777777" w:rsidR="00EC7D8B" w:rsidRDefault="00000000">
      <w:pPr>
        <w:pStyle w:val="berschrift3"/>
        <w:keepNext/>
        <w:pBdr>
          <w:left w:val="single" w:sz="14" w:space="8" w:color="1B6B7A"/>
        </w:pBdr>
        <w:spacing w:before="260" w:after="80"/>
        <w:ind w:left="140"/>
      </w:pPr>
      <w:r>
        <w:lastRenderedPageBreak/>
        <w:t>Benutzer</w:t>
      </w:r>
    </w:p>
    <w:p w14:paraId="1F3372F2" w14:textId="77777777" w:rsidR="00EC7D8B" w:rsidRDefault="00000000">
      <w:pPr>
        <w:keepNext/>
        <w:spacing w:after="100" w:line="276" w:lineRule="auto"/>
      </w:pPr>
      <w:proofErr w:type="spellStart"/>
      <w:proofErr w:type="gramStart"/>
      <w:r>
        <w:rPr>
          <w:rFonts w:ascii="Consolas" w:hAnsi="Consolas"/>
          <w:color w:val="5A6B73"/>
          <w:sz w:val="18"/>
          <w:szCs w:val="18"/>
        </w:rPr>
        <w:t>de.allgemein.lmg.web.Benutzer</w:t>
      </w:r>
      <w:proofErr w:type="spellEnd"/>
      <w:proofErr w:type="gramEnd"/>
      <w:r>
        <w:rPr>
          <w:rFonts w:ascii="Consolas" w:hAnsi="Consolas"/>
          <w:color w:val="5A6B73"/>
          <w:sz w:val="18"/>
          <w:szCs w:val="18"/>
        </w:rPr>
        <w:t xml:space="preserve"> · </w:t>
      </w:r>
      <w:proofErr w:type="spellStart"/>
      <w:r>
        <w:rPr>
          <w:rFonts w:ascii="Consolas" w:hAnsi="Consolas"/>
          <w:color w:val="5A6B73"/>
          <w:sz w:val="18"/>
          <w:szCs w:val="18"/>
        </w:rPr>
        <w:t>record</w:t>
      </w:r>
      <w:proofErr w:type="spellEnd"/>
      <w:r>
        <w:rPr>
          <w:rFonts w:ascii="Consolas" w:hAnsi="Consolas"/>
          <w:color w:val="5A6B73"/>
          <w:sz w:val="18"/>
          <w:szCs w:val="18"/>
        </w:rPr>
        <w:t xml:space="preserve"> (</w:t>
      </w:r>
      <w:proofErr w:type="spellStart"/>
      <w:r>
        <w:rPr>
          <w:rFonts w:ascii="Consolas" w:hAnsi="Consolas"/>
          <w:color w:val="5A6B73"/>
          <w:sz w:val="18"/>
          <w:szCs w:val="18"/>
        </w:rPr>
        <w:t>kennung</w:t>
      </w:r>
      <w:proofErr w:type="spellEnd"/>
      <w:r>
        <w:rPr>
          <w:rFonts w:ascii="Consolas" w:hAnsi="Consolas"/>
          <w:color w:val="5A6B73"/>
          <w:sz w:val="18"/>
          <w:szCs w:val="18"/>
        </w:rPr>
        <w:t>, rolle)</w:t>
      </w:r>
    </w:p>
    <w:p w14:paraId="13CD7673" w14:textId="77777777" w:rsidR="00EC7D8B" w:rsidRDefault="00000000">
      <w:pPr>
        <w:spacing w:after="120"/>
        <w:jc w:val="both"/>
      </w:pPr>
      <w:r>
        <w:t>Der angemeldete Benutzer mit seiner Rolle (</w:t>
      </w:r>
      <w:proofErr w:type="spellStart"/>
      <w:r>
        <w:t>admin</w:t>
      </w:r>
      <w:proofErr w:type="spellEnd"/>
      <w:r>
        <w:t xml:space="preserve"> oder </w:t>
      </w:r>
      <w:proofErr w:type="spellStart"/>
      <w:r>
        <w:t>sachbearbeiter</w:t>
      </w:r>
      <w:proofErr w:type="spellEnd"/>
      <w:r>
        <w:t>). Die Kennung stammt aus der Anmeldung und ist die einzige Quelle für den Sachbearbeiter-Eintrag im Journal — Client-Angaben werden ignoriert. Die Rolle entscheidet serverseitig über jede Operation (Admin-Sonderrolle über die Rolle, nicht über die Kennung).</w:t>
      </w:r>
    </w:p>
    <w:p w14:paraId="4C45C6A9" w14:textId="77777777" w:rsidR="00EC7D8B" w:rsidRDefault="00000000">
      <w:pPr>
        <w:pStyle w:val="berschrift3"/>
        <w:keepNext/>
        <w:pBdr>
          <w:left w:val="single" w:sz="14" w:space="8" w:color="1B6B7A"/>
        </w:pBdr>
        <w:spacing w:before="260" w:after="80"/>
        <w:ind w:left="140"/>
      </w:pPr>
      <w:proofErr w:type="spellStart"/>
      <w:r>
        <w:t>Json</w:t>
      </w:r>
      <w:proofErr w:type="spellEnd"/>
    </w:p>
    <w:p w14:paraId="2BE313AB" w14:textId="77777777" w:rsidR="00EC7D8B" w:rsidRDefault="00000000">
      <w:pPr>
        <w:keepNext/>
        <w:spacing w:after="100" w:line="276" w:lineRule="auto"/>
      </w:pPr>
      <w:proofErr w:type="spellStart"/>
      <w:proofErr w:type="gramStart"/>
      <w:r>
        <w:rPr>
          <w:rFonts w:ascii="Consolas" w:hAnsi="Consolas"/>
          <w:color w:val="5A6B73"/>
          <w:sz w:val="18"/>
          <w:szCs w:val="18"/>
        </w:rPr>
        <w:t>de.allgemein.lmg.web.Json</w:t>
      </w:r>
      <w:proofErr w:type="spellEnd"/>
      <w:proofErr w:type="gramEnd"/>
      <w:r>
        <w:rPr>
          <w:rFonts w:ascii="Consolas" w:hAnsi="Consolas"/>
          <w:color w:val="5A6B73"/>
          <w:sz w:val="18"/>
          <w:szCs w:val="18"/>
        </w:rPr>
        <w:t xml:space="preserve"> · 348 Zeilen</w:t>
      </w:r>
    </w:p>
    <w:p w14:paraId="41764B88" w14:textId="77777777" w:rsidR="00EC7D8B" w:rsidRDefault="00000000">
      <w:pPr>
        <w:spacing w:after="120"/>
        <w:jc w:val="both"/>
      </w:pPr>
      <w:r>
        <w:t xml:space="preserve">Die minimale JSON-Unterstützung — bewusst ohne Bibliothek. Schreiben: Maps, Listen, Zeichenketten, </w:t>
      </w:r>
      <w:proofErr w:type="spellStart"/>
      <w:r>
        <w:t>BigDecimal</w:t>
      </w:r>
      <w:proofErr w:type="spellEnd"/>
      <w:r>
        <w:t xml:space="preserve">, </w:t>
      </w:r>
      <w:proofErr w:type="spellStart"/>
      <w:r>
        <w:t>Booleans</w:t>
      </w:r>
      <w:proofErr w:type="spellEnd"/>
      <w:r>
        <w:t xml:space="preserve"> und null. Lesen: ein vollständiger Parser (Objekte als </w:t>
      </w:r>
      <w:proofErr w:type="spellStart"/>
      <w:r>
        <w:t>LinkedHashMap</w:t>
      </w:r>
      <w:proofErr w:type="spellEnd"/>
      <w:r>
        <w:t xml:space="preserve">, Arrays als </w:t>
      </w:r>
      <w:proofErr w:type="spellStart"/>
      <w:r>
        <w:t>ArrayList</w:t>
      </w:r>
      <w:proofErr w:type="spellEnd"/>
      <w:r>
        <w:t xml:space="preserve">, Zahlen als </w:t>
      </w:r>
      <w:proofErr w:type="spellStart"/>
      <w:r>
        <w:t>BigDecimal</w:t>
      </w:r>
      <w:proofErr w:type="spellEnd"/>
      <w:r>
        <w:t>). Für Robustheit sorgen Grenzen: eine Tiefenbegrenzung und eine Beschränkung von Exponenten gegen Speicher-</w:t>
      </w:r>
      <w:proofErr w:type="spellStart"/>
      <w:r>
        <w:t>DoS</w:t>
      </w:r>
      <w:proofErr w:type="spellEnd"/>
      <w:r>
        <w:t>. Wer einen handgeschriebenen Parser studieren will, findet hier einen sauberen, kleinen.</w:t>
      </w:r>
    </w:p>
    <w:p w14:paraId="723C7406" w14:textId="77777777" w:rsidR="00EC7D8B" w:rsidRDefault="00000000">
      <w:pPr>
        <w:pStyle w:val="berschrift1"/>
        <w:keepNext/>
        <w:pageBreakBefore/>
        <w:pBdr>
          <w:bottom w:val="single" w:sz="6" w:space="6" w:color="1B6B7A"/>
        </w:pBdr>
        <w:spacing w:before="120" w:after="240"/>
      </w:pPr>
      <w:bookmarkStart w:id="44" w:name="_Toc23"/>
      <w:bookmarkStart w:id="45" w:name="_Toc242984020"/>
      <w:r>
        <w:lastRenderedPageBreak/>
        <w:t>4 Der Weg einer Auszahlung durch alle Schichten</w:t>
      </w:r>
      <w:bookmarkEnd w:id="44"/>
      <w:bookmarkEnd w:id="45"/>
    </w:p>
    <w:p w14:paraId="143BFF4C" w14:textId="77777777" w:rsidR="00EC7D8B" w:rsidRDefault="00000000">
      <w:pPr>
        <w:keepNext/>
        <w:spacing w:after="120"/>
        <w:jc w:val="both"/>
      </w:pPr>
      <w:r>
        <w:t>Um das Zusammenspiel zu verinnerlichen, folgen wir einem konkreten Vorgang: Sachbearbeiter sb-01 ordnet eine Auszahlung an, sb-02 gibt sie frei, der Kassenlauf übergibt sie. Alle genannten Klassen sind in den Kapiteln 2 und 3 beschrieben. Das Sequenzdiagramm zeigt den ersten Teil — die Anordnung — noch einmal als Überblick: Jede Spalte ist eine Schicht, jeder Pfeil ein Aufruf; die Zahlen an den Pfeilen entsprechen den Schritten der nummerierten Liste unter dem Bild.</w:t>
      </w:r>
    </w:p>
    <w:p w14:paraId="5CBDB67D" w14:textId="77777777" w:rsidR="00EC7D8B" w:rsidRDefault="00000000">
      <w:pPr>
        <w:keepNext/>
        <w:spacing w:before="200" w:after="60"/>
        <w:jc w:val="center"/>
      </w:pPr>
      <w:r>
        <w:rPr>
          <w:noProof/>
        </w:rPr>
        <w:drawing>
          <wp:inline distT="0" distB="0" distL="0" distR="0" wp14:anchorId="3A4F31DA" wp14:editId="0B384380">
            <wp:extent cx="4953000" cy="332422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324225"/>
                    </a:xfrm>
                    <a:prstGeom prst="rect">
                      <a:avLst/>
                    </a:prstGeom>
                  </pic:spPr>
                </pic:pic>
              </a:graphicData>
            </a:graphic>
          </wp:inline>
        </w:drawing>
      </w:r>
    </w:p>
    <w:p w14:paraId="750EB5DE" w14:textId="77777777" w:rsidR="00EC7D8B" w:rsidRDefault="00000000">
      <w:pPr>
        <w:spacing w:after="160"/>
        <w:jc w:val="center"/>
      </w:pPr>
      <w:r>
        <w:rPr>
          <w:i/>
          <w:iCs/>
          <w:color w:val="5A6B73"/>
          <w:sz w:val="18"/>
          <w:szCs w:val="18"/>
        </w:rPr>
        <w:t>Abbildung 5: Sequenzdiagramm — Auszahlung anordnen, von der Anfrage bis zum Commit</w:t>
      </w:r>
    </w:p>
    <w:p w14:paraId="50640B65" w14:textId="77777777" w:rsidR="00EC7D8B" w:rsidRDefault="00000000">
      <w:pPr>
        <w:spacing w:after="120"/>
        <w:jc w:val="both"/>
      </w:pPr>
      <w:r>
        <w:rPr>
          <w:b/>
          <w:bCs/>
          <w:color w:val="0E2A33"/>
        </w:rPr>
        <w:t>So liest man das Bild:</w:t>
      </w:r>
      <w:r>
        <w:t xml:space="preserve"> Die Zahlen an den Pfeilen sind die Schritte der Liste unten — tragen mehrere Pfeile dieselbe Zahl, gehören sie zum selben Schritt (bei Schritt 4 etwa das Starten des Tasks und das Beginnen der Transaktion, bei Schritt 5 das Sperren und das Prüfen). Schritt 1 (Anmeldung) liegt vor dem Bild, die Schritte 8 bis 10 (Freigabe, Kassenlauf, Storno/Wiederanlauf) setzen erst nach dem Bild ein. Die beiden gestrichelten Rückpfeile unten sind die Antwortkette; alles davor ist der Hinweg. Wichtig ist die Grenzziehung: Sitzungsprüfung und Task-Start passieren </w:t>
      </w:r>
      <w:r>
        <w:rPr>
          <w:i/>
          <w:iCs/>
        </w:rPr>
        <w:t>außerhalb</w:t>
      </w:r>
      <w:r>
        <w:t xml:space="preserve"> der Datenbanktransaktion, während die vier Pfeile an Oracle (Sperren, Prüfen, Buchen, Commit) zusammen </w:t>
      </w:r>
      <w:r>
        <w:rPr>
          <w:i/>
          <w:iCs/>
        </w:rPr>
        <w:t>eine</w:t>
      </w:r>
      <w:r>
        <w:t xml:space="preserve"> Transaktion bilden — genau die, die der </w:t>
      </w:r>
      <w:proofErr w:type="spellStart"/>
      <w:r>
        <w:rPr>
          <w:rFonts w:ascii="Consolas" w:hAnsi="Consolas"/>
          <w:color w:val="0B4A56"/>
          <w:sz w:val="20"/>
          <w:szCs w:val="20"/>
        </w:rPr>
        <w:t>TxManager</w:t>
      </w:r>
      <w:proofErr w:type="spellEnd"/>
      <w:r>
        <w:t xml:space="preserve"> führt. Scheitert irgendwas dazwischen mit einem Fachfehler, rollt diese eine Transaktion komplett zurück; ein </w:t>
      </w:r>
      <w:proofErr w:type="spellStart"/>
      <w:r>
        <w:t>Sperrenkonflikt</w:t>
      </w:r>
      <w:proofErr w:type="spellEnd"/>
      <w:r>
        <w:t xml:space="preserve"> löst über die </w:t>
      </w:r>
      <w:proofErr w:type="spellStart"/>
      <w:r>
        <w:rPr>
          <w:rFonts w:ascii="Consolas" w:hAnsi="Consolas"/>
          <w:color w:val="0B4A56"/>
          <w:sz w:val="20"/>
          <w:szCs w:val="20"/>
        </w:rPr>
        <w:t>RetryPolicy</w:t>
      </w:r>
      <w:proofErr w:type="spellEnd"/>
      <w:r>
        <w:t xml:space="preserve"> eine ganze Wiederholung ab (die Fußnote im Bild).</w:t>
      </w:r>
    </w:p>
    <w:p w14:paraId="29160460" w14:textId="77777777" w:rsidR="00EC7D8B" w:rsidRDefault="00000000">
      <w:pPr>
        <w:pStyle w:val="Listenabsatz"/>
        <w:numPr>
          <w:ilvl w:val="0"/>
          <w:numId w:val="2"/>
        </w:numPr>
        <w:spacing w:after="100"/>
        <w:jc w:val="both"/>
      </w:pPr>
      <w:r>
        <w:rPr>
          <w:b/>
          <w:bCs/>
          <w:color w:val="0E2A33"/>
        </w:rPr>
        <w:t xml:space="preserve">Anmeldung: </w:t>
      </w:r>
      <w:r>
        <w:t xml:space="preserve">sb-01 meldet sich an. Die </w:t>
      </w:r>
      <w:r>
        <w:rPr>
          <w:rFonts w:ascii="Consolas" w:hAnsi="Consolas"/>
          <w:color w:val="0B4A56"/>
          <w:sz w:val="20"/>
          <w:szCs w:val="20"/>
        </w:rPr>
        <w:t>Benutzerverwaltung</w:t>
      </w:r>
      <w:r>
        <w:t xml:space="preserve"> prüft Kennung und Passwort, drosselt Fehlversuche und stellt ein Sitzungs-Token aus. Ab jetzt führt jeder Request dieses Token im Header; der </w:t>
      </w:r>
      <w:r>
        <w:rPr>
          <w:rFonts w:ascii="Consolas" w:hAnsi="Consolas"/>
          <w:color w:val="0B4A56"/>
          <w:sz w:val="20"/>
          <w:szCs w:val="20"/>
        </w:rPr>
        <w:t>Benutzer</w:t>
      </w:r>
      <w:r>
        <w:t>-</w:t>
      </w:r>
      <w:proofErr w:type="spellStart"/>
      <w:r>
        <w:t>Record</w:t>
      </w:r>
      <w:proofErr w:type="spellEnd"/>
      <w:r>
        <w:t xml:space="preserve"> (Kennung, Rolle) begleitet die Anfrage.</w:t>
      </w:r>
    </w:p>
    <w:p w14:paraId="4CB292D1" w14:textId="77777777" w:rsidR="00EC7D8B" w:rsidRDefault="00000000">
      <w:pPr>
        <w:pStyle w:val="Listenabsatz"/>
        <w:numPr>
          <w:ilvl w:val="0"/>
          <w:numId w:val="2"/>
        </w:numPr>
        <w:spacing w:after="100"/>
        <w:jc w:val="both"/>
      </w:pPr>
      <w:r>
        <w:rPr>
          <w:b/>
          <w:bCs/>
          <w:color w:val="0E2A33"/>
        </w:rPr>
        <w:lastRenderedPageBreak/>
        <w:t xml:space="preserve">Anfrage trifft ein: </w:t>
      </w:r>
      <w:r>
        <w:t xml:space="preserve">Der </w:t>
      </w:r>
      <w:proofErr w:type="spellStart"/>
      <w:r>
        <w:rPr>
          <w:rFonts w:ascii="Consolas" w:hAnsi="Consolas"/>
          <w:color w:val="0B4A56"/>
          <w:sz w:val="20"/>
          <w:szCs w:val="20"/>
        </w:rPr>
        <w:t>LmgServer</w:t>
      </w:r>
      <w:proofErr w:type="spellEnd"/>
      <w:r>
        <w:t xml:space="preserve"> nimmt den JSON-Aufruf entgegen, prüft Sitzung und Rolle, begrenzt Körpergröße und JSON-Tiefe und liest den Payload mit der eigenen </w:t>
      </w:r>
      <w:proofErr w:type="spellStart"/>
      <w:r>
        <w:rPr>
          <w:rFonts w:ascii="Consolas" w:hAnsi="Consolas"/>
          <w:color w:val="0B4A56"/>
          <w:sz w:val="20"/>
          <w:szCs w:val="20"/>
        </w:rPr>
        <w:t>Json</w:t>
      </w:r>
      <w:proofErr w:type="spellEnd"/>
      <w:r>
        <w:t xml:space="preserve">-Klasse — darin ein </w:t>
      </w:r>
      <w:r>
        <w:rPr>
          <w:rFonts w:ascii="Consolas" w:hAnsi="Consolas"/>
          <w:color w:val="0B4A56"/>
          <w:sz w:val="20"/>
          <w:szCs w:val="20"/>
        </w:rPr>
        <w:t>Auszahlungsauftrag</w:t>
      </w:r>
      <w:r>
        <w:t xml:space="preserve"> mit der vom Frontend erzeugten UUID als Vorgangsnummer.</w:t>
      </w:r>
    </w:p>
    <w:p w14:paraId="79B741C0" w14:textId="77777777" w:rsidR="00EC7D8B" w:rsidRDefault="00000000">
      <w:pPr>
        <w:pStyle w:val="Listenabsatz"/>
        <w:numPr>
          <w:ilvl w:val="0"/>
          <w:numId w:val="2"/>
        </w:numPr>
        <w:spacing w:after="100"/>
        <w:jc w:val="both"/>
      </w:pPr>
      <w:r>
        <w:rPr>
          <w:b/>
          <w:bCs/>
          <w:color w:val="0E2A33"/>
        </w:rPr>
        <w:t xml:space="preserve">Task statt Faden: </w:t>
      </w:r>
      <w:r>
        <w:t xml:space="preserve">Die Anfrage wird als Task beim </w:t>
      </w:r>
      <w:proofErr w:type="spellStart"/>
      <w:r>
        <w:rPr>
          <w:rFonts w:ascii="Consolas" w:hAnsi="Consolas"/>
          <w:color w:val="0B4A56"/>
          <w:sz w:val="20"/>
          <w:szCs w:val="20"/>
        </w:rPr>
        <w:t>TaskController</w:t>
      </w:r>
      <w:proofErr w:type="spellEnd"/>
      <w:r>
        <w:t xml:space="preserve"> eingereicht. Parallelität ist begrenzt, der Wachhund startet mit der Ausführung — die Wartezeit davor zählt nicht aufs Zeitlimit. Das Ergebnis holt die Webschicht über das </w:t>
      </w:r>
      <w:proofErr w:type="spellStart"/>
      <w:r>
        <w:rPr>
          <w:rFonts w:ascii="Consolas" w:hAnsi="Consolas"/>
          <w:color w:val="0B4A56"/>
          <w:sz w:val="20"/>
          <w:szCs w:val="20"/>
        </w:rPr>
        <w:t>TaskHandle</w:t>
      </w:r>
      <w:proofErr w:type="spellEnd"/>
      <w:r>
        <w:t xml:space="preserve"> ab.</w:t>
      </w:r>
    </w:p>
    <w:p w14:paraId="06625D30" w14:textId="77777777" w:rsidR="00EC7D8B" w:rsidRDefault="00000000">
      <w:pPr>
        <w:pStyle w:val="Listenabsatz"/>
        <w:numPr>
          <w:ilvl w:val="0"/>
          <w:numId w:val="2"/>
        </w:numPr>
        <w:spacing w:after="100"/>
        <w:jc w:val="both"/>
      </w:pPr>
      <w:r>
        <w:rPr>
          <w:b/>
          <w:bCs/>
          <w:color w:val="0E2A33"/>
        </w:rPr>
        <w:t xml:space="preserve">Fachdienst und Transaktion: </w:t>
      </w:r>
      <w:r>
        <w:t xml:space="preserve">Der Task ruft </w:t>
      </w:r>
      <w:proofErr w:type="spellStart"/>
      <w:r>
        <w:rPr>
          <w:rFonts w:ascii="Consolas" w:hAnsi="Consolas"/>
          <w:color w:val="0B4A56"/>
          <w:sz w:val="20"/>
          <w:szCs w:val="20"/>
        </w:rPr>
        <w:t>SozialLeistungsService.ordneAuszahlungAn</w:t>
      </w:r>
      <w:proofErr w:type="spellEnd"/>
      <w:r>
        <w:t xml:space="preserve">. Der Service verpackt die Arbeit als </w:t>
      </w:r>
      <w:proofErr w:type="spellStart"/>
      <w:r>
        <w:rPr>
          <w:rFonts w:ascii="Consolas" w:hAnsi="Consolas"/>
          <w:color w:val="0B4A56"/>
          <w:sz w:val="20"/>
          <w:szCs w:val="20"/>
        </w:rPr>
        <w:t>TxWork</w:t>
      </w:r>
      <w:proofErr w:type="spellEnd"/>
      <w:r>
        <w:t xml:space="preserve"> und übergibt sie dem </w:t>
      </w:r>
      <w:proofErr w:type="spellStart"/>
      <w:r>
        <w:rPr>
          <w:rFonts w:ascii="Consolas" w:hAnsi="Consolas"/>
          <w:color w:val="0B4A56"/>
          <w:sz w:val="20"/>
          <w:szCs w:val="20"/>
        </w:rPr>
        <w:t>TxManager</w:t>
      </w:r>
      <w:proofErr w:type="spellEnd"/>
      <w:r>
        <w:t xml:space="preserve"> samt </w:t>
      </w:r>
      <w:proofErr w:type="spellStart"/>
      <w:r>
        <w:rPr>
          <w:rFonts w:ascii="Consolas" w:hAnsi="Consolas"/>
          <w:color w:val="0B4A56"/>
          <w:sz w:val="20"/>
          <w:szCs w:val="20"/>
        </w:rPr>
        <w:t>TxOptions</w:t>
      </w:r>
      <w:proofErr w:type="spellEnd"/>
      <w:r>
        <w:t xml:space="preserve">. Der Manager leiht eine Verbindung aus dem </w:t>
      </w:r>
      <w:proofErr w:type="spellStart"/>
      <w:r>
        <w:rPr>
          <w:rFonts w:ascii="Consolas" w:hAnsi="Consolas"/>
          <w:color w:val="0B4A56"/>
          <w:sz w:val="20"/>
          <w:szCs w:val="20"/>
        </w:rPr>
        <w:t>ConnectionPool</w:t>
      </w:r>
      <w:proofErr w:type="spellEnd"/>
      <w:r>
        <w:t xml:space="preserve"> und beginnt die Transaktion.</w:t>
      </w:r>
    </w:p>
    <w:p w14:paraId="069DA66D" w14:textId="77777777" w:rsidR="00EC7D8B" w:rsidRDefault="00000000">
      <w:pPr>
        <w:pStyle w:val="Listenabsatz"/>
        <w:numPr>
          <w:ilvl w:val="0"/>
          <w:numId w:val="2"/>
        </w:numPr>
        <w:spacing w:after="100"/>
        <w:jc w:val="both"/>
      </w:pPr>
      <w:r>
        <w:rPr>
          <w:b/>
          <w:bCs/>
          <w:color w:val="0E2A33"/>
        </w:rPr>
        <w:t xml:space="preserve">Sperren und prüfen: </w:t>
      </w:r>
      <w:r>
        <w:t xml:space="preserve">Auf der Verbindung der laufenden Transaktion (aus dem </w:t>
      </w:r>
      <w:proofErr w:type="spellStart"/>
      <w:r>
        <w:rPr>
          <w:rFonts w:ascii="Consolas" w:hAnsi="Consolas"/>
          <w:color w:val="0B4A56"/>
          <w:sz w:val="20"/>
          <w:szCs w:val="20"/>
        </w:rPr>
        <w:t>TxContext</w:t>
      </w:r>
      <w:proofErr w:type="spellEnd"/>
      <w:r>
        <w:t xml:space="preserve">) sperren die DAOs die Bedarfsgemeinschaft (SELECT ... FOR UPDATE im </w:t>
      </w:r>
      <w:proofErr w:type="spellStart"/>
      <w:r>
        <w:rPr>
          <w:rFonts w:ascii="Consolas" w:hAnsi="Consolas"/>
          <w:color w:val="0B4A56"/>
          <w:sz w:val="20"/>
          <w:szCs w:val="20"/>
        </w:rPr>
        <w:t>BedarfsgemeinschaftDao</w:t>
      </w:r>
      <w:proofErr w:type="spellEnd"/>
      <w:r>
        <w:t>), prüfen das Restbudget und die Vorgangsnummer (</w:t>
      </w:r>
      <w:proofErr w:type="spellStart"/>
      <w:r>
        <w:rPr>
          <w:rFonts w:ascii="Consolas" w:hAnsi="Consolas"/>
          <w:color w:val="0B4A56"/>
          <w:sz w:val="20"/>
          <w:szCs w:val="20"/>
        </w:rPr>
        <w:t>ZahlungDao</w:t>
      </w:r>
      <w:proofErr w:type="spellEnd"/>
      <w:r>
        <w:t>: eindeutig — ein wiederholter Request läuft ins Leere statt doppelt zu buchen).</w:t>
      </w:r>
    </w:p>
    <w:p w14:paraId="6906489C" w14:textId="77777777" w:rsidR="00EC7D8B" w:rsidRDefault="00000000">
      <w:pPr>
        <w:pStyle w:val="Listenabsatz"/>
        <w:numPr>
          <w:ilvl w:val="0"/>
          <w:numId w:val="2"/>
        </w:numPr>
        <w:spacing w:after="100"/>
        <w:jc w:val="both"/>
      </w:pPr>
      <w:r>
        <w:rPr>
          <w:b/>
          <w:bCs/>
          <w:color w:val="0E2A33"/>
        </w:rPr>
        <w:t xml:space="preserve">Buchen und </w:t>
      </w:r>
      <w:proofErr w:type="spellStart"/>
      <w:r>
        <w:rPr>
          <w:b/>
          <w:bCs/>
          <w:color w:val="0E2A33"/>
        </w:rPr>
        <w:t>journalieren</w:t>
      </w:r>
      <w:proofErr w:type="spellEnd"/>
      <w:r>
        <w:rPr>
          <w:b/>
          <w:bCs/>
          <w:color w:val="0E2A33"/>
        </w:rPr>
        <w:t xml:space="preserve">: </w:t>
      </w:r>
      <w:r>
        <w:t xml:space="preserve">Die Zahlung entsteht im Status ANGELEGT, das Restbudget mindert sich, der Vermögenseinsatz wird dokumentiert, und der </w:t>
      </w:r>
      <w:proofErr w:type="spellStart"/>
      <w:r>
        <w:rPr>
          <w:rFonts w:ascii="Consolas" w:hAnsi="Consolas"/>
          <w:color w:val="0B4A56"/>
          <w:sz w:val="20"/>
          <w:szCs w:val="20"/>
        </w:rPr>
        <w:t>JournalDao</w:t>
      </w:r>
      <w:proofErr w:type="spellEnd"/>
      <w:r>
        <w:t xml:space="preserve"> schreibt </w:t>
      </w:r>
      <w:proofErr w:type="spellStart"/>
      <w:r>
        <w:t>den</w:t>
      </w:r>
      <w:proofErr w:type="spellEnd"/>
      <w:r>
        <w:t xml:space="preserve"> Wer-wann-was-Eintrag — alles in derselben Transaktion. Scheitert etwas mit einem Fachfehler (</w:t>
      </w:r>
      <w:proofErr w:type="spellStart"/>
      <w:r>
        <w:rPr>
          <w:rFonts w:ascii="Consolas" w:hAnsi="Consolas"/>
          <w:color w:val="0B4A56"/>
          <w:sz w:val="20"/>
          <w:szCs w:val="20"/>
        </w:rPr>
        <w:t>FachlicheException</w:t>
      </w:r>
      <w:proofErr w:type="spellEnd"/>
      <w:r>
        <w:t xml:space="preserve">), rollt der </w:t>
      </w:r>
      <w:proofErr w:type="spellStart"/>
      <w:r>
        <w:t>TxManager</w:t>
      </w:r>
      <w:proofErr w:type="spellEnd"/>
      <w:r>
        <w:t xml:space="preserve"> zurück; ein </w:t>
      </w:r>
      <w:proofErr w:type="spellStart"/>
      <w:r>
        <w:t>Sperrenkonflikt</w:t>
      </w:r>
      <w:proofErr w:type="spellEnd"/>
      <w:r>
        <w:t xml:space="preserve"> (ORA-00054/60/8177) würde über die </w:t>
      </w:r>
      <w:proofErr w:type="spellStart"/>
      <w:r>
        <w:rPr>
          <w:rFonts w:ascii="Consolas" w:hAnsi="Consolas"/>
          <w:color w:val="0B4A56"/>
          <w:sz w:val="20"/>
          <w:szCs w:val="20"/>
        </w:rPr>
        <w:t>RetryPolicy</w:t>
      </w:r>
      <w:proofErr w:type="spellEnd"/>
      <w:r>
        <w:t xml:space="preserve"> wiederholt.</w:t>
      </w:r>
    </w:p>
    <w:p w14:paraId="311C7E89" w14:textId="77777777" w:rsidR="00EC7D8B" w:rsidRDefault="00000000">
      <w:pPr>
        <w:pStyle w:val="Listenabsatz"/>
        <w:numPr>
          <w:ilvl w:val="0"/>
          <w:numId w:val="2"/>
        </w:numPr>
        <w:spacing w:after="100"/>
        <w:jc w:val="both"/>
      </w:pPr>
      <w:r>
        <w:rPr>
          <w:b/>
          <w:bCs/>
          <w:color w:val="0E2A33"/>
        </w:rPr>
        <w:t xml:space="preserve">Commit und Antwort: </w:t>
      </w:r>
      <w:r>
        <w:t xml:space="preserve">Der </w:t>
      </w:r>
      <w:proofErr w:type="spellStart"/>
      <w:r>
        <w:t>TxManager</w:t>
      </w:r>
      <w:proofErr w:type="spellEnd"/>
      <w:r>
        <w:t xml:space="preserve"> committet, die Verbindung geht zurück in den Pool, das </w:t>
      </w:r>
      <w:proofErr w:type="spellStart"/>
      <w:r>
        <w:rPr>
          <w:rFonts w:ascii="Consolas" w:hAnsi="Consolas"/>
          <w:color w:val="0B4A56"/>
          <w:sz w:val="20"/>
          <w:szCs w:val="20"/>
        </w:rPr>
        <w:t>TxAuditLog</w:t>
      </w:r>
      <w:proofErr w:type="spellEnd"/>
      <w:r>
        <w:t xml:space="preserve"> vermerkt das Ereignis (ohne Sozialdaten), und die Webschicht bekommt ein </w:t>
      </w:r>
      <w:r>
        <w:rPr>
          <w:rFonts w:ascii="Consolas" w:hAnsi="Consolas"/>
          <w:color w:val="0B4A56"/>
          <w:sz w:val="20"/>
          <w:szCs w:val="20"/>
        </w:rPr>
        <w:t>Auszahlungsergebnis</w:t>
      </w:r>
      <w:r>
        <w:t xml:space="preserve"> — bei Wiederholung mit </w:t>
      </w:r>
      <w:proofErr w:type="spellStart"/>
      <w:r>
        <w:t>bereitsGebucht</w:t>
      </w:r>
      <w:proofErr w:type="spellEnd"/>
      <w:r>
        <w:t xml:space="preserve"> gleich wahr.</w:t>
      </w:r>
    </w:p>
    <w:p w14:paraId="2D2F1CE5" w14:textId="77777777" w:rsidR="00EC7D8B" w:rsidRDefault="00000000">
      <w:pPr>
        <w:pStyle w:val="Listenabsatz"/>
        <w:numPr>
          <w:ilvl w:val="0"/>
          <w:numId w:val="2"/>
        </w:numPr>
        <w:spacing w:after="100"/>
        <w:jc w:val="both"/>
      </w:pPr>
      <w:r>
        <w:rPr>
          <w:b/>
          <w:bCs/>
          <w:color w:val="0E2A33"/>
        </w:rPr>
        <w:t xml:space="preserve">Vier Augen: </w:t>
      </w:r>
      <w:r>
        <w:t xml:space="preserve">sb-02 (oder ein Admin) gibt frei: </w:t>
      </w:r>
      <w:proofErr w:type="spellStart"/>
      <w:r>
        <w:rPr>
          <w:rFonts w:ascii="Consolas" w:hAnsi="Consolas"/>
          <w:color w:val="0B4A56"/>
          <w:sz w:val="20"/>
          <w:szCs w:val="20"/>
        </w:rPr>
        <w:t>freigebenZahlung</w:t>
      </w:r>
      <w:proofErr w:type="spellEnd"/>
      <w:r>
        <w:t xml:space="preserve"> prüft, dass Erfasser und Freigebender verschieden sind, und setzt BEREIT. Eine Selbstfreigabe wird abgewehrt — serverseitig, nicht nur im Frontend.</w:t>
      </w:r>
    </w:p>
    <w:p w14:paraId="03744FD7" w14:textId="77777777" w:rsidR="00EC7D8B" w:rsidRDefault="00000000">
      <w:pPr>
        <w:pStyle w:val="Listenabsatz"/>
        <w:numPr>
          <w:ilvl w:val="0"/>
          <w:numId w:val="2"/>
        </w:numPr>
        <w:spacing w:after="100"/>
        <w:jc w:val="both"/>
      </w:pPr>
      <w:r>
        <w:rPr>
          <w:b/>
          <w:bCs/>
          <w:color w:val="0E2A33"/>
        </w:rPr>
        <w:t xml:space="preserve">Kassenlauf: </w:t>
      </w:r>
      <w:r>
        <w:t xml:space="preserve">Der Kassenlauf setzt die gesperrte Menge von BEREIT auf UEBERGEBEN und liefert ein </w:t>
      </w:r>
      <w:proofErr w:type="spellStart"/>
      <w:r>
        <w:rPr>
          <w:rFonts w:ascii="Consolas" w:hAnsi="Consolas"/>
          <w:color w:val="0B4A56"/>
          <w:sz w:val="20"/>
          <w:szCs w:val="20"/>
        </w:rPr>
        <w:t>Kassenlaeufergebnis</w:t>
      </w:r>
      <w:proofErr w:type="spellEnd"/>
      <w:r>
        <w:t xml:space="preserve"> (Anzahl und Summe). Erst dieser Schritt bedeutet Übergabe an die Zahlstelle.</w:t>
      </w:r>
    </w:p>
    <w:p w14:paraId="2027ABFF" w14:textId="77777777" w:rsidR="00EC7D8B" w:rsidRDefault="00000000">
      <w:pPr>
        <w:pStyle w:val="Listenabsatz"/>
        <w:numPr>
          <w:ilvl w:val="0"/>
          <w:numId w:val="2"/>
        </w:numPr>
        <w:spacing w:after="100"/>
        <w:jc w:val="both"/>
      </w:pPr>
      <w:r>
        <w:rPr>
          <w:b/>
          <w:bCs/>
          <w:color w:val="0E2A33"/>
        </w:rPr>
        <w:t xml:space="preserve">Falls etwas schiefläuft: </w:t>
      </w:r>
      <w:r>
        <w:t xml:space="preserve">Ein Storno (mit Zahlungssperre und </w:t>
      </w:r>
      <w:proofErr w:type="spellStart"/>
      <w:r>
        <w:t>guarded</w:t>
      </w:r>
      <w:proofErr w:type="spellEnd"/>
      <w:r>
        <w:t xml:space="preserve"> Statuswechsel) bucht Restbudget und dokumentierten Vermögenseinsatz exakt zurück. Und läuft der Server während eines langen Vorgangs in eine Saga (</w:t>
      </w:r>
      <w:proofErr w:type="spellStart"/>
      <w:r>
        <w:rPr>
          <w:rFonts w:ascii="Consolas" w:hAnsi="Consolas"/>
          <w:color w:val="0B4A56"/>
          <w:sz w:val="20"/>
          <w:szCs w:val="20"/>
        </w:rPr>
        <w:t>AntragsSagaProzess</w:t>
      </w:r>
      <w:proofErr w:type="spellEnd"/>
      <w:r>
        <w:t xml:space="preserve">) mitten im Schritt um, findet der Wiederanlauf der </w:t>
      </w:r>
      <w:proofErr w:type="spellStart"/>
      <w:r>
        <w:rPr>
          <w:rFonts w:ascii="Consolas" w:hAnsi="Consolas"/>
          <w:color w:val="0B4A56"/>
          <w:sz w:val="20"/>
          <w:szCs w:val="20"/>
        </w:rPr>
        <w:t>SagaEngine</w:t>
      </w:r>
      <w:proofErr w:type="spellEnd"/>
      <w:r>
        <w:t xml:space="preserve"> beim Start den Journalstand (</w:t>
      </w:r>
      <w:r>
        <w:rPr>
          <w:rFonts w:ascii="Consolas" w:hAnsi="Consolas"/>
          <w:color w:val="0B4A56"/>
          <w:sz w:val="20"/>
          <w:szCs w:val="20"/>
        </w:rPr>
        <w:t>TX_SAGA</w:t>
      </w:r>
      <w:r>
        <w:t xml:space="preserve">, </w:t>
      </w:r>
      <w:r>
        <w:rPr>
          <w:rFonts w:ascii="Consolas" w:hAnsi="Consolas"/>
          <w:color w:val="0B4A56"/>
          <w:sz w:val="20"/>
          <w:szCs w:val="20"/>
        </w:rPr>
        <w:t>TX_SAGA_STEP</w:t>
      </w:r>
      <w:r>
        <w:t xml:space="preserve">) und beendet den Vorgang sauber über </w:t>
      </w:r>
      <w:proofErr w:type="spellStart"/>
      <w:r>
        <w:rPr>
          <w:rFonts w:ascii="Consolas" w:hAnsi="Consolas"/>
          <w:color w:val="0B4A56"/>
          <w:sz w:val="20"/>
          <w:szCs w:val="20"/>
        </w:rPr>
        <w:t>SagaClaim</w:t>
      </w:r>
      <w:proofErr w:type="spellEnd"/>
      <w:r>
        <w:t>.</w:t>
      </w:r>
    </w:p>
    <w:p w14:paraId="2CFE14A7" w14:textId="77777777" w:rsidR="00EC7D8B" w:rsidRDefault="00000000">
      <w:pPr>
        <w:pStyle w:val="berschrift1"/>
        <w:keepNext/>
        <w:pageBreakBefore/>
        <w:pBdr>
          <w:bottom w:val="single" w:sz="6" w:space="6" w:color="1B6B7A"/>
        </w:pBdr>
        <w:spacing w:before="120" w:after="240"/>
      </w:pPr>
      <w:bookmarkStart w:id="46" w:name="_Toc24"/>
      <w:bookmarkStart w:id="47" w:name="_Toc242984021"/>
      <w:r>
        <w:lastRenderedPageBreak/>
        <w:t>5 Empfohlene Lernreihenfolge</w:t>
      </w:r>
      <w:bookmarkEnd w:id="46"/>
      <w:bookmarkEnd w:id="47"/>
    </w:p>
    <w:p w14:paraId="2A6B1B4B" w14:textId="77777777" w:rsidR="00EC7D8B" w:rsidRDefault="00000000">
      <w:pPr>
        <w:spacing w:after="120"/>
        <w:jc w:val="both"/>
      </w:pPr>
      <w:r>
        <w:t>Der Code lässt sich in Etappen erschließen; jede Etappe baut auf der vorherigen auf. Als Begleitung dienen die Klassenkommentare im Code (ausführlich, deutsch) und die Testklassen als Nutzungsbilder. Jeder Schritt nennt am Ende seine Fundstellen — die Seiten der Beschreibung in diesem Dokument und das Verzeichnis im Quellcode, damit niemand blind stochern muss.</w:t>
      </w:r>
    </w:p>
    <w:p w14:paraId="6A02D0CE" w14:textId="77777777" w:rsidR="00EC7D8B" w:rsidRDefault="00000000">
      <w:pPr>
        <w:pStyle w:val="Listenabsatz"/>
        <w:numPr>
          <w:ilvl w:val="0"/>
          <w:numId w:val="3"/>
        </w:numPr>
        <w:spacing w:after="100"/>
        <w:jc w:val="both"/>
      </w:pPr>
      <w:r>
        <w:rPr>
          <w:b/>
          <w:bCs/>
          <w:color w:val="0E2A33"/>
        </w:rPr>
        <w:t xml:space="preserve">Transaktion zuerst: </w:t>
      </w:r>
      <w:proofErr w:type="spellStart"/>
      <w:r>
        <w:rPr>
          <w:rFonts w:ascii="Consolas" w:hAnsi="Consolas"/>
          <w:color w:val="0B4A56"/>
          <w:sz w:val="20"/>
          <w:szCs w:val="20"/>
        </w:rPr>
        <w:t>TxManager</w:t>
      </w:r>
      <w:proofErr w:type="spellEnd"/>
      <w:r>
        <w:t xml:space="preserve">, </w:t>
      </w:r>
      <w:proofErr w:type="spellStart"/>
      <w:r>
        <w:rPr>
          <w:rFonts w:ascii="Consolas" w:hAnsi="Consolas"/>
          <w:color w:val="0B4A56"/>
          <w:sz w:val="20"/>
          <w:szCs w:val="20"/>
        </w:rPr>
        <w:t>TxWork</w:t>
      </w:r>
      <w:proofErr w:type="spellEnd"/>
      <w:r>
        <w:t xml:space="preserve">, </w:t>
      </w:r>
      <w:proofErr w:type="spellStart"/>
      <w:r>
        <w:rPr>
          <w:rFonts w:ascii="Consolas" w:hAnsi="Consolas"/>
          <w:color w:val="0B4A56"/>
          <w:sz w:val="20"/>
          <w:szCs w:val="20"/>
        </w:rPr>
        <w:t>TxOptions</w:t>
      </w:r>
      <w:proofErr w:type="spellEnd"/>
      <w:r>
        <w:t xml:space="preserve">, </w:t>
      </w:r>
      <w:proofErr w:type="spellStart"/>
      <w:r>
        <w:rPr>
          <w:rFonts w:ascii="Consolas" w:hAnsi="Consolas"/>
          <w:color w:val="0B4A56"/>
          <w:sz w:val="20"/>
          <w:szCs w:val="20"/>
        </w:rPr>
        <w:t>TxException</w:t>
      </w:r>
      <w:proofErr w:type="spellEnd"/>
      <w:r>
        <w:t xml:space="preserve"> und </w:t>
      </w:r>
      <w:proofErr w:type="spellStart"/>
      <w:r>
        <w:rPr>
          <w:rFonts w:ascii="Consolas" w:hAnsi="Consolas"/>
          <w:color w:val="0B4A56"/>
          <w:sz w:val="20"/>
          <w:szCs w:val="20"/>
        </w:rPr>
        <w:t>RetryPolicy</w:t>
      </w:r>
      <w:proofErr w:type="spellEnd"/>
      <w:r>
        <w:t xml:space="preserve"> lesen — zusammen kaum 400 Zeilen, aber das Fundament. Danach </w:t>
      </w:r>
      <w:proofErr w:type="spellStart"/>
      <w:r>
        <w:rPr>
          <w:rFonts w:ascii="Consolas" w:hAnsi="Consolas"/>
          <w:color w:val="0B4A56"/>
          <w:sz w:val="20"/>
          <w:szCs w:val="20"/>
        </w:rPr>
        <w:t>TxManagerTest</w:t>
      </w:r>
      <w:proofErr w:type="spellEnd"/>
      <w:r>
        <w:t xml:space="preserve"> ansehen: Was passiert bei Fehler, was bei </w:t>
      </w:r>
      <w:proofErr w:type="spellStart"/>
      <w:r>
        <w:t>Retry</w:t>
      </w:r>
      <w:proofErr w:type="spellEnd"/>
      <w:r>
        <w:t xml:space="preserve">? </w:t>
      </w:r>
      <w:r>
        <w:rPr>
          <w:i/>
          <w:iCs/>
        </w:rPr>
        <w:t>Fundstellen: Abschnitt 2.2 — S. 5 (</w:t>
      </w:r>
      <w:proofErr w:type="spellStart"/>
      <w:r>
        <w:rPr>
          <w:i/>
          <w:iCs/>
        </w:rPr>
        <w:t>TxManager</w:t>
      </w:r>
      <w:proofErr w:type="spellEnd"/>
      <w:r>
        <w:rPr>
          <w:i/>
          <w:iCs/>
        </w:rPr>
        <w:t xml:space="preserve">, </w:t>
      </w:r>
      <w:proofErr w:type="spellStart"/>
      <w:r>
        <w:rPr>
          <w:i/>
          <w:iCs/>
        </w:rPr>
        <w:t>TxWork</w:t>
      </w:r>
      <w:proofErr w:type="spellEnd"/>
      <w:r>
        <w:rPr>
          <w:i/>
          <w:iCs/>
        </w:rPr>
        <w:t>), S. 6 (</w:t>
      </w:r>
      <w:proofErr w:type="spellStart"/>
      <w:r>
        <w:rPr>
          <w:i/>
          <w:iCs/>
        </w:rPr>
        <w:t>TxOptions</w:t>
      </w:r>
      <w:proofErr w:type="spellEnd"/>
      <w:r>
        <w:rPr>
          <w:i/>
          <w:iCs/>
        </w:rPr>
        <w:t xml:space="preserve">, </w:t>
      </w:r>
      <w:proofErr w:type="spellStart"/>
      <w:r>
        <w:rPr>
          <w:i/>
          <w:iCs/>
        </w:rPr>
        <w:t>TxException</w:t>
      </w:r>
      <w:proofErr w:type="spellEnd"/>
      <w:r>
        <w:rPr>
          <w:i/>
          <w:iCs/>
        </w:rPr>
        <w:t xml:space="preserve">, </w:t>
      </w:r>
      <w:proofErr w:type="spellStart"/>
      <w:r>
        <w:rPr>
          <w:i/>
          <w:iCs/>
        </w:rPr>
        <w:t>RetryPolicy</w:t>
      </w:r>
      <w:proofErr w:type="spellEnd"/>
      <w:r>
        <w:rPr>
          <w:i/>
          <w:iCs/>
        </w:rPr>
        <w:t xml:space="preserve">) · Code: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main</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tx</w:t>
      </w:r>
      <w:proofErr w:type="spellEnd"/>
      <w:r>
        <w:rPr>
          <w:rFonts w:ascii="Consolas" w:hAnsi="Consolas"/>
          <w:color w:val="0B4A56"/>
          <w:sz w:val="20"/>
          <w:szCs w:val="20"/>
        </w:rPr>
        <w:t>/</w:t>
      </w:r>
      <w:r>
        <w:rPr>
          <w:i/>
          <w:iCs/>
        </w:rPr>
        <w:t xml:space="preserve"> · Test: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test</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tx</w:t>
      </w:r>
      <w:proofErr w:type="spellEnd"/>
      <w:r>
        <w:rPr>
          <w:rFonts w:ascii="Consolas" w:hAnsi="Consolas"/>
          <w:color w:val="0B4A56"/>
          <w:sz w:val="20"/>
          <w:szCs w:val="20"/>
        </w:rPr>
        <w:t>/TxManagerTest.java</w:t>
      </w:r>
    </w:p>
    <w:p w14:paraId="09115065" w14:textId="77777777" w:rsidR="00EC7D8B" w:rsidRDefault="00000000">
      <w:pPr>
        <w:pStyle w:val="Listenabsatz"/>
        <w:numPr>
          <w:ilvl w:val="0"/>
          <w:numId w:val="3"/>
        </w:numPr>
        <w:spacing w:after="100"/>
        <w:jc w:val="both"/>
      </w:pPr>
      <w:r>
        <w:rPr>
          <w:b/>
          <w:bCs/>
          <w:color w:val="0E2A33"/>
        </w:rPr>
        <w:t xml:space="preserve">Pools und Tasks: </w:t>
      </w:r>
      <w:proofErr w:type="spellStart"/>
      <w:r>
        <w:rPr>
          <w:rFonts w:ascii="Consolas" w:hAnsi="Consolas"/>
          <w:color w:val="0B4A56"/>
          <w:sz w:val="20"/>
          <w:szCs w:val="20"/>
        </w:rPr>
        <w:t>ConnectionPool</w:t>
      </w:r>
      <w:proofErr w:type="spellEnd"/>
      <w:r>
        <w:t xml:space="preserve"> mit </w:t>
      </w:r>
      <w:proofErr w:type="spellStart"/>
      <w:r>
        <w:rPr>
          <w:rFonts w:ascii="Consolas" w:hAnsi="Consolas"/>
          <w:color w:val="0B4A56"/>
          <w:sz w:val="20"/>
          <w:szCs w:val="20"/>
        </w:rPr>
        <w:t>SimpleConnectionPool</w:t>
      </w:r>
      <w:proofErr w:type="spellEnd"/>
      <w:r>
        <w:t xml:space="preserve"> (die Sicherheitsregeln im Kommentar sind eine Lehrstunde), dann </w:t>
      </w:r>
      <w:proofErr w:type="spellStart"/>
      <w:r>
        <w:rPr>
          <w:rFonts w:ascii="Consolas" w:hAnsi="Consolas"/>
          <w:color w:val="0B4A56"/>
          <w:sz w:val="20"/>
          <w:szCs w:val="20"/>
        </w:rPr>
        <w:t>TaskController</w:t>
      </w:r>
      <w:proofErr w:type="spellEnd"/>
      <w:r>
        <w:t xml:space="preserve"> mit Wachhund und </w:t>
      </w:r>
      <w:proofErr w:type="spellStart"/>
      <w:r>
        <w:rPr>
          <w:rFonts w:ascii="Consolas" w:hAnsi="Consolas"/>
          <w:color w:val="0B4A56"/>
          <w:sz w:val="20"/>
          <w:szCs w:val="20"/>
        </w:rPr>
        <w:t>TaskStats</w:t>
      </w:r>
      <w:proofErr w:type="spellEnd"/>
      <w:r>
        <w:t xml:space="preserve">. </w:t>
      </w:r>
      <w:r>
        <w:rPr>
          <w:i/>
          <w:iCs/>
        </w:rPr>
        <w:t>Fundstellen: Abschnitt 2.3 — S. 7 (</w:t>
      </w:r>
      <w:proofErr w:type="spellStart"/>
      <w:r>
        <w:rPr>
          <w:i/>
          <w:iCs/>
        </w:rPr>
        <w:t>TaskController</w:t>
      </w:r>
      <w:proofErr w:type="spellEnd"/>
      <w:r>
        <w:rPr>
          <w:i/>
          <w:iCs/>
        </w:rPr>
        <w:t xml:space="preserve">, </w:t>
      </w:r>
      <w:proofErr w:type="spellStart"/>
      <w:r>
        <w:rPr>
          <w:i/>
          <w:iCs/>
        </w:rPr>
        <w:t>TaskHandle</w:t>
      </w:r>
      <w:proofErr w:type="spellEnd"/>
      <w:r>
        <w:rPr>
          <w:i/>
          <w:iCs/>
        </w:rPr>
        <w:t xml:space="preserve">, </w:t>
      </w:r>
      <w:proofErr w:type="spellStart"/>
      <w:r>
        <w:rPr>
          <w:i/>
          <w:iCs/>
        </w:rPr>
        <w:t>TaskStats</w:t>
      </w:r>
      <w:proofErr w:type="spellEnd"/>
      <w:r>
        <w:rPr>
          <w:i/>
          <w:iCs/>
        </w:rPr>
        <w:t>), Abschnitt 2.4 — S. 8 (</w:t>
      </w:r>
      <w:proofErr w:type="spellStart"/>
      <w:r>
        <w:rPr>
          <w:i/>
          <w:iCs/>
        </w:rPr>
        <w:t>ConnectionPool</w:t>
      </w:r>
      <w:proofErr w:type="spellEnd"/>
      <w:r>
        <w:rPr>
          <w:i/>
          <w:iCs/>
        </w:rPr>
        <w:t xml:space="preserve">, </w:t>
      </w:r>
      <w:proofErr w:type="spellStart"/>
      <w:r>
        <w:rPr>
          <w:i/>
          <w:iCs/>
        </w:rPr>
        <w:t>SimpleConnectionPool</w:t>
      </w:r>
      <w:proofErr w:type="spellEnd"/>
      <w:r>
        <w:rPr>
          <w:i/>
          <w:iCs/>
        </w:rPr>
        <w:t xml:space="preserve">) · Code: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main</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tx</w:t>
      </w:r>
      <w:proofErr w:type="spellEnd"/>
      <w:r>
        <w:rPr>
          <w:rFonts w:ascii="Consolas" w:hAnsi="Consolas"/>
          <w:color w:val="0B4A56"/>
          <w:sz w:val="20"/>
          <w:szCs w:val="20"/>
        </w:rPr>
        <w:t>/</w:t>
      </w:r>
    </w:p>
    <w:p w14:paraId="7845F932" w14:textId="77777777" w:rsidR="00EC7D8B" w:rsidRDefault="00000000">
      <w:pPr>
        <w:pStyle w:val="Listenabsatz"/>
        <w:numPr>
          <w:ilvl w:val="0"/>
          <w:numId w:val="3"/>
        </w:numPr>
        <w:spacing w:after="100"/>
        <w:jc w:val="both"/>
      </w:pPr>
      <w:r>
        <w:rPr>
          <w:b/>
          <w:bCs/>
          <w:color w:val="0E2A33"/>
        </w:rPr>
        <w:t xml:space="preserve">Saga verstehen: </w:t>
      </w:r>
      <w:r>
        <w:t xml:space="preserve">Abschnitt 2.5 dieses Dokuments (S. 8–13), dann im Code </w:t>
      </w:r>
      <w:proofErr w:type="spellStart"/>
      <w:r>
        <w:rPr>
          <w:rFonts w:ascii="Consolas" w:hAnsi="Consolas"/>
          <w:color w:val="0B4A56"/>
          <w:sz w:val="20"/>
          <w:szCs w:val="20"/>
        </w:rPr>
        <w:t>SagaDefinition</w:t>
      </w:r>
      <w:proofErr w:type="spellEnd"/>
      <w:r>
        <w:t xml:space="preserve">, </w:t>
      </w:r>
      <w:proofErr w:type="spellStart"/>
      <w:r>
        <w:rPr>
          <w:rFonts w:ascii="Consolas" w:hAnsi="Consolas"/>
          <w:color w:val="0B4A56"/>
          <w:sz w:val="20"/>
          <w:szCs w:val="20"/>
        </w:rPr>
        <w:t>SagaStep</w:t>
      </w:r>
      <w:proofErr w:type="spellEnd"/>
      <w:r>
        <w:t xml:space="preserve">, </w:t>
      </w:r>
      <w:proofErr w:type="spellStart"/>
      <w:r>
        <w:rPr>
          <w:rFonts w:ascii="Consolas" w:hAnsi="Consolas"/>
          <w:color w:val="0B4A56"/>
          <w:sz w:val="20"/>
          <w:szCs w:val="20"/>
        </w:rPr>
        <w:t>SagaAction</w:t>
      </w:r>
      <w:proofErr w:type="spellEnd"/>
      <w:r>
        <w:t xml:space="preserve">, dann </w:t>
      </w:r>
      <w:proofErr w:type="spellStart"/>
      <w:r>
        <w:rPr>
          <w:rFonts w:ascii="Consolas" w:hAnsi="Consolas"/>
          <w:color w:val="0B4A56"/>
          <w:sz w:val="20"/>
          <w:szCs w:val="20"/>
        </w:rPr>
        <w:t>SagaEngine</w:t>
      </w:r>
      <w:proofErr w:type="spellEnd"/>
      <w:r>
        <w:t xml:space="preserve"> und zum Schluss </w:t>
      </w:r>
      <w:proofErr w:type="spellStart"/>
      <w:r>
        <w:rPr>
          <w:rFonts w:ascii="Consolas" w:hAnsi="Consolas"/>
          <w:color w:val="0B4A56"/>
          <w:sz w:val="20"/>
          <w:szCs w:val="20"/>
        </w:rPr>
        <w:t>SagaJournal</w:t>
      </w:r>
      <w:proofErr w:type="spellEnd"/>
      <w:r>
        <w:t xml:space="preserve">. Die Tests </w:t>
      </w:r>
      <w:proofErr w:type="spellStart"/>
      <w:r>
        <w:rPr>
          <w:rFonts w:ascii="Consolas" w:hAnsi="Consolas"/>
          <w:color w:val="0B4A56"/>
          <w:sz w:val="20"/>
          <w:szCs w:val="20"/>
        </w:rPr>
        <w:t>SagaEngineTest</w:t>
      </w:r>
      <w:proofErr w:type="spellEnd"/>
      <w:r>
        <w:t xml:space="preserve"> und </w:t>
      </w:r>
      <w:proofErr w:type="spellStart"/>
      <w:r>
        <w:rPr>
          <w:rFonts w:ascii="Consolas" w:hAnsi="Consolas"/>
          <w:color w:val="0B4A56"/>
          <w:sz w:val="20"/>
          <w:szCs w:val="20"/>
        </w:rPr>
        <w:t>SagaParallelRecoverTest</w:t>
      </w:r>
      <w:proofErr w:type="spellEnd"/>
      <w:r>
        <w:t xml:space="preserve"> zeigen das Wiederanlaufversprechen in Aktion. </w:t>
      </w:r>
      <w:r>
        <w:rPr>
          <w:i/>
          <w:iCs/>
        </w:rPr>
        <w:t>Fundstellen: Abschnitt 2.5 — S. 11 (</w:t>
      </w:r>
      <w:proofErr w:type="spellStart"/>
      <w:r>
        <w:rPr>
          <w:i/>
          <w:iCs/>
        </w:rPr>
        <w:t>SagaEngine</w:t>
      </w:r>
      <w:proofErr w:type="spellEnd"/>
      <w:r>
        <w:rPr>
          <w:i/>
          <w:iCs/>
        </w:rPr>
        <w:t>), S. 12 (</w:t>
      </w:r>
      <w:proofErr w:type="spellStart"/>
      <w:r>
        <w:rPr>
          <w:i/>
          <w:iCs/>
        </w:rPr>
        <w:t>SagaDefinition</w:t>
      </w:r>
      <w:proofErr w:type="spellEnd"/>
      <w:r>
        <w:rPr>
          <w:i/>
          <w:iCs/>
        </w:rPr>
        <w:t xml:space="preserve">, </w:t>
      </w:r>
      <w:proofErr w:type="spellStart"/>
      <w:r>
        <w:rPr>
          <w:i/>
          <w:iCs/>
        </w:rPr>
        <w:t>SagaStep</w:t>
      </w:r>
      <w:proofErr w:type="spellEnd"/>
      <w:r>
        <w:rPr>
          <w:i/>
          <w:iCs/>
        </w:rPr>
        <w:t xml:space="preserve">, </w:t>
      </w:r>
      <w:proofErr w:type="spellStart"/>
      <w:r>
        <w:rPr>
          <w:i/>
          <w:iCs/>
        </w:rPr>
        <w:t>SagaAction</w:t>
      </w:r>
      <w:proofErr w:type="spellEnd"/>
      <w:r>
        <w:rPr>
          <w:i/>
          <w:iCs/>
        </w:rPr>
        <w:t xml:space="preserve">, </w:t>
      </w:r>
      <w:proofErr w:type="spellStart"/>
      <w:r>
        <w:rPr>
          <w:i/>
          <w:iCs/>
        </w:rPr>
        <w:t>SagaJournal</w:t>
      </w:r>
      <w:proofErr w:type="spellEnd"/>
      <w:r>
        <w:rPr>
          <w:i/>
          <w:iCs/>
        </w:rPr>
        <w:t>), S. 13 (</w:t>
      </w:r>
      <w:proofErr w:type="spellStart"/>
      <w:r>
        <w:rPr>
          <w:i/>
          <w:iCs/>
        </w:rPr>
        <w:t>SagaClaim</w:t>
      </w:r>
      <w:proofErr w:type="spellEnd"/>
      <w:r>
        <w:rPr>
          <w:i/>
          <w:iCs/>
        </w:rPr>
        <w:t xml:space="preserve">) · Code: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main</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tx</w:t>
      </w:r>
      <w:proofErr w:type="spellEnd"/>
      <w:r>
        <w:rPr>
          <w:rFonts w:ascii="Consolas" w:hAnsi="Consolas"/>
          <w:color w:val="0B4A56"/>
          <w:sz w:val="20"/>
          <w:szCs w:val="20"/>
        </w:rPr>
        <w:t>/</w:t>
      </w:r>
      <w:proofErr w:type="spellStart"/>
      <w:r>
        <w:rPr>
          <w:rFonts w:ascii="Consolas" w:hAnsi="Consolas"/>
          <w:color w:val="0B4A56"/>
          <w:sz w:val="20"/>
          <w:szCs w:val="20"/>
        </w:rPr>
        <w:t>saga</w:t>
      </w:r>
      <w:proofErr w:type="spellEnd"/>
      <w:r>
        <w:rPr>
          <w:rFonts w:ascii="Consolas" w:hAnsi="Consolas"/>
          <w:color w:val="0B4A56"/>
          <w:sz w:val="20"/>
          <w:szCs w:val="20"/>
        </w:rPr>
        <w:t>/</w:t>
      </w:r>
      <w:r>
        <w:rPr>
          <w:i/>
          <w:iCs/>
        </w:rPr>
        <w:t xml:space="preserve"> · Tests: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test</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tx</w:t>
      </w:r>
      <w:proofErr w:type="spellEnd"/>
      <w:r>
        <w:rPr>
          <w:rFonts w:ascii="Consolas" w:hAnsi="Consolas"/>
          <w:color w:val="0B4A56"/>
          <w:sz w:val="20"/>
          <w:szCs w:val="20"/>
        </w:rPr>
        <w:t>/</w:t>
      </w:r>
      <w:proofErr w:type="spellStart"/>
      <w:r>
        <w:rPr>
          <w:rFonts w:ascii="Consolas" w:hAnsi="Consolas"/>
          <w:color w:val="0B4A56"/>
          <w:sz w:val="20"/>
          <w:szCs w:val="20"/>
        </w:rPr>
        <w:t>saga</w:t>
      </w:r>
      <w:proofErr w:type="spellEnd"/>
      <w:r>
        <w:rPr>
          <w:rFonts w:ascii="Consolas" w:hAnsi="Consolas"/>
          <w:color w:val="0B4A56"/>
          <w:sz w:val="20"/>
          <w:szCs w:val="20"/>
        </w:rPr>
        <w:t>/</w:t>
      </w:r>
    </w:p>
    <w:p w14:paraId="2F75F072" w14:textId="77777777" w:rsidR="00EC7D8B" w:rsidRDefault="00000000">
      <w:pPr>
        <w:pStyle w:val="Listenabsatz"/>
        <w:numPr>
          <w:ilvl w:val="0"/>
          <w:numId w:val="3"/>
        </w:numPr>
        <w:spacing w:after="100"/>
        <w:jc w:val="both"/>
      </w:pPr>
      <w:r>
        <w:rPr>
          <w:b/>
          <w:bCs/>
          <w:color w:val="0E2A33"/>
        </w:rPr>
        <w:t xml:space="preserve">Demo laufen lassen: </w:t>
      </w:r>
      <w:r>
        <w:rPr>
          <w:rFonts w:ascii="Consolas" w:hAnsi="Consolas"/>
          <w:color w:val="0B4A56"/>
          <w:sz w:val="20"/>
          <w:szCs w:val="20"/>
        </w:rPr>
        <w:t xml:space="preserve">start.bat </w:t>
      </w:r>
      <w:proofErr w:type="spellStart"/>
      <w:r>
        <w:rPr>
          <w:rFonts w:ascii="Consolas" w:hAnsi="Consolas"/>
          <w:color w:val="0B4A56"/>
          <w:sz w:val="20"/>
          <w:szCs w:val="20"/>
        </w:rPr>
        <w:t>demo</w:t>
      </w:r>
      <w:proofErr w:type="spellEnd"/>
      <w:r>
        <w:t xml:space="preserve"> ausführen und parallel </w:t>
      </w:r>
      <w:proofErr w:type="spellStart"/>
      <w:r>
        <w:rPr>
          <w:rFonts w:ascii="Consolas" w:hAnsi="Consolas"/>
          <w:color w:val="0B4A56"/>
          <w:sz w:val="20"/>
          <w:szCs w:val="20"/>
        </w:rPr>
        <w:t>DemoMain</w:t>
      </w:r>
      <w:proofErr w:type="spellEnd"/>
      <w:r>
        <w:t xml:space="preserve"> und </w:t>
      </w:r>
      <w:proofErr w:type="spellStart"/>
      <w:r>
        <w:rPr>
          <w:rFonts w:ascii="Consolas" w:hAnsi="Consolas"/>
          <w:color w:val="0B4A56"/>
          <w:sz w:val="20"/>
          <w:szCs w:val="20"/>
        </w:rPr>
        <w:t>AntragsDemoProzess</w:t>
      </w:r>
      <w:proofErr w:type="spellEnd"/>
      <w:r>
        <w:t xml:space="preserve"> lesen — die kleinste vollständige Saga des Projekts. </w:t>
      </w:r>
      <w:r>
        <w:rPr>
          <w:i/>
          <w:iCs/>
        </w:rPr>
        <w:t>Fundstellen: Abschnitt 2.8 — S. 15 (</w:t>
      </w:r>
      <w:proofErr w:type="spellStart"/>
      <w:r>
        <w:rPr>
          <w:i/>
          <w:iCs/>
        </w:rPr>
        <w:t>DemoMain</w:t>
      </w:r>
      <w:proofErr w:type="spellEnd"/>
      <w:r>
        <w:rPr>
          <w:i/>
          <w:iCs/>
        </w:rPr>
        <w:t xml:space="preserve">, </w:t>
      </w:r>
      <w:proofErr w:type="spellStart"/>
      <w:r>
        <w:rPr>
          <w:i/>
          <w:iCs/>
        </w:rPr>
        <w:t>AntragsDemoProzess</w:t>
      </w:r>
      <w:proofErr w:type="spellEnd"/>
      <w:r>
        <w:rPr>
          <w:i/>
          <w:iCs/>
        </w:rPr>
        <w:t xml:space="preserve">) · Code: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main</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tx</w:t>
      </w:r>
      <w:proofErr w:type="spellEnd"/>
      <w:r>
        <w:rPr>
          <w:rFonts w:ascii="Consolas" w:hAnsi="Consolas"/>
          <w:color w:val="0B4A56"/>
          <w:sz w:val="20"/>
          <w:szCs w:val="20"/>
        </w:rPr>
        <w:t>/</w:t>
      </w:r>
      <w:proofErr w:type="spellStart"/>
      <w:r>
        <w:rPr>
          <w:rFonts w:ascii="Consolas" w:hAnsi="Consolas"/>
          <w:color w:val="0B4A56"/>
          <w:sz w:val="20"/>
          <w:szCs w:val="20"/>
        </w:rPr>
        <w:t>demo</w:t>
      </w:r>
      <w:proofErr w:type="spellEnd"/>
      <w:r>
        <w:rPr>
          <w:rFonts w:ascii="Consolas" w:hAnsi="Consolas"/>
          <w:color w:val="0B4A56"/>
          <w:sz w:val="20"/>
          <w:szCs w:val="20"/>
        </w:rPr>
        <w:t>/</w:t>
      </w:r>
    </w:p>
    <w:p w14:paraId="5A9613DD" w14:textId="77777777" w:rsidR="00EC7D8B" w:rsidRDefault="00000000">
      <w:pPr>
        <w:pStyle w:val="Listenabsatz"/>
        <w:numPr>
          <w:ilvl w:val="0"/>
          <w:numId w:val="3"/>
        </w:numPr>
        <w:spacing w:after="100"/>
        <w:jc w:val="both"/>
      </w:pPr>
      <w:r>
        <w:rPr>
          <w:b/>
          <w:bCs/>
          <w:color w:val="0E2A33"/>
        </w:rPr>
        <w:t xml:space="preserve">Fachbegriffe und Datenmodell: </w:t>
      </w:r>
      <w:proofErr w:type="spellStart"/>
      <w:r>
        <w:rPr>
          <w:rFonts w:ascii="Consolas" w:hAnsi="Consolas"/>
          <w:color w:val="0B4A56"/>
          <w:sz w:val="20"/>
          <w:szCs w:val="20"/>
        </w:rPr>
        <w:t>SozialFall</w:t>
      </w:r>
      <w:proofErr w:type="spellEnd"/>
      <w:r>
        <w:t xml:space="preserve">, </w:t>
      </w:r>
      <w:r>
        <w:rPr>
          <w:rFonts w:ascii="Consolas" w:hAnsi="Consolas"/>
          <w:color w:val="0B4A56"/>
          <w:sz w:val="20"/>
          <w:szCs w:val="20"/>
        </w:rPr>
        <w:t>Bedarfsgemeinschaft</w:t>
      </w:r>
      <w:r>
        <w:t xml:space="preserve">, </w:t>
      </w:r>
      <w:r>
        <w:rPr>
          <w:rFonts w:ascii="Consolas" w:hAnsi="Consolas"/>
          <w:color w:val="0B4A56"/>
          <w:sz w:val="20"/>
          <w:szCs w:val="20"/>
        </w:rPr>
        <w:t>Zahlung</w:t>
      </w:r>
      <w:r>
        <w:t xml:space="preserve">, </w:t>
      </w:r>
      <w:r>
        <w:rPr>
          <w:rFonts w:ascii="Consolas" w:hAnsi="Consolas"/>
          <w:color w:val="0B4A56"/>
          <w:sz w:val="20"/>
          <w:szCs w:val="20"/>
        </w:rPr>
        <w:t>Bescheid</w:t>
      </w:r>
      <w:r>
        <w:t xml:space="preserve"> (Kapitel 3.2) und die Tabellen in </w:t>
      </w:r>
      <w:proofErr w:type="spellStart"/>
      <w:r>
        <w:rPr>
          <w:rFonts w:ascii="Consolas" w:hAnsi="Consolas"/>
          <w:color w:val="0B4A56"/>
          <w:sz w:val="20"/>
          <w:szCs w:val="20"/>
        </w:rPr>
        <w:t>ddl</w:t>
      </w:r>
      <w:proofErr w:type="spellEnd"/>
      <w:r>
        <w:rPr>
          <w:rFonts w:ascii="Consolas" w:hAnsi="Consolas"/>
          <w:color w:val="0B4A56"/>
          <w:sz w:val="20"/>
          <w:szCs w:val="20"/>
        </w:rPr>
        <w:t>/</w:t>
      </w:r>
      <w:proofErr w:type="spellStart"/>
      <w:r>
        <w:rPr>
          <w:rFonts w:ascii="Consolas" w:hAnsi="Consolas"/>
          <w:color w:val="0B4A56"/>
          <w:sz w:val="20"/>
          <w:szCs w:val="20"/>
        </w:rPr>
        <w:t>lmg_schema.sql</w:t>
      </w:r>
      <w:proofErr w:type="spellEnd"/>
      <w:r>
        <w:t xml:space="preserve">. Ohne diese Begriffe bleibt die Fachschicht Kryptogramm. </w:t>
      </w:r>
      <w:r>
        <w:rPr>
          <w:i/>
          <w:iCs/>
        </w:rPr>
        <w:t>Fundstellen: Abschnitt 3.2 — S. 16 (</w:t>
      </w:r>
      <w:proofErr w:type="spellStart"/>
      <w:r>
        <w:rPr>
          <w:i/>
          <w:iCs/>
        </w:rPr>
        <w:t>SozialFall</w:t>
      </w:r>
      <w:proofErr w:type="spellEnd"/>
      <w:r>
        <w:rPr>
          <w:i/>
          <w:iCs/>
        </w:rPr>
        <w:t xml:space="preserve">, Bedarfsgemeinschaft), S. 17 (Zahlung, Bescheid) · Code: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main</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lmg</w:t>
      </w:r>
      <w:proofErr w:type="spellEnd"/>
      <w:r>
        <w:rPr>
          <w:rFonts w:ascii="Consolas" w:hAnsi="Consolas"/>
          <w:color w:val="0B4A56"/>
          <w:sz w:val="20"/>
          <w:szCs w:val="20"/>
        </w:rPr>
        <w:t>/</w:t>
      </w:r>
      <w:proofErr w:type="spellStart"/>
      <w:r>
        <w:rPr>
          <w:rFonts w:ascii="Consolas" w:hAnsi="Consolas"/>
          <w:color w:val="0B4A56"/>
          <w:sz w:val="20"/>
          <w:szCs w:val="20"/>
        </w:rPr>
        <w:t>model</w:t>
      </w:r>
      <w:proofErr w:type="spellEnd"/>
      <w:r>
        <w:rPr>
          <w:rFonts w:ascii="Consolas" w:hAnsi="Consolas"/>
          <w:color w:val="0B4A56"/>
          <w:sz w:val="20"/>
          <w:szCs w:val="20"/>
        </w:rPr>
        <w:t>/</w:t>
      </w:r>
      <w:r>
        <w:rPr>
          <w:i/>
          <w:iCs/>
        </w:rPr>
        <w:t xml:space="preserve"> · Tabellen: </w:t>
      </w:r>
      <w:proofErr w:type="spellStart"/>
      <w:r>
        <w:rPr>
          <w:rFonts w:ascii="Consolas" w:hAnsi="Consolas"/>
          <w:color w:val="0B4A56"/>
          <w:sz w:val="20"/>
          <w:szCs w:val="20"/>
        </w:rPr>
        <w:t>ddl</w:t>
      </w:r>
      <w:proofErr w:type="spellEnd"/>
      <w:r>
        <w:rPr>
          <w:rFonts w:ascii="Consolas" w:hAnsi="Consolas"/>
          <w:color w:val="0B4A56"/>
          <w:sz w:val="20"/>
          <w:szCs w:val="20"/>
        </w:rPr>
        <w:t>/</w:t>
      </w:r>
      <w:proofErr w:type="spellStart"/>
      <w:r>
        <w:rPr>
          <w:rFonts w:ascii="Consolas" w:hAnsi="Consolas"/>
          <w:color w:val="0B4A56"/>
          <w:sz w:val="20"/>
          <w:szCs w:val="20"/>
        </w:rPr>
        <w:t>lmg_schema.sql</w:t>
      </w:r>
      <w:proofErr w:type="spellEnd"/>
    </w:p>
    <w:p w14:paraId="4A84E5F1" w14:textId="77777777" w:rsidR="00EC7D8B" w:rsidRDefault="00000000">
      <w:pPr>
        <w:pStyle w:val="Listenabsatz"/>
        <w:numPr>
          <w:ilvl w:val="0"/>
          <w:numId w:val="3"/>
        </w:numPr>
        <w:spacing w:after="100"/>
        <w:jc w:val="both"/>
      </w:pPr>
      <w:r>
        <w:rPr>
          <w:b/>
          <w:bCs/>
          <w:color w:val="0E2A33"/>
        </w:rPr>
        <w:t xml:space="preserve">Berechnung nachvollziehen: </w:t>
      </w:r>
      <w:r>
        <w:rPr>
          <w:rFonts w:ascii="Consolas" w:hAnsi="Consolas"/>
          <w:color w:val="0B4A56"/>
          <w:sz w:val="20"/>
          <w:szCs w:val="20"/>
        </w:rPr>
        <w:t>Leistungsberechnung</w:t>
      </w:r>
      <w:r>
        <w:t xml:space="preserve"> Zeile für Zeile mit </w:t>
      </w:r>
      <w:r>
        <w:rPr>
          <w:rFonts w:ascii="Consolas" w:hAnsi="Consolas"/>
          <w:color w:val="0B4A56"/>
          <w:sz w:val="20"/>
          <w:szCs w:val="20"/>
        </w:rPr>
        <w:t>doc/rechtsgrundlagen.md</w:t>
      </w:r>
      <w:r>
        <w:t xml:space="preserve"> daneben; dann </w:t>
      </w:r>
      <w:r>
        <w:rPr>
          <w:rFonts w:ascii="Consolas" w:hAnsi="Consolas"/>
          <w:color w:val="0B4A56"/>
          <w:sz w:val="20"/>
          <w:szCs w:val="20"/>
        </w:rPr>
        <w:t>Satzstand</w:t>
      </w:r>
      <w:r>
        <w:t xml:space="preserve">, </w:t>
      </w:r>
      <w:r>
        <w:rPr>
          <w:rFonts w:ascii="Consolas" w:hAnsi="Consolas"/>
          <w:color w:val="0B4A56"/>
          <w:sz w:val="20"/>
          <w:szCs w:val="20"/>
        </w:rPr>
        <w:t>SatzstandDao</w:t>
      </w:r>
      <w:r>
        <w:t xml:space="preserve">, </w:t>
      </w:r>
      <w:proofErr w:type="spellStart"/>
      <w:r>
        <w:rPr>
          <w:rFonts w:ascii="Consolas" w:hAnsi="Consolas"/>
          <w:color w:val="0B4A56"/>
          <w:sz w:val="20"/>
          <w:szCs w:val="20"/>
        </w:rPr>
        <w:t>BerechnungsSnapshot</w:t>
      </w:r>
      <w:proofErr w:type="spellEnd"/>
      <w:r>
        <w:t xml:space="preserve"> und </w:t>
      </w:r>
      <w:r>
        <w:rPr>
          <w:rFonts w:ascii="Consolas" w:hAnsi="Consolas"/>
          <w:color w:val="0B4A56"/>
          <w:sz w:val="20"/>
          <w:szCs w:val="20"/>
        </w:rPr>
        <w:t>Bewilligungsplan</w:t>
      </w:r>
      <w:r>
        <w:t xml:space="preserve">. Die handgerechneten Erwartungen in </w:t>
      </w:r>
      <w:proofErr w:type="spellStart"/>
      <w:r>
        <w:rPr>
          <w:rFonts w:ascii="Consolas" w:hAnsi="Consolas"/>
          <w:color w:val="0B4A56"/>
          <w:sz w:val="20"/>
          <w:szCs w:val="20"/>
        </w:rPr>
        <w:t>GoldWerteTest</w:t>
      </w:r>
      <w:proofErr w:type="spellEnd"/>
      <w:r>
        <w:t xml:space="preserve"> und </w:t>
      </w:r>
      <w:r>
        <w:rPr>
          <w:rFonts w:ascii="Consolas" w:hAnsi="Consolas"/>
          <w:color w:val="0B4A56"/>
          <w:sz w:val="20"/>
          <w:szCs w:val="20"/>
        </w:rPr>
        <w:t>doc/regressionstests.md</w:t>
      </w:r>
      <w:r>
        <w:t xml:space="preserve"> prüfen das Verständnis. </w:t>
      </w:r>
      <w:r>
        <w:rPr>
          <w:i/>
          <w:iCs/>
        </w:rPr>
        <w:t xml:space="preserve">Fundstellen: Abschnitt 3.4 — S. 19 (Leistungsberechnung, SatzstandDao), S. 20 (Satzstand, </w:t>
      </w:r>
      <w:proofErr w:type="spellStart"/>
      <w:r>
        <w:rPr>
          <w:i/>
          <w:iCs/>
        </w:rPr>
        <w:t>BerechnungsSnapshot</w:t>
      </w:r>
      <w:proofErr w:type="spellEnd"/>
      <w:r>
        <w:rPr>
          <w:i/>
          <w:iCs/>
        </w:rPr>
        <w:t xml:space="preserve">, Bewilligungsplan) · Code: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main</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lmg</w:t>
      </w:r>
      <w:proofErr w:type="spellEnd"/>
      <w:r>
        <w:rPr>
          <w:rFonts w:ascii="Consolas" w:hAnsi="Consolas"/>
          <w:color w:val="0B4A56"/>
          <w:sz w:val="20"/>
          <w:szCs w:val="20"/>
        </w:rPr>
        <w:t>/</w:t>
      </w:r>
      <w:proofErr w:type="spellStart"/>
      <w:r>
        <w:rPr>
          <w:rFonts w:ascii="Consolas" w:hAnsi="Consolas"/>
          <w:color w:val="0B4A56"/>
          <w:sz w:val="20"/>
          <w:szCs w:val="20"/>
        </w:rPr>
        <w:t>calc</w:t>
      </w:r>
      <w:proofErr w:type="spellEnd"/>
      <w:r>
        <w:rPr>
          <w:rFonts w:ascii="Consolas" w:hAnsi="Consolas"/>
          <w:color w:val="0B4A56"/>
          <w:sz w:val="20"/>
          <w:szCs w:val="20"/>
        </w:rPr>
        <w:t>/</w:t>
      </w:r>
      <w:r>
        <w:rPr>
          <w:i/>
          <w:iCs/>
        </w:rPr>
        <w:t xml:space="preserve"> (SatzstandDao in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main</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lmg</w:t>
      </w:r>
      <w:proofErr w:type="spellEnd"/>
      <w:r>
        <w:rPr>
          <w:rFonts w:ascii="Consolas" w:hAnsi="Consolas"/>
          <w:color w:val="0B4A56"/>
          <w:sz w:val="20"/>
          <w:szCs w:val="20"/>
        </w:rPr>
        <w:t>/</w:t>
      </w:r>
      <w:proofErr w:type="spellStart"/>
      <w:r>
        <w:rPr>
          <w:rFonts w:ascii="Consolas" w:hAnsi="Consolas"/>
          <w:color w:val="0B4A56"/>
          <w:sz w:val="20"/>
          <w:szCs w:val="20"/>
        </w:rPr>
        <w:t>dao</w:t>
      </w:r>
      <w:proofErr w:type="spellEnd"/>
      <w:r>
        <w:rPr>
          <w:rFonts w:ascii="Consolas" w:hAnsi="Consolas"/>
          <w:color w:val="0B4A56"/>
          <w:sz w:val="20"/>
          <w:szCs w:val="20"/>
        </w:rPr>
        <w:t>/</w:t>
      </w:r>
      <w:r>
        <w:rPr>
          <w:i/>
          <w:iCs/>
        </w:rPr>
        <w:t xml:space="preserve">) · Test: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test</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lmg</w:t>
      </w:r>
      <w:proofErr w:type="spellEnd"/>
      <w:r>
        <w:rPr>
          <w:rFonts w:ascii="Consolas" w:hAnsi="Consolas"/>
          <w:color w:val="0B4A56"/>
          <w:sz w:val="20"/>
          <w:szCs w:val="20"/>
        </w:rPr>
        <w:t>/</w:t>
      </w:r>
      <w:proofErr w:type="spellStart"/>
      <w:r>
        <w:rPr>
          <w:rFonts w:ascii="Consolas" w:hAnsi="Consolas"/>
          <w:color w:val="0B4A56"/>
          <w:sz w:val="20"/>
          <w:szCs w:val="20"/>
        </w:rPr>
        <w:t>calc</w:t>
      </w:r>
      <w:proofErr w:type="spellEnd"/>
      <w:r>
        <w:rPr>
          <w:rFonts w:ascii="Consolas" w:hAnsi="Consolas"/>
          <w:color w:val="0B4A56"/>
          <w:sz w:val="20"/>
          <w:szCs w:val="20"/>
        </w:rPr>
        <w:t>/GoldWerteTest.java</w:t>
      </w:r>
    </w:p>
    <w:p w14:paraId="67763487" w14:textId="77777777" w:rsidR="00EC7D8B" w:rsidRDefault="00000000">
      <w:pPr>
        <w:pStyle w:val="Listenabsatz"/>
        <w:numPr>
          <w:ilvl w:val="0"/>
          <w:numId w:val="3"/>
        </w:numPr>
        <w:spacing w:after="100"/>
        <w:jc w:val="both"/>
      </w:pPr>
      <w:r>
        <w:rPr>
          <w:b/>
          <w:bCs/>
          <w:color w:val="0E2A33"/>
        </w:rPr>
        <w:lastRenderedPageBreak/>
        <w:t xml:space="preserve">Dienste und Web: </w:t>
      </w:r>
      <w:proofErr w:type="spellStart"/>
      <w:r>
        <w:rPr>
          <w:rFonts w:ascii="Consolas" w:hAnsi="Consolas"/>
          <w:color w:val="0B4A56"/>
          <w:sz w:val="20"/>
          <w:szCs w:val="20"/>
        </w:rPr>
        <w:t>LeistungsService</w:t>
      </w:r>
      <w:proofErr w:type="spellEnd"/>
      <w:r>
        <w:t xml:space="preserve"> (Interface) und dann </w:t>
      </w:r>
      <w:proofErr w:type="spellStart"/>
      <w:r>
        <w:rPr>
          <w:rFonts w:ascii="Consolas" w:hAnsi="Consolas"/>
          <w:color w:val="0B4A56"/>
          <w:sz w:val="20"/>
          <w:szCs w:val="20"/>
        </w:rPr>
        <w:t>SozialLeistungsService</w:t>
      </w:r>
      <w:proofErr w:type="spellEnd"/>
      <w:r>
        <w:t xml:space="preserve"> — am besten direkt mit Kapitel 4 dieses Dokuments als Karte. Abschluss: </w:t>
      </w:r>
      <w:proofErr w:type="spellStart"/>
      <w:r>
        <w:rPr>
          <w:rFonts w:ascii="Consolas" w:hAnsi="Consolas"/>
          <w:color w:val="0B4A56"/>
          <w:sz w:val="20"/>
          <w:szCs w:val="20"/>
        </w:rPr>
        <w:t>LmgServer</w:t>
      </w:r>
      <w:proofErr w:type="spellEnd"/>
      <w:r>
        <w:t xml:space="preserve">, </w:t>
      </w:r>
      <w:r>
        <w:rPr>
          <w:rFonts w:ascii="Consolas" w:hAnsi="Consolas"/>
          <w:color w:val="0B4A56"/>
          <w:sz w:val="20"/>
          <w:szCs w:val="20"/>
        </w:rPr>
        <w:t>Benutzerverwaltung</w:t>
      </w:r>
      <w:r>
        <w:t xml:space="preserve">, </w:t>
      </w:r>
      <w:proofErr w:type="spellStart"/>
      <w:r>
        <w:rPr>
          <w:rFonts w:ascii="Consolas" w:hAnsi="Consolas"/>
          <w:color w:val="0B4A56"/>
          <w:sz w:val="20"/>
          <w:szCs w:val="20"/>
        </w:rPr>
        <w:t>Json</w:t>
      </w:r>
      <w:proofErr w:type="spellEnd"/>
      <w:r>
        <w:t>. Zum Vertiefen die Szenario-Regression (</w:t>
      </w:r>
      <w:proofErr w:type="spellStart"/>
      <w:r>
        <w:rPr>
          <w:rFonts w:ascii="Consolas" w:hAnsi="Consolas"/>
          <w:color w:val="0B4A56"/>
          <w:sz w:val="20"/>
          <w:szCs w:val="20"/>
        </w:rPr>
        <w:t>SzenarioRegressionTest</w:t>
      </w:r>
      <w:proofErr w:type="spellEnd"/>
      <w:r>
        <w:t xml:space="preserve">, zehn Fälle) und der Simulator </w:t>
      </w:r>
      <w:proofErr w:type="spellStart"/>
      <w:r>
        <w:rPr>
          <w:rFonts w:ascii="Consolas" w:hAnsi="Consolas"/>
          <w:color w:val="0B4A56"/>
          <w:sz w:val="20"/>
          <w:szCs w:val="20"/>
        </w:rPr>
        <w:t>testsweet</w:t>
      </w:r>
      <w:proofErr w:type="spellEnd"/>
      <w:r>
        <w:t xml:space="preserve">. </w:t>
      </w:r>
      <w:r>
        <w:rPr>
          <w:i/>
          <w:iCs/>
        </w:rPr>
        <w:t>Fundstellen: Abschnitt 3.6 — S. 21 (</w:t>
      </w:r>
      <w:proofErr w:type="spellStart"/>
      <w:r>
        <w:rPr>
          <w:i/>
          <w:iCs/>
        </w:rPr>
        <w:t>LeistungsService</w:t>
      </w:r>
      <w:proofErr w:type="spellEnd"/>
      <w:r>
        <w:rPr>
          <w:i/>
          <w:iCs/>
        </w:rPr>
        <w:t xml:space="preserve">, </w:t>
      </w:r>
      <w:proofErr w:type="spellStart"/>
      <w:r>
        <w:rPr>
          <w:i/>
          <w:iCs/>
        </w:rPr>
        <w:t>SozialLeistungsService</w:t>
      </w:r>
      <w:proofErr w:type="spellEnd"/>
      <w:r>
        <w:rPr>
          <w:i/>
          <w:iCs/>
        </w:rPr>
        <w:t>), Abschnitt 3.8 — S. 25 (</w:t>
      </w:r>
      <w:proofErr w:type="spellStart"/>
      <w:r>
        <w:rPr>
          <w:i/>
          <w:iCs/>
        </w:rPr>
        <w:t>LmgServer</w:t>
      </w:r>
      <w:proofErr w:type="spellEnd"/>
      <w:r>
        <w:rPr>
          <w:i/>
          <w:iCs/>
        </w:rPr>
        <w:t>, Benutzerverwaltung), S. 26 (</w:t>
      </w:r>
      <w:proofErr w:type="spellStart"/>
      <w:r>
        <w:rPr>
          <w:i/>
          <w:iCs/>
        </w:rPr>
        <w:t>Json</w:t>
      </w:r>
      <w:proofErr w:type="spellEnd"/>
      <w:r>
        <w:rPr>
          <w:i/>
          <w:iCs/>
        </w:rPr>
        <w:t xml:space="preserve">) · Code: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main</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lmg</w:t>
      </w:r>
      <w:proofErr w:type="spellEnd"/>
      <w:r>
        <w:rPr>
          <w:rFonts w:ascii="Consolas" w:hAnsi="Consolas"/>
          <w:color w:val="0B4A56"/>
          <w:sz w:val="20"/>
          <w:szCs w:val="20"/>
        </w:rPr>
        <w:t>/</w:t>
      </w:r>
      <w:proofErr w:type="spellStart"/>
      <w:r>
        <w:rPr>
          <w:rFonts w:ascii="Consolas" w:hAnsi="Consolas"/>
          <w:color w:val="0B4A56"/>
          <w:sz w:val="20"/>
          <w:szCs w:val="20"/>
        </w:rPr>
        <w:t>service</w:t>
      </w:r>
      <w:proofErr w:type="spellEnd"/>
      <w:r>
        <w:rPr>
          <w:rFonts w:ascii="Consolas" w:hAnsi="Consolas"/>
          <w:color w:val="0B4A56"/>
          <w:sz w:val="20"/>
          <w:szCs w:val="20"/>
        </w:rPr>
        <w:t>/</w:t>
      </w:r>
      <w:r>
        <w:rPr>
          <w:i/>
          <w:iCs/>
        </w:rPr>
        <w:t xml:space="preserve"> und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main</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lmg</w:t>
      </w:r>
      <w:proofErr w:type="spellEnd"/>
      <w:r>
        <w:rPr>
          <w:rFonts w:ascii="Consolas" w:hAnsi="Consolas"/>
          <w:color w:val="0B4A56"/>
          <w:sz w:val="20"/>
          <w:szCs w:val="20"/>
        </w:rPr>
        <w:t>/web/</w:t>
      </w:r>
      <w:r>
        <w:rPr>
          <w:i/>
          <w:iCs/>
        </w:rPr>
        <w:t xml:space="preserve"> · Test: </w:t>
      </w:r>
      <w:proofErr w:type="spellStart"/>
      <w:r>
        <w:rPr>
          <w:rFonts w:ascii="Consolas" w:hAnsi="Consolas"/>
          <w:color w:val="0B4A56"/>
          <w:sz w:val="20"/>
          <w:szCs w:val="20"/>
        </w:rPr>
        <w:t>src</w:t>
      </w:r>
      <w:proofErr w:type="spellEnd"/>
      <w:r>
        <w:rPr>
          <w:rFonts w:ascii="Consolas" w:hAnsi="Consolas"/>
          <w:color w:val="0B4A56"/>
          <w:sz w:val="20"/>
          <w:szCs w:val="20"/>
        </w:rPr>
        <w:t>/</w:t>
      </w:r>
      <w:proofErr w:type="spellStart"/>
      <w:r>
        <w:rPr>
          <w:rFonts w:ascii="Consolas" w:hAnsi="Consolas"/>
          <w:color w:val="0B4A56"/>
          <w:sz w:val="20"/>
          <w:szCs w:val="20"/>
        </w:rPr>
        <w:t>test</w:t>
      </w:r>
      <w:proofErr w:type="spellEnd"/>
      <w:r>
        <w:rPr>
          <w:rFonts w:ascii="Consolas" w:hAnsi="Consolas"/>
          <w:color w:val="0B4A56"/>
          <w:sz w:val="20"/>
          <w:szCs w:val="20"/>
        </w:rPr>
        <w:t>/</w:t>
      </w:r>
      <w:proofErr w:type="spellStart"/>
      <w:r>
        <w:rPr>
          <w:rFonts w:ascii="Consolas" w:hAnsi="Consolas"/>
          <w:color w:val="0B4A56"/>
          <w:sz w:val="20"/>
          <w:szCs w:val="20"/>
        </w:rPr>
        <w:t>java</w:t>
      </w:r>
      <w:proofErr w:type="spellEnd"/>
      <w:r>
        <w:rPr>
          <w:rFonts w:ascii="Consolas" w:hAnsi="Consolas"/>
          <w:color w:val="0B4A56"/>
          <w:sz w:val="20"/>
          <w:szCs w:val="20"/>
        </w:rPr>
        <w:t>/de/allgemein/</w:t>
      </w:r>
      <w:proofErr w:type="spellStart"/>
      <w:r>
        <w:rPr>
          <w:rFonts w:ascii="Consolas" w:hAnsi="Consolas"/>
          <w:color w:val="0B4A56"/>
          <w:sz w:val="20"/>
          <w:szCs w:val="20"/>
        </w:rPr>
        <w:t>lmg</w:t>
      </w:r>
      <w:proofErr w:type="spellEnd"/>
      <w:r>
        <w:rPr>
          <w:rFonts w:ascii="Consolas" w:hAnsi="Consolas"/>
          <w:color w:val="0B4A56"/>
          <w:sz w:val="20"/>
          <w:szCs w:val="20"/>
        </w:rPr>
        <w:t>/</w:t>
      </w:r>
      <w:proofErr w:type="spellStart"/>
      <w:r>
        <w:rPr>
          <w:rFonts w:ascii="Consolas" w:hAnsi="Consolas"/>
          <w:color w:val="0B4A56"/>
          <w:sz w:val="20"/>
          <w:szCs w:val="20"/>
        </w:rPr>
        <w:t>db</w:t>
      </w:r>
      <w:proofErr w:type="spellEnd"/>
      <w:r>
        <w:rPr>
          <w:rFonts w:ascii="Consolas" w:hAnsi="Consolas"/>
          <w:color w:val="0B4A56"/>
          <w:sz w:val="20"/>
          <w:szCs w:val="20"/>
        </w:rPr>
        <w:t>/SzenarioRegressionTest.java</w:t>
      </w:r>
      <w:r>
        <w:rPr>
          <w:i/>
          <w:iCs/>
        </w:rPr>
        <w:t xml:space="preserve"> · Simulator: </w:t>
      </w:r>
      <w:proofErr w:type="spellStart"/>
      <w:r>
        <w:rPr>
          <w:rFonts w:ascii="Consolas" w:hAnsi="Consolas"/>
          <w:color w:val="0B4A56"/>
          <w:sz w:val="20"/>
          <w:szCs w:val="20"/>
        </w:rPr>
        <w:t>testsweet</w:t>
      </w:r>
      <w:proofErr w:type="spellEnd"/>
      <w:r>
        <w:rPr>
          <w:rFonts w:ascii="Consolas" w:hAnsi="Consolas"/>
          <w:color w:val="0B4A56"/>
          <w:sz w:val="20"/>
          <w:szCs w:val="20"/>
        </w:rPr>
        <w:t>/</w:t>
      </w:r>
    </w:p>
    <w:p w14:paraId="3CCA010D" w14:textId="77777777" w:rsidR="00EC7D8B" w:rsidRDefault="00000000">
      <w:pPr>
        <w:spacing w:before="160" w:after="120"/>
        <w:jc w:val="both"/>
      </w:pPr>
      <w:r>
        <w:t xml:space="preserve">Ein Hinweis zum Schluss: Die Architektur­regeln aus AGENTS.md (kurze Transaktionen über </w:t>
      </w:r>
      <w:proofErr w:type="spellStart"/>
      <w:r>
        <w:t>TxManager</w:t>
      </w:r>
      <w:proofErr w:type="spellEnd"/>
      <w:r>
        <w:t xml:space="preserve">, lange über die Saga mit idempotenten Kompensationen, Wiederholung nur bei </w:t>
      </w:r>
      <w:proofErr w:type="spellStart"/>
      <w:r>
        <w:t>Sperrenkonflikten</w:t>
      </w:r>
      <w:proofErr w:type="spellEnd"/>
      <w:r>
        <w:t>, kein XA, bewusst keine Frameworks) erklären viele Gestaltungsentscheidungen, die auf den ersten Blick umständlich wirken. Wer sie kennt, liest den Code als konsequent durchgehaltenen Plan.</w:t>
      </w:r>
    </w:p>
    <w:sectPr w:rsidR="00EC7D8B">
      <w:headerReference w:type="default" r:id="rId13"/>
      <w:footerReference w:type="default" r:id="rId14"/>
      <w:pgSz w:w="11906" w:h="16838"/>
      <w:pgMar w:top="1440" w:right="1417"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6FE89" w14:textId="77777777" w:rsidR="00015E30" w:rsidRDefault="00015E30">
      <w:pPr>
        <w:spacing w:line="240" w:lineRule="auto"/>
      </w:pPr>
      <w:r>
        <w:separator/>
      </w:r>
    </w:p>
  </w:endnote>
  <w:endnote w:type="continuationSeparator" w:id="0">
    <w:p w14:paraId="57E9A971" w14:textId="77777777" w:rsidR="00015E30" w:rsidRDefault="00015E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0856" w14:textId="77777777" w:rsidR="00EC7D8B" w:rsidRDefault="00000000">
    <w:pPr>
      <w:jc w:val="center"/>
    </w:pPr>
    <w:r>
      <w:rPr>
        <w:color w:val="888888"/>
        <w:sz w:val="18"/>
        <w:szCs w:val="18"/>
      </w:rPr>
      <w:fldChar w:fldCharType="begin"/>
    </w:r>
    <w:r>
      <w:rPr>
        <w:color w:val="888888"/>
        <w:sz w:val="18"/>
        <w:szCs w:val="18"/>
      </w:rPr>
      <w:instrText xml:space="preserve"> PAGE \* arabic \* MERGEFORMAT </w:instrText>
    </w:r>
    <w:r>
      <w:rPr>
        <w:color w:val="888888"/>
        <w:sz w:val="18"/>
        <w:szCs w:val="18"/>
      </w:rPr>
      <w:fldChar w:fldCharType="separate"/>
    </w:r>
    <w:r w:rsidR="0050756B">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2ACC" w14:textId="77777777" w:rsidR="00EC7D8B" w:rsidRDefault="00000000">
    <w:pPr>
      <w:jc w:val="center"/>
    </w:pPr>
    <w:r>
      <w:rPr>
        <w:color w:val="888888"/>
        <w:sz w:val="18"/>
        <w:szCs w:val="18"/>
      </w:rPr>
      <w:fldChar w:fldCharType="begin"/>
    </w:r>
    <w:r>
      <w:rPr>
        <w:color w:val="888888"/>
        <w:sz w:val="18"/>
        <w:szCs w:val="18"/>
      </w:rPr>
      <w:instrText xml:space="preserve"> PAGE \* arabic \* MERGEFORMAT </w:instrText>
    </w:r>
    <w:r>
      <w:rPr>
        <w:color w:val="888888"/>
        <w:sz w:val="18"/>
        <w:szCs w:val="18"/>
      </w:rPr>
      <w:fldChar w:fldCharType="separate"/>
    </w:r>
    <w:r w:rsidR="0050756B">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95B39" w14:textId="77777777" w:rsidR="00015E30" w:rsidRDefault="00015E30">
      <w:pPr>
        <w:spacing w:line="240" w:lineRule="auto"/>
      </w:pPr>
      <w:r>
        <w:separator/>
      </w:r>
    </w:p>
  </w:footnote>
  <w:footnote w:type="continuationSeparator" w:id="0">
    <w:p w14:paraId="7784BCF8" w14:textId="77777777" w:rsidR="00015E30" w:rsidRDefault="00015E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5F81" w14:textId="77777777" w:rsidR="00EC7D8B" w:rsidRDefault="00000000">
    <w:pPr>
      <w:pBdr>
        <w:bottom w:val="single" w:sz="2" w:space="4" w:color="C8DDE2"/>
      </w:pBdr>
      <w:jc w:val="right"/>
    </w:pPr>
    <w:r>
      <w:rPr>
        <w:color w:val="999999"/>
        <w:sz w:val="16"/>
        <w:szCs w:val="16"/>
      </w:rPr>
      <w:t xml:space="preserve">Klassen- und Architekturüberblick · </w:t>
    </w:r>
    <w:proofErr w:type="spellStart"/>
    <w:r>
      <w:rPr>
        <w:color w:val="999999"/>
        <w:sz w:val="16"/>
        <w:szCs w:val="16"/>
      </w:rPr>
      <w:t>SDN.Leistung</w:t>
    </w:r>
    <w:proofErr w:type="spellEnd"/>
    <w:r>
      <w:rPr>
        <w:color w:val="999999"/>
        <w:sz w:val="16"/>
        <w:szCs w:val="16"/>
      </w:rPr>
      <w:t xml:space="preserve"> LMG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70D34"/>
    <w:multiLevelType w:val="hybridMultilevel"/>
    <w:tmpl w:val="121AC03C"/>
    <w:lvl w:ilvl="0" w:tplc="52D65CCE" w:tentative="1">
      <w:start w:val="1"/>
      <w:numFmt w:val="bullet"/>
      <w:lvlText w:val="●"/>
      <w:lvlJc w:val="left"/>
      <w:pPr>
        <w:ind w:left="720" w:hanging="360"/>
      </w:pPr>
    </w:lvl>
    <w:lvl w:ilvl="1" w:tplc="BAF622B4" w:tentative="1">
      <w:start w:val="1"/>
      <w:numFmt w:val="bullet"/>
      <w:lvlText w:val="○"/>
      <w:lvlJc w:val="left"/>
      <w:pPr>
        <w:ind w:left="1440" w:hanging="360"/>
      </w:pPr>
    </w:lvl>
    <w:lvl w:ilvl="2" w:tplc="BF72307C" w:tentative="1">
      <w:start w:val="1"/>
      <w:numFmt w:val="bullet"/>
      <w:lvlText w:val="■"/>
      <w:lvlJc w:val="left"/>
      <w:pPr>
        <w:ind w:left="2160" w:hanging="360"/>
      </w:pPr>
    </w:lvl>
    <w:lvl w:ilvl="3" w:tplc="68724820" w:tentative="1">
      <w:start w:val="1"/>
      <w:numFmt w:val="bullet"/>
      <w:lvlText w:val="●"/>
      <w:lvlJc w:val="left"/>
      <w:pPr>
        <w:ind w:left="2880" w:hanging="360"/>
      </w:pPr>
    </w:lvl>
    <w:lvl w:ilvl="4" w:tplc="4ED22510" w:tentative="1">
      <w:start w:val="1"/>
      <w:numFmt w:val="bullet"/>
      <w:lvlText w:val="○"/>
      <w:lvlJc w:val="left"/>
      <w:pPr>
        <w:ind w:left="3600" w:hanging="360"/>
      </w:pPr>
    </w:lvl>
    <w:lvl w:ilvl="5" w:tplc="57DE6766" w:tentative="1">
      <w:start w:val="1"/>
      <w:numFmt w:val="bullet"/>
      <w:lvlText w:val="■"/>
      <w:lvlJc w:val="left"/>
      <w:pPr>
        <w:ind w:left="4320" w:hanging="360"/>
      </w:pPr>
    </w:lvl>
    <w:lvl w:ilvl="6" w:tplc="0CD6C6CA" w:tentative="1">
      <w:start w:val="1"/>
      <w:numFmt w:val="bullet"/>
      <w:lvlText w:val="●"/>
      <w:lvlJc w:val="left"/>
      <w:pPr>
        <w:ind w:left="5040" w:hanging="360"/>
      </w:pPr>
    </w:lvl>
    <w:lvl w:ilvl="7" w:tplc="F0625EAC" w:tentative="1">
      <w:start w:val="1"/>
      <w:numFmt w:val="bullet"/>
      <w:lvlText w:val="●"/>
      <w:lvlJc w:val="left"/>
      <w:pPr>
        <w:ind w:left="5760" w:hanging="360"/>
      </w:pPr>
    </w:lvl>
    <w:lvl w:ilvl="8" w:tplc="4F7A95B0" w:tentative="1">
      <w:start w:val="1"/>
      <w:numFmt w:val="bullet"/>
      <w:lvlText w:val="●"/>
      <w:lvlJc w:val="left"/>
      <w:pPr>
        <w:ind w:left="6480" w:hanging="360"/>
      </w:pPr>
    </w:lvl>
  </w:abstractNum>
  <w:abstractNum w:abstractNumId="1" w15:restartNumberingAfterBreak="0">
    <w:nsid w:val="1D2723B6"/>
    <w:multiLevelType w:val="hybridMultilevel"/>
    <w:tmpl w:val="8F1A4B68"/>
    <w:lvl w:ilvl="0" w:tplc="64AEE748">
      <w:start w:val="1"/>
      <w:numFmt w:val="decimal"/>
      <w:lvlText w:val="%1."/>
      <w:lvlJc w:val="left"/>
      <w:pPr>
        <w:ind w:left="620" w:hanging="360"/>
      </w:pPr>
    </w:lvl>
    <w:lvl w:ilvl="1" w:tplc="537C4BDE">
      <w:numFmt w:val="decimal"/>
      <w:lvlText w:val=""/>
      <w:lvlJc w:val="left"/>
    </w:lvl>
    <w:lvl w:ilvl="2" w:tplc="FA4A71E4">
      <w:numFmt w:val="decimal"/>
      <w:lvlText w:val=""/>
      <w:lvlJc w:val="left"/>
    </w:lvl>
    <w:lvl w:ilvl="3" w:tplc="C81A28FE">
      <w:numFmt w:val="decimal"/>
      <w:lvlText w:val=""/>
      <w:lvlJc w:val="left"/>
    </w:lvl>
    <w:lvl w:ilvl="4" w:tplc="EC82BADE">
      <w:numFmt w:val="decimal"/>
      <w:lvlText w:val=""/>
      <w:lvlJc w:val="left"/>
    </w:lvl>
    <w:lvl w:ilvl="5" w:tplc="55FCF47C">
      <w:numFmt w:val="decimal"/>
      <w:lvlText w:val=""/>
      <w:lvlJc w:val="left"/>
    </w:lvl>
    <w:lvl w:ilvl="6" w:tplc="E62A9150">
      <w:numFmt w:val="decimal"/>
      <w:lvlText w:val=""/>
      <w:lvlJc w:val="left"/>
    </w:lvl>
    <w:lvl w:ilvl="7" w:tplc="1046AFA0">
      <w:numFmt w:val="decimal"/>
      <w:lvlText w:val=""/>
      <w:lvlJc w:val="left"/>
    </w:lvl>
    <w:lvl w:ilvl="8" w:tplc="F84AC6EA">
      <w:numFmt w:val="decimal"/>
      <w:lvlText w:val=""/>
      <w:lvlJc w:val="left"/>
    </w:lvl>
  </w:abstractNum>
  <w:abstractNum w:abstractNumId="2" w15:restartNumberingAfterBreak="0">
    <w:nsid w:val="542966C4"/>
    <w:multiLevelType w:val="hybridMultilevel"/>
    <w:tmpl w:val="8E442DA4"/>
    <w:lvl w:ilvl="0" w:tplc="55E6AC7C">
      <w:start w:val="1"/>
      <w:numFmt w:val="decimal"/>
      <w:lvlText w:val="%1."/>
      <w:lvlJc w:val="left"/>
      <w:pPr>
        <w:ind w:left="620" w:hanging="360"/>
      </w:pPr>
    </w:lvl>
    <w:lvl w:ilvl="1" w:tplc="BF522A92">
      <w:numFmt w:val="decimal"/>
      <w:lvlText w:val=""/>
      <w:lvlJc w:val="left"/>
    </w:lvl>
    <w:lvl w:ilvl="2" w:tplc="91F02368">
      <w:numFmt w:val="decimal"/>
      <w:lvlText w:val=""/>
      <w:lvlJc w:val="left"/>
    </w:lvl>
    <w:lvl w:ilvl="3" w:tplc="BB0AFBC0">
      <w:numFmt w:val="decimal"/>
      <w:lvlText w:val=""/>
      <w:lvlJc w:val="left"/>
    </w:lvl>
    <w:lvl w:ilvl="4" w:tplc="AD567232">
      <w:numFmt w:val="decimal"/>
      <w:lvlText w:val=""/>
      <w:lvlJc w:val="left"/>
    </w:lvl>
    <w:lvl w:ilvl="5" w:tplc="8AAEB8D6">
      <w:numFmt w:val="decimal"/>
      <w:lvlText w:val=""/>
      <w:lvlJc w:val="left"/>
    </w:lvl>
    <w:lvl w:ilvl="6" w:tplc="9B1C1A1C">
      <w:numFmt w:val="decimal"/>
      <w:lvlText w:val=""/>
      <w:lvlJc w:val="left"/>
    </w:lvl>
    <w:lvl w:ilvl="7" w:tplc="149AD986">
      <w:numFmt w:val="decimal"/>
      <w:lvlText w:val=""/>
      <w:lvlJc w:val="left"/>
    </w:lvl>
    <w:lvl w:ilvl="8" w:tplc="93885820">
      <w:numFmt w:val="decimal"/>
      <w:lvlText w:val=""/>
      <w:lvlJc w:val="left"/>
    </w:lvl>
  </w:abstractNum>
  <w:num w:numId="1" w16cid:durableId="1069887030">
    <w:abstractNumId w:val="0"/>
    <w:lvlOverride w:ilvl="0">
      <w:startOverride w:val="1"/>
    </w:lvlOverride>
  </w:num>
  <w:num w:numId="2" w16cid:durableId="1370106330">
    <w:abstractNumId w:val="1"/>
    <w:lvlOverride w:ilvl="0">
      <w:startOverride w:val="1"/>
    </w:lvlOverride>
  </w:num>
  <w:num w:numId="3" w16cid:durableId="428702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D8B"/>
    <w:rsid w:val="00015E30"/>
    <w:rsid w:val="0050756B"/>
    <w:rsid w:val="00A3505D"/>
    <w:rsid w:val="00DC0975"/>
    <w:rsid w:val="00EC7D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21E5"/>
  <w15:docId w15:val="{31B211EF-57EA-440A-9831-C5FBF5B8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000000"/>
        <w:sz w:val="22"/>
        <w:szCs w:val="22"/>
        <w:lang w:val="de-DE" w:eastAsia="de-DE"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400" w:after="200"/>
      <w:outlineLvl w:val="0"/>
    </w:pPr>
    <w:rPr>
      <w:rFonts w:ascii="Arial" w:hAnsi="Arial"/>
      <w:b/>
      <w:bCs/>
      <w:color w:val="0E2A33"/>
      <w:sz w:val="32"/>
      <w:szCs w:val="32"/>
    </w:rPr>
  </w:style>
  <w:style w:type="paragraph" w:styleId="berschrift2">
    <w:name w:val="heading 2"/>
    <w:basedOn w:val="Standard"/>
    <w:next w:val="Standard"/>
    <w:uiPriority w:val="9"/>
    <w:unhideWhenUsed/>
    <w:qFormat/>
    <w:pPr>
      <w:spacing w:before="300" w:after="140"/>
      <w:outlineLvl w:val="1"/>
    </w:pPr>
    <w:rPr>
      <w:rFonts w:ascii="Arial" w:hAnsi="Arial"/>
      <w:b/>
      <w:bCs/>
      <w:color w:val="1B6B7A"/>
      <w:sz w:val="26"/>
      <w:szCs w:val="26"/>
    </w:rPr>
  </w:style>
  <w:style w:type="paragraph" w:styleId="berschrift3">
    <w:name w:val="heading 3"/>
    <w:basedOn w:val="Standard"/>
    <w:next w:val="Standard"/>
    <w:uiPriority w:val="9"/>
    <w:unhideWhenUsed/>
    <w:qFormat/>
    <w:pPr>
      <w:spacing w:before="220" w:after="60"/>
      <w:outlineLvl w:val="2"/>
    </w:pPr>
    <w:rPr>
      <w:rFonts w:ascii="Consolas" w:hAnsi="Consolas"/>
      <w:b/>
      <w:bCs/>
      <w:color w:val="0E2A33"/>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pPr>
      <w:spacing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pPr>
      <w:spacing w:line="240" w:lineRule="auto"/>
    </w:pPr>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50756B"/>
    <w:pPr>
      <w:spacing w:after="100"/>
    </w:pPr>
  </w:style>
  <w:style w:type="paragraph" w:styleId="Verzeichnis2">
    <w:name w:val="toc 2"/>
    <w:basedOn w:val="Standard"/>
    <w:next w:val="Standard"/>
    <w:autoRedefine/>
    <w:uiPriority w:val="39"/>
    <w:unhideWhenUsed/>
    <w:rsid w:val="005075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8157</Words>
  <Characters>51390</Characters>
  <Application>Microsoft Office Word</Application>
  <DocSecurity>0</DocSecurity>
  <Lines>428</Lines>
  <Paragraphs>118</Paragraphs>
  <ScaleCrop>false</ScaleCrop>
  <HeadingPairs>
    <vt:vector size="2" baseType="variant">
      <vt:variant>
        <vt:lpstr>Titel</vt:lpstr>
      </vt:variant>
      <vt:variant>
        <vt:i4>1</vt:i4>
      </vt:variant>
    </vt:vector>
  </HeadingPairs>
  <TitlesOfParts>
    <vt:vector size="1" baseType="lpstr">
      <vt:lpstr>Klassen- und Architekturüberblick</vt:lpstr>
    </vt:vector>
  </TitlesOfParts>
  <Company/>
  <LinksUpToDate>false</LinksUpToDate>
  <CharactersWithSpaces>59429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Klassen- und Architekturüberblick</dc:title>
  <dc:creator>SDN.Leistung LMG</dc:creator>
  <dc:description>Alle 69 Klassen des Leistungsmanagements Grundsicherung mit Erklärungen</dc:description>
  <cp:lastModifiedBy>thomas nickel</cp:lastModifiedBy>
  <cp:revision>3</cp:revision>
  <cp:lastPrinted>2026-10-15T17:14:00Z</cp:lastPrinted>
  <dcterms:created xsi:type="dcterms:W3CDTF">2026-10-12T14:59:00Z</dcterms:created>
  <dcterms:modified xsi:type="dcterms:W3CDTF">2026-10-15T17:25:00Z</dcterms:modified>
</cp:coreProperties>
</file>