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728"/>
            </w:pPr>
          </w:p>
          <w:p>
            <w:pPr>
              <w:pBdr>
                <w:bottom w:val="single" w:color="37DCF2" w:sz="6" w:space="8"/>
              </w:pBdr>
              <w:spacing w:after="500"/>
              <w:ind w:left="1200" w:right="800"/>
            </w:pPr>
            <w:r>
              <w:rPr>
                <w:rFonts w:ascii="Calibri" w:hAnsi="Calibri"/>
                <w:color w:val="37DCF2"/>
                <w:spacing w:val="40"/>
                <w:sz w:val="18"/>
                <w:szCs w:val="18"/>
              </w:rPr>
              <w:t xml:space="preserve">D I E   B E R E C H N U N G   E I N F A C H   E R K L Ä R T</w:t>
            </w:r>
          </w:p>
          <w:p>
            <w:pPr>
              <w:spacing w:after="100" w:line="920" w:lineRule="atLeast"/>
              <w:ind w:left="1200"/>
            </w:pPr>
            <w:r>
              <w:rPr>
                <w:rFonts w:ascii="Arial" w:hAnsi="Arial"/>
                <w:b/>
                <w:bCs/>
                <w:color w:val="FFFFFF"/>
                <w:sz w:val="80"/>
                <w:szCs w:val="80"/>
              </w:rPr>
              <w:t xml:space="preserve">So wird ein</w:t>
            </w:r>
          </w:p>
          <w:p>
            <w:pPr>
              <w:spacing w:after="300" w:line="920" w:lineRule="atLeast"/>
              <w:ind w:left="1200"/>
            </w:pPr>
            <w:r>
              <w:rPr>
                <w:rFonts w:ascii="Arial" w:hAnsi="Arial"/>
                <w:b/>
                <w:bCs/>
                <w:color w:val="FFFFFF"/>
                <w:sz w:val="80"/>
                <w:szCs w:val="80"/>
              </w:rPr>
              <w:t xml:space="preserve">SozialFall berechnet</w:t>
            </w:r>
          </w:p>
          <w:p>
            <w:pPr>
              <w:spacing w:after="800"/>
              <w:ind w:left="1200"/>
            </w:pPr>
            <w:r>
              <w:rPr>
                <w:rFonts w:ascii="Calibri" w:hAnsi="Calibri"/>
                <w:color w:val="B0B8C0"/>
                <w:sz w:val="24"/>
                <w:szCs w:val="24"/>
              </w:rPr>
              <w:t xml:space="preserve">Die Grundsicherungs-Berechnung (SGB XII) in SDN.Leistung — einfach erklärt, mit Fluss- und Ablaufdiagrammen</w:t>
            </w:r>
          </w:p>
          <w:p>
            <w:pPr>
              <w:pBdr>
                <w:left w:val="single" w:color="37DCF2" w:sz="8" w:space="12"/>
              </w:pBdr>
              <w:spacing w:after="80"/>
              <w:ind w:left="1400"/>
            </w:pPr>
            <w:r>
              <w:rPr>
                <w:rFonts w:ascii="Calibri" w:hAnsi="Calibri"/>
                <w:color w:val="90989F"/>
                <w:sz w:val="24"/>
                <w:szCs w:val="24"/>
              </w:rPr>
              <w:t xml:space="preserve">Projekt Leistungsmanagement Grundsicherung (SGB XII)</w:t>
            </w:r>
          </w:p>
          <w:p>
            <w:pPr>
              <w:pBdr>
                <w:left w:val="single" w:color="37DCF2" w:sz="8" w:space="12"/>
              </w:pBdr>
              <w:spacing w:after="80"/>
              <w:ind w:left="1400"/>
            </w:pPr>
            <w:r>
              <w:rPr>
                <w:rFonts w:ascii="Calibri" w:hAnsi="Calibri"/>
                <w:color w:val="90989F"/>
                <w:sz w:val="24"/>
                <w:szCs w:val="24"/>
              </w:rPr>
              <w:t xml:space="preserve">Vom Antrag über den Bescheid bis zur Auszahlung</w:t>
            </w:r>
          </w:p>
          <w:p>
            <w:pPr>
              <w:pBdr>
                <w:left w:val="single" w:color="37DCF2" w:sz="8" w:space="12"/>
              </w:pBdr>
              <w:spacing w:after="80"/>
              <w:ind w:left="1400"/>
            </w:pPr>
            <w:r>
              <w:rPr>
                <w:rFonts w:ascii="Calibri" w:hAnsi="Calibri"/>
                <w:color w:val="90989F"/>
                <w:sz w:val="24"/>
                <w:szCs w:val="24"/>
              </w:rPr>
              <w:t xml:space="preserve">Alle Beträge: Referenzjahr 2026 (Version 0.5.8)</w:t>
            </w:r>
          </w:p>
          <w:p>
            <w:pPr>
              <w:pBdr>
                <w:left w:val="single" w:color="37DCF2" w:sz="8" w:space="12"/>
              </w:pBdr>
              <w:spacing w:after="80"/>
              <w:ind w:left="1400"/>
            </w:pPr>
            <w:r>
              <w:rPr>
                <w:rFonts w:ascii="Calibri" w:hAnsi="Calibri"/>
                <w:color w:val="90989F"/>
                <w:sz w:val="24"/>
                <w:szCs w:val="24"/>
              </w:rPr>
              <w:t xml:space="preserve">Stand: 13. Oktober 2026</w:t>
            </w:r>
          </w:p>
          <w:p>
            <w:pPr>
              <w:spacing w:before="3867"/>
            </w:pPr>
          </w:p>
          <w:p>
            <w:pPr>
              <w:pBdr>
                <w:top w:val="single" w:color="37DCF2" w:sz="2" w:space="8"/>
              </w:pBdr>
              <w:spacing w:before="200"/>
              <w:ind w:left="1200" w:right="800"/>
            </w:pPr>
            <w:r>
              <w:rPr>
                <w:rFonts w:ascii="Calibri" w:hAnsi="Calibri"/>
                <w:color w:val="687078"/>
                <w:sz w:val="16"/>
                <w:szCs w:val="16"/>
              </w:rPr>
              <w:t xml:space="preserve">SDN.Leistung LMG</w:t>
            </w:r>
            <w:r>
              <w:rPr>
                <w:sz w:val="16"/>
                <w:szCs w:val="16"/>
              </w:rPr>
              <w:t xml:space="preserve">                                                                  </w:t>
            </w:r>
            <w:r>
              <w:rPr>
                <w:rFonts w:ascii="Calibri" w:hAnsi="Calibri"/>
                <w:color w:val="687078"/>
                <w:sz w:val="16"/>
                <w:szCs w:val="16"/>
              </w:rPr>
              <w:t xml:space="preserve">Oktober 2026</w:t>
            </w:r>
          </w:p>
        </w:tc>
      </w:tr>
    </w:tbl>
    <w:p>
      <w:pPr>
        <w:sectPr>
          <w:pgSz w:w="11906" w:h="16838" w:orient="portrait"/>
          <w:pgMar w:top="0" w:right="0" w:bottom="0" w:left="0" w:header="708" w:footer="708" w:gutter="0"/>
          <w:docGrid w:linePitch="360"/>
        </w:sectPr>
      </w:pPr>
    </w:p>
    <w:p>
      <w:pPr>
        <w:pBdr>
          <w:bottom w:val="single" w:color="1B6B7A" w:sz="6" w:space="6"/>
        </w:pBdr>
        <w:spacing w:after="120" w:before="240"/>
      </w:pPr>
      <w:r>
        <w:rPr>
          <w:rFonts w:ascii="Arial" w:hAnsi="Arial"/>
          <w:b/>
          <w:bCs/>
          <w:color w:val="0E2A33"/>
          <w:sz w:val="32"/>
          <w:szCs w:val="32"/>
        </w:rPr>
        <w:t xml:space="preserve">Inhaltsverzeichnis</w:t>
      </w:r>
    </w:p>
    <w:sdt>
      <w:sdtPr>
        <w:alias w:val="Inhaltsverzeichnis"/>
      </w:sdtPr>
      <w:sdtContent>
        <w:p>
          <w:pPr>
            <w:spacing w:after="80" w:line="264" w:lineRule="auto"/>
          </w:pPr>
          <w:r>
            <w:fldChar w:fldCharType="begin" w:dirty="true"/>
          </w:r>
          <w:r>
            <w:instrText xml:space="preserve"> TOC \h \o "1-2" </w:instrText>
          </w:r>
          <w:r>
            <w:fldChar w:fldCharType="separate"/>
          </w:r>
        </w:p>
        <w:p>
          <w:pPr>
            <w:tabs>
              <w:tab w:val="right" w:leader="dot" w:pos="8788"/>
            </w:tabs>
            <w:spacing w:before="240" w:after="60" w:line="276" w:lineRule="auto"/>
            <w:ind w:left="0"/>
          </w:pPr>
          <w:r>
            <w:rPr>
              <w:rFonts w:ascii="Calibri" w:hAnsi="Calibri"/>
              <w:b/>
              <w:color w:val="0E2A33"/>
              <w:sz w:val="23"/>
              <w:szCs w:val="23"/>
            </w:rPr>
            <w:t xml:space="preserve">1 Worum geht es?</w:t>
          </w:r>
          <w:r>
            <w:rPr>
              <w:rFonts w:ascii="Calibri" w:hAnsi="Calibri"/>
              <w:b/>
              <w:color w:val="0E2A33"/>
              <w:sz w:val="23"/>
              <w:szCs w:val="23"/>
            </w:rPr>
            <w:tab/>
          </w:r>
          <w:r>
            <w:rPr>
              <w:rFonts w:ascii="Calibri" w:hAnsi="Calibri"/>
              <w:b/>
              <w:color w:val="0E2A33"/>
              <w:sz w:val="23"/>
              <w:szCs w:val="23"/>
            </w:rPr>
            <w:t>3</w:t>
          </w:r>
        </w:p>
        <w:p>
          <w:pPr>
            <w:tabs>
              <w:tab w:val="right" w:leader="dot" w:pos="8788"/>
            </w:tabs>
            <w:spacing w:before="240" w:after="60" w:line="276" w:lineRule="auto"/>
            <w:ind w:left="0"/>
          </w:pPr>
          <w:r>
            <w:rPr>
              <w:rFonts w:ascii="Calibri" w:hAnsi="Calibri"/>
              <w:b/>
              <w:color w:val="0E2A33"/>
              <w:sz w:val="23"/>
              <w:szCs w:val="23"/>
            </w:rPr>
            <w:t xml:space="preserve">2 Vom Antrag bis zur Zahlung — wer macht was?</w:t>
          </w:r>
          <w:r>
            <w:rPr>
              <w:rFonts w:ascii="Calibri" w:hAnsi="Calibri"/>
              <w:b/>
              <w:color w:val="0E2A33"/>
              <w:sz w:val="23"/>
              <w:szCs w:val="23"/>
            </w:rPr>
            <w:tab/>
          </w:r>
          <w:r>
            <w:rPr>
              <w:rFonts w:ascii="Calibri" w:hAnsi="Calibri"/>
              <w:b/>
              <w:color w:val="0E2A33"/>
              <w:sz w:val="23"/>
              <w:szCs w:val="23"/>
            </w:rPr>
            <w:t>4</w:t>
          </w:r>
        </w:p>
        <w:p>
          <w:pPr>
            <w:tabs>
              <w:tab w:val="right" w:leader="dot" w:pos="8788"/>
            </w:tabs>
            <w:spacing w:before="240" w:after="60" w:line="276" w:lineRule="auto"/>
            <w:ind w:left="0"/>
          </w:pPr>
          <w:r>
            <w:rPr>
              <w:rFonts w:ascii="Calibri" w:hAnsi="Calibri"/>
              <w:b/>
              <w:color w:val="0E2A33"/>
              <w:sz w:val="23"/>
              <w:szCs w:val="23"/>
            </w:rPr>
            <w:t xml:space="preserve">3 Die Berechnung im Überblick</w:t>
          </w:r>
          <w:r>
            <w:rPr>
              <w:rFonts w:ascii="Calibri" w:hAnsi="Calibri"/>
              <w:b/>
              <w:color w:val="0E2A33"/>
              <w:sz w:val="23"/>
              <w:szCs w:val="23"/>
            </w:rPr>
            <w:tab/>
          </w:r>
          <w:r>
            <w:rPr>
              <w:rFonts w:ascii="Calibri" w:hAnsi="Calibri"/>
              <w:b/>
              <w:color w:val="0E2A33"/>
              <w:sz w:val="23"/>
              <w:szCs w:val="23"/>
            </w:rPr>
            <w:t>5</w:t>
          </w:r>
        </w:p>
        <w:p>
          <w:pPr>
            <w:tabs>
              <w:tab w:val="right" w:leader="dot" w:pos="8788"/>
            </w:tabs>
            <w:spacing w:before="240" w:after="60" w:line="276" w:lineRule="auto"/>
            <w:ind w:left="0"/>
          </w:pPr>
          <w:r>
            <w:rPr>
              <w:rFonts w:ascii="Calibri" w:hAnsi="Calibri"/>
              <w:b/>
              <w:color w:val="0E2A33"/>
              <w:sz w:val="23"/>
              <w:szCs w:val="23"/>
            </w:rPr>
            <w:t xml:space="preserve">4 Schritt 1: Der Regelbedarf — der Grundbetrag</w:t>
          </w:r>
          <w:r>
            <w:rPr>
              <w:rFonts w:ascii="Calibri" w:hAnsi="Calibri"/>
              <w:b/>
              <w:color w:val="0E2A33"/>
              <w:sz w:val="23"/>
              <w:szCs w:val="23"/>
            </w:rPr>
            <w:tab/>
          </w:r>
          <w:r>
            <w:rPr>
              <w:rFonts w:ascii="Calibri" w:hAnsi="Calibri"/>
              <w:b/>
              <w:color w:val="0E2A33"/>
              <w:sz w:val="23"/>
              <w:szCs w:val="23"/>
            </w:rPr>
            <w:t>6</w:t>
          </w:r>
        </w:p>
        <w:p>
          <w:pPr>
            <w:tabs>
              <w:tab w:val="right" w:leader="dot" w:pos="8788"/>
            </w:tabs>
            <w:spacing w:before="240" w:after="60" w:line="276" w:lineRule="auto"/>
            <w:ind w:left="0"/>
          </w:pPr>
          <w:r>
            <w:rPr>
              <w:rFonts w:ascii="Calibri" w:hAnsi="Calibri"/>
              <w:b/>
              <w:color w:val="0E2A33"/>
              <w:sz w:val="23"/>
              <w:szCs w:val="23"/>
            </w:rPr>
            <w:t xml:space="preserve">5 Schritt 2: Mehrbedarfe — die Zuschläge (§ 30 SGB XII)</w:t>
          </w:r>
          <w:r>
            <w:rPr>
              <w:rFonts w:ascii="Calibri" w:hAnsi="Calibri"/>
              <w:b/>
              <w:color w:val="0E2A33"/>
              <w:sz w:val="23"/>
              <w:szCs w:val="23"/>
            </w:rPr>
            <w:tab/>
          </w:r>
          <w:r>
            <w:rPr>
              <w:rFonts w:ascii="Calibri" w:hAnsi="Calibri"/>
              <w:b/>
              <w:color w:val="0E2A33"/>
              <w:sz w:val="23"/>
              <w:szCs w:val="23"/>
            </w:rPr>
            <w:t>7</w:t>
          </w:r>
        </w:p>
        <w:p>
          <w:pPr>
            <w:tabs>
              <w:tab w:val="right" w:leader="dot" w:pos="8788"/>
            </w:tabs>
            <w:spacing w:before="240" w:after="60" w:line="276" w:lineRule="auto"/>
            <w:ind w:left="0"/>
          </w:pPr>
          <w:r>
            <w:rPr>
              <w:rFonts w:ascii="Calibri" w:hAnsi="Calibri"/>
              <w:b/>
              <w:color w:val="0E2A33"/>
              <w:sz w:val="23"/>
              <w:szCs w:val="23"/>
            </w:rPr>
            <w:t xml:space="preserve">6 Schritt 3: Wohnkosten — die KdU (§§ 42a, 35 SGB XII)</w:t>
          </w:r>
          <w:r>
            <w:rPr>
              <w:rFonts w:ascii="Calibri" w:hAnsi="Calibri"/>
              <w:b/>
              <w:color w:val="0E2A33"/>
              <w:sz w:val="23"/>
              <w:szCs w:val="23"/>
            </w:rPr>
            <w:tab/>
          </w:r>
          <w:r>
            <w:rPr>
              <w:rFonts w:ascii="Calibri" w:hAnsi="Calibri"/>
              <w:b/>
              <w:color w:val="0E2A33"/>
              <w:sz w:val="23"/>
              <w:szCs w:val="23"/>
            </w:rPr>
            <w:t>9</w:t>
          </w:r>
        </w:p>
        <w:p>
          <w:pPr>
            <w:tabs>
              <w:tab w:val="right" w:leader="dot" w:pos="8788"/>
            </w:tabs>
            <w:spacing w:before="240" w:after="60" w:line="276" w:lineRule="auto"/>
            <w:ind w:left="0"/>
          </w:pPr>
          <w:r>
            <w:rPr>
              <w:rFonts w:ascii="Calibri" w:hAnsi="Calibri"/>
              <w:b/>
              <w:color w:val="0E2A33"/>
              <w:sz w:val="23"/>
              <w:szCs w:val="23"/>
            </w:rPr>
            <w:t xml:space="preserve">7 Schritt 4: Einkommen anrechnen (§ 82 SGB XII)</w:t>
          </w:r>
          <w:r>
            <w:rPr>
              <w:rFonts w:ascii="Calibri" w:hAnsi="Calibri"/>
              <w:b/>
              <w:color w:val="0E2A33"/>
              <w:sz w:val="23"/>
              <w:szCs w:val="23"/>
            </w:rPr>
            <w:tab/>
          </w:r>
          <w:r>
            <w:rPr>
              <w:rFonts w:ascii="Calibri" w:hAnsi="Calibri"/>
              <w:b/>
              <w:color w:val="0E2A33"/>
              <w:sz w:val="23"/>
              <w:szCs w:val="23"/>
            </w:rPr>
            <w:t>10</w:t>
          </w:r>
        </w:p>
        <w:p>
          <w:pPr>
            <w:tabs>
              <w:tab w:val="right" w:leader="dot" w:pos="8788"/>
            </w:tabs>
            <w:spacing w:before="240" w:after="60" w:line="276" w:lineRule="auto"/>
            <w:ind w:left="0"/>
          </w:pPr>
          <w:r>
            <w:rPr>
              <w:rFonts w:ascii="Calibri" w:hAnsi="Calibri"/>
              <w:b/>
              <w:color w:val="0E2A33"/>
              <w:sz w:val="23"/>
              <w:szCs w:val="23"/>
            </w:rPr>
            <w:t xml:space="preserve">8 Schritt 5: Vermögen prüfen (§§ 43, 90 SGB XII)</w:t>
          </w:r>
          <w:r>
            <w:rPr>
              <w:rFonts w:ascii="Calibri" w:hAnsi="Calibri"/>
              <w:b/>
              <w:color w:val="0E2A33"/>
              <w:sz w:val="23"/>
              <w:szCs w:val="23"/>
            </w:rPr>
            <w:tab/>
          </w:r>
          <w:r>
            <w:rPr>
              <w:rFonts w:ascii="Calibri" w:hAnsi="Calibri"/>
              <w:b/>
              <w:color w:val="0E2A33"/>
              <w:sz w:val="23"/>
              <w:szCs w:val="23"/>
            </w:rPr>
            <w:t>11</w:t>
          </w:r>
        </w:p>
        <w:p>
          <w:pPr>
            <w:tabs>
              <w:tab w:val="right" w:leader="dot" w:pos="8788"/>
            </w:tabs>
            <w:spacing w:before="240" w:after="60" w:line="276" w:lineRule="auto"/>
            <w:ind w:left="0"/>
          </w:pPr>
          <w:r>
            <w:rPr>
              <w:rFonts w:ascii="Calibri" w:hAnsi="Calibri"/>
              <w:b/>
              <w:color w:val="0E2A33"/>
              <w:sz w:val="23"/>
              <w:szCs w:val="23"/>
            </w:rPr>
            <w:t xml:space="preserve">9 Der Monatsplan — der Bescheid rechnet jeden Monat einzeln</w:t>
          </w:r>
          <w:r>
            <w:rPr>
              <w:rFonts w:ascii="Calibri" w:hAnsi="Calibri"/>
              <w:b/>
              <w:color w:val="0E2A33"/>
              <w:sz w:val="23"/>
              <w:szCs w:val="23"/>
            </w:rPr>
            <w:tab/>
          </w:r>
          <w:r>
            <w:rPr>
              <w:rFonts w:ascii="Calibri" w:hAnsi="Calibri"/>
              <w:b/>
              <w:color w:val="0E2A33"/>
              <w:sz w:val="23"/>
              <w:szCs w:val="23"/>
            </w:rPr>
            <w:t>12</w:t>
          </w:r>
        </w:p>
        <w:p>
          <w:pPr>
            <w:tabs>
              <w:tab w:val="right" w:leader="dot" w:pos="8788"/>
            </w:tabs>
            <w:spacing w:before="240" w:after="60" w:line="276" w:lineRule="auto"/>
            <w:ind w:left="0"/>
          </w:pPr>
          <w:r>
            <w:rPr>
              <w:rFonts w:ascii="Calibri" w:hAnsi="Calibri"/>
              <w:b/>
              <w:color w:val="0E2A33"/>
              <w:sz w:val="23"/>
              <w:szCs w:val="23"/>
            </w:rPr>
            <w:t xml:space="preserve">10 Durchgerechnete Beispiele</w:t>
          </w:r>
          <w:r>
            <w:rPr>
              <w:rFonts w:ascii="Calibri" w:hAnsi="Calibri"/>
              <w:b/>
              <w:color w:val="0E2A33"/>
              <w:sz w:val="23"/>
              <w:szCs w:val="23"/>
            </w:rPr>
            <w:tab/>
          </w:r>
          <w:r>
            <w:rPr>
              <w:rFonts w:ascii="Calibri" w:hAnsi="Calibri"/>
              <w:b/>
              <w:color w:val="0E2A33"/>
              <w:sz w:val="23"/>
              <w:szCs w:val="23"/>
            </w:rPr>
            <w:t>13</w:t>
          </w:r>
        </w:p>
        <w:p>
          <w:pPr>
            <w:tabs>
              <w:tab w:val="right" w:leader="dot" w:pos="8788"/>
            </w:tabs>
            <w:spacing w:before="40" w:after="40" w:line="264" w:lineRule="auto"/>
            <w:ind w:left="400"/>
          </w:pPr>
          <w:r>
            <w:rPr>
              <w:rFonts w:ascii="Calibri" w:hAnsi="Calibri"/>
              <w:color w:val="1A1A1A"/>
              <w:sz w:val="21"/>
              <w:szCs w:val="21"/>
            </w:rPr>
            <w:t xml:space="preserve">10.1 Frau B. — alleinstehend, ohne Einkommen</w:t>
          </w:r>
          <w:r>
            <w:rPr>
              <w:rFonts w:ascii="Calibri" w:hAnsi="Calibri"/>
              <w:color w:val="1A1A1A"/>
              <w:sz w:val="21"/>
              <w:szCs w:val="21"/>
            </w:rPr>
            <w:tab/>
          </w:r>
          <w:r>
            <w:rPr>
              <w:rFonts w:ascii="Calibri" w:hAnsi="Calibri"/>
              <w:color w:val="1A1A1A"/>
              <w:sz w:val="21"/>
              <w:szCs w:val="21"/>
            </w:rPr>
            <w:t>13</w:t>
          </w:r>
        </w:p>
        <w:p>
          <w:pPr>
            <w:tabs>
              <w:tab w:val="right" w:leader="dot" w:pos="8788"/>
            </w:tabs>
            <w:spacing w:before="40" w:after="40" w:line="264" w:lineRule="auto"/>
            <w:ind w:left="400"/>
          </w:pPr>
          <w:r>
            <w:rPr>
              <w:rFonts w:ascii="Calibri" w:hAnsi="Calibri"/>
              <w:color w:val="1A1A1A"/>
              <w:sz w:val="21"/>
              <w:szCs w:val="21"/>
            </w:rPr>
            <w:t xml:space="preserve">10.2 Herr und Frau P. — Ehepaar in gemeinsamer Wohnung</w:t>
          </w:r>
          <w:r>
            <w:rPr>
              <w:rFonts w:ascii="Calibri" w:hAnsi="Calibri"/>
              <w:color w:val="1A1A1A"/>
              <w:sz w:val="21"/>
              <w:szCs w:val="21"/>
            </w:rPr>
            <w:tab/>
          </w:r>
          <w:r>
            <w:rPr>
              <w:rFonts w:ascii="Calibri" w:hAnsi="Calibri"/>
              <w:color w:val="1A1A1A"/>
              <w:sz w:val="21"/>
              <w:szCs w:val="21"/>
            </w:rPr>
            <w:t>13</w:t>
          </w:r>
        </w:p>
        <w:p>
          <w:pPr>
            <w:tabs>
              <w:tab w:val="right" w:leader="dot" w:pos="8788"/>
            </w:tabs>
            <w:spacing w:before="40" w:after="40" w:line="264" w:lineRule="auto"/>
            <w:ind w:left="400"/>
          </w:pPr>
          <w:r>
            <w:rPr>
              <w:rFonts w:ascii="Calibri" w:hAnsi="Calibri"/>
              <w:color w:val="1A1A1A"/>
              <w:sz w:val="21"/>
              <w:szCs w:val="21"/>
            </w:rPr>
            <w:t xml:space="preserve">10.3 Frau S. — alleinerziehend mit zwei Kindern</w:t>
          </w:r>
          <w:r>
            <w:rPr>
              <w:rFonts w:ascii="Calibri" w:hAnsi="Calibri"/>
              <w:color w:val="1A1A1A"/>
              <w:sz w:val="21"/>
              <w:szCs w:val="21"/>
            </w:rPr>
            <w:tab/>
          </w:r>
          <w:r>
            <w:rPr>
              <w:rFonts w:ascii="Calibri" w:hAnsi="Calibri"/>
              <w:color w:val="1A1A1A"/>
              <w:sz w:val="21"/>
              <w:szCs w:val="21"/>
            </w:rPr>
            <w:t>14</w:t>
          </w:r>
        </w:p>
        <w:p>
          <w:pPr>
            <w:tabs>
              <w:tab w:val="right" w:leader="dot" w:pos="8788"/>
            </w:tabs>
            <w:spacing w:before="40" w:after="40" w:line="264" w:lineRule="auto"/>
            <w:ind w:left="400"/>
          </w:pPr>
          <w:r>
            <w:rPr>
              <w:rFonts w:ascii="Calibri" w:hAnsi="Calibri"/>
              <w:color w:val="1A1A1A"/>
              <w:sz w:val="21"/>
              <w:szCs w:val="21"/>
            </w:rPr>
            <w:t xml:space="preserve">10.4 Herr E. — RBS 1 mit Berufstätigkeit (Erwerbsfreibetrag)</w:t>
          </w:r>
          <w:r>
            <w:rPr>
              <w:rFonts w:ascii="Calibri" w:hAnsi="Calibri"/>
              <w:color w:val="1A1A1A"/>
              <w:sz w:val="21"/>
              <w:szCs w:val="21"/>
            </w:rPr>
            <w:tab/>
          </w:r>
          <w:r>
            <w:rPr>
              <w:rFonts w:ascii="Calibri" w:hAnsi="Calibri"/>
              <w:color w:val="1A1A1A"/>
              <w:sz w:val="21"/>
              <w:szCs w:val="21"/>
            </w:rPr>
            <w:t>14</w:t>
          </w:r>
        </w:p>
        <w:p>
          <w:pPr>
            <w:tabs>
              <w:tab w:val="right" w:leader="dot" w:pos="8788"/>
            </w:tabs>
            <w:spacing w:before="40" w:after="40" w:line="264" w:lineRule="auto"/>
            <w:ind w:left="400"/>
          </w:pPr>
          <w:r>
            <w:rPr>
              <w:rFonts w:ascii="Calibri" w:hAnsi="Calibri"/>
              <w:color w:val="1A1A1A"/>
              <w:sz w:val="21"/>
              <w:szCs w:val="21"/>
            </w:rPr>
            <w:t xml:space="preserve">10.5 Frau V. — mit Vermögen über dem Schonvermögen</w:t>
          </w:r>
          <w:r>
            <w:rPr>
              <w:rFonts w:ascii="Calibri" w:hAnsi="Calibri"/>
              <w:color w:val="1A1A1A"/>
              <w:sz w:val="21"/>
              <w:szCs w:val="21"/>
            </w:rPr>
            <w:tab/>
          </w:r>
          <w:r>
            <w:rPr>
              <w:rFonts w:ascii="Calibri" w:hAnsi="Calibri"/>
              <w:color w:val="1A1A1A"/>
              <w:sz w:val="21"/>
              <w:szCs w:val="21"/>
            </w:rPr>
            <w:t>14</w:t>
          </w:r>
        </w:p>
        <w:p>
          <w:pPr>
            <w:tabs>
              <w:tab w:val="right" w:leader="dot" w:pos="8788"/>
            </w:tabs>
            <w:spacing w:before="240" w:after="60" w:line="276" w:lineRule="auto"/>
            <w:ind w:left="0"/>
          </w:pPr>
          <w:r>
            <w:rPr>
              <w:rFonts w:ascii="Calibri" w:hAnsi="Calibri"/>
              <w:b/>
              <w:color w:val="0E2A33"/>
              <w:sz w:val="23"/>
              <w:szCs w:val="23"/>
            </w:rPr>
            <w:t xml:space="preserve">11 Schutzregeln beim Zahlen</w:t>
          </w:r>
          <w:r>
            <w:rPr>
              <w:rFonts w:ascii="Calibri" w:hAnsi="Calibri"/>
              <w:b/>
              <w:color w:val="0E2A33"/>
              <w:sz w:val="23"/>
              <w:szCs w:val="23"/>
            </w:rPr>
            <w:tab/>
          </w:r>
          <w:r>
            <w:rPr>
              <w:rFonts w:ascii="Calibri" w:hAnsi="Calibri"/>
              <w:b/>
              <w:color w:val="0E2A33"/>
              <w:sz w:val="23"/>
              <w:szCs w:val="23"/>
            </w:rPr>
            <w:t>15</w:t>
          </w:r>
        </w:p>
        <w:p>
          <w:pPr>
            <w:tabs>
              <w:tab w:val="right" w:leader="dot" w:pos="8788"/>
            </w:tabs>
            <w:spacing w:before="240" w:after="60" w:line="276" w:lineRule="auto"/>
            <w:ind w:left="0"/>
          </w:pPr>
          <w:r>
            <w:rPr>
              <w:rFonts w:ascii="Calibri" w:hAnsi="Calibri"/>
              <w:b/>
              <w:color w:val="0E2A33"/>
              <w:sz w:val="23"/>
              <w:szCs w:val="23"/>
            </w:rPr>
            <w:t xml:space="preserve">12 Wo rechnet das System das? — Verweise und Grenzen</w:t>
          </w:r>
          <w:r>
            <w:rPr>
              <w:rFonts w:ascii="Calibri" w:hAnsi="Calibri"/>
              <w:b/>
              <w:color w:val="0E2A33"/>
              <w:sz w:val="23"/>
              <w:szCs w:val="23"/>
            </w:rPr>
            <w:tab/>
          </w:r>
          <w:r>
            <w:rPr>
              <w:rFonts w:ascii="Calibri" w:hAnsi="Calibri"/>
              <w:b/>
              <w:color w:val="0E2A33"/>
              <w:sz w:val="23"/>
              <w:szCs w:val="23"/>
            </w:rPr>
            <w:t>16</w:t>
          </w:r>
        </w:p>
        <w:p>
          <w:pPr>
            <w:spacing w:line="264" w:lineRule="auto"/>
          </w:pPr>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2" w:fmt="decimal"/>
          <w:docGrid w:linePitch="360"/>
        </w:sectPr>
      </w:pPr>
      <w:r>
        <w:rPr>
          <w:rFonts w:ascii="Calibri" w:hAnsi="Calibri"/>
          <w:i/>
          <w:iCs/>
          <w:color w:val="888888"/>
          <w:sz w:val="18"/>
          <w:szCs w:val="18"/>
        </w:rPr>
        <w:t xml:space="preserve">Hinweis: Dieses Inhaltsverzeichnis wird über Feldfunktionen erzeugt. Nach Änderungen am Dokument bitte mit Rechtsklick auf das Verzeichnis und Felder aktualisieren wählen, damit die Seitenzahlen stimmen.</w:t>
      </w:r>
    </w:p>
    <w:p>
      <w:pPr>
        <w:pStyle w:val="Heading1"/>
        <w:keepNext/>
        <w:pBdr>
          <w:bottom w:val="single" w:color="1B6B7A" w:sz="6" w:space="6"/>
        </w:pBdr>
        <w:spacing w:after="240" w:before="400" w:line="312"/>
      </w:pPr>
      <w:bookmarkStart w:name="_Toc1" w:id="1"/>
      <w:r>
        <w:rPr>
          <w:rFonts w:ascii="Arial" w:hAnsi="Arial"/>
          <w:b/>
          <w:bCs/>
          <w:color w:val="0E2A33"/>
          <w:sz w:val="32"/>
          <w:szCs w:val="32"/>
        </w:rPr>
        <w:t xml:space="preserve">1 Worum geht es?</w:t>
      </w:r>
      <w:bookmarkEnd w:id="1"/>
    </w:p>
    <w:p>
      <w:pPr>
        <w:spacing w:after="120" w:before="0" w:line="312"/>
        <w:jc w:val="both"/>
      </w:pPr>
      <w:r>
        <w:rPr>
          <w:rFonts w:ascii="Calibri" w:hAnsi="Calibri"/>
          <w:color w:val="000000"/>
          <w:sz w:val="22"/>
          <w:szCs w:val="22"/>
        </w:rPr>
        <w:t xml:space="preserve">Die Grundsicherung im Alter und bei Erwerbsminderung ist eine Sozialleistung nach dem </w:t>
      </w:r>
      <w:r>
        <w:rPr>
          <w:rFonts w:ascii="Calibri" w:hAnsi="Calibri"/>
          <w:b/>
          <w:bCs/>
          <w:color w:val="0E2A33"/>
          <w:sz w:val="22"/>
          <w:szCs w:val="22"/>
        </w:rPr>
        <w:t xml:space="preserve">Sozialgesetzbuch XII (SGB XII)</w:t>
      </w:r>
      <w:r>
        <w:rPr>
          <w:rFonts w:ascii="Calibri" w:hAnsi="Calibri"/>
          <w:color w:val="000000"/>
          <w:sz w:val="22"/>
          <w:szCs w:val="22"/>
        </w:rPr>
        <w:t xml:space="preserve">: Wer nicht genug Rente oder Einkommen hat, um zu leben, bekommt vom Sozialamt einen monatlichen Betrag. Dieses Dokument erklärt — so einfach wie möglich und so genau wie nötig —, wie die Fachanwendung </w:t>
      </w:r>
      <w:r>
        <w:rPr>
          <w:rFonts w:ascii="Calibri" w:hAnsi="Calibri"/>
          <w:b/>
          <w:bCs/>
          <w:color w:val="0E2A33"/>
          <w:sz w:val="22"/>
          <w:szCs w:val="22"/>
        </w:rPr>
        <w:t xml:space="preserve">SDN.Leistung</w:t>
      </w:r>
      <w:r>
        <w:rPr>
          <w:rFonts w:ascii="Calibri" w:hAnsi="Calibri"/>
          <w:color w:val="000000"/>
          <w:sz w:val="22"/>
          <w:szCs w:val="22"/>
        </w:rPr>
        <w:t xml:space="preserve"> diesen Betrag berechnet. Alle Beträge und Regeln entsprechen dem Stand 2026 (Version 0.5.8 des Projekts).</w:t>
      </w:r>
    </w:p>
    <w:p>
      <w:pPr>
        <w:keepNext/>
        <w:spacing w:after="120" w:before="0" w:line="312"/>
        <w:jc w:val="both"/>
      </w:pPr>
      <w:r>
        <w:rPr>
          <w:rFonts w:ascii="Calibri" w:hAnsi="Calibri"/>
          <w:color w:val="000000"/>
          <w:sz w:val="22"/>
          <w:szCs w:val="22"/>
        </w:rPr>
        <w:t xml:space="preserve">Zwei Begriffe tragen das ganze Thema und sollten zuerst sitzen:</w:t>
      </w:r>
    </w:p>
    <w:p>
      <w:pPr>
        <w:keepNext/>
        <w:spacing w:after="80" w:before="160" w:line="312"/>
      </w:pPr>
      <w:r>
        <w:rPr>
          <w:rFonts w:ascii="Calibri" w:hAnsi="Calibri"/>
          <w:b/>
          <w:bCs/>
          <w:color w:val="5A6B73"/>
          <w:sz w:val="20"/>
          <w:szCs w:val="20"/>
        </w:rPr>
        <w:t xml:space="preserve">Tabelle 1: Die Grundbegriffe</w:t>
      </w:r>
    </w:p>
    <w:tbl>
      <w:tblPr>
        <w:tblW w:type="pct" w:w="5000"/>
        <w:tblBorders>
          <w:top w:val="single" w:color="1B6B7A" w:sz="4"/>
          <w:left w:val="none"/>
          <w:bottom w:val="single" w:color="1B6B7A" w:sz="4"/>
          <w:right w:val="none"/>
          <w:insideH w:val="single" w:color="C8DDE2" w:sz="1"/>
          <w:insideV w:val="none"/>
        </w:tblBorders>
      </w:tblPr>
      <w:tblGrid>
        <w:gridCol w:w="2109"/>
        <w:gridCol w:w="6679"/>
      </w:tblGrid>
      <w:tr>
        <w:trPr>
          <w:cantSplit/>
          <w:tblHeader/>
        </w:trPr>
        <w:tc>
          <w:tcPr>
            <w:tcW w:type="pct" w:w="12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Begriff</w:t>
            </w:r>
          </w:p>
        </w:tc>
        <w:tc>
          <w:tcPr>
            <w:tcW w:type="pct" w:w="3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Was er bedeutet</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Bedarfsgemeinschaft</w:t>
            </w:r>
          </w:p>
        </w:tc>
        <w:tc>
          <w:tcPr>
            <w:tcW w:type="pct" w:w="3800"/>
            <w:shd w:fill="EDF3F5" w:val="clear"/>
            <w:tcMar>
              <w:top w:type="dxa" w:w="60"/>
              <w:left w:type="dxa" w:w="120"/>
              <w:bottom w:type="dxa" w:w="60"/>
              <w:right w:type="dxa" w:w="120"/>
            </w:tcMar>
          </w:tcPr>
          <w:p>
            <w:pPr>
              <w:spacing w:line="276"/>
            </w:pPr>
            <w:r>
              <w:rPr>
                <w:rFonts w:ascii="Calibri" w:hAnsi="Calibri"/>
                <w:color w:val="000000"/>
                <w:sz w:val="20"/>
                <w:szCs w:val="20"/>
              </w:rPr>
              <w:t xml:space="preserve">Der Haushalt als Ganzes — der „Vorgang“ im System. Sie hat ein Aktenzeichen, ein Vermögen, ein Bankkonto und ein monatliches Budget. Eine Bedarfsgemeinschaft kann aus einer Person allein bestehen oder aus mehreren (z. B. Ehepaar, Mutter mit zwei Kindern).</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SozialFall</w:t>
            </w:r>
          </w:p>
        </w:tc>
        <w:tc>
          <w:tcPr>
            <w:tcW w:type="pct" w:w="3800"/>
            <w:tcMar>
              <w:top w:type="dxa" w:w="60"/>
              <w:left w:type="dxa" w:w="120"/>
              <w:bottom w:type="dxa" w:w="60"/>
              <w:right w:type="dxa" w:w="120"/>
            </w:tcMar>
          </w:tcPr>
          <w:p>
            <w:pPr>
              <w:spacing w:line="276"/>
            </w:pPr>
            <w:r>
              <w:rPr>
                <w:rFonts w:ascii="Calibri" w:hAnsi="Calibri"/>
                <w:color w:val="000000"/>
                <w:sz w:val="20"/>
                <w:szCs w:val="20"/>
              </w:rPr>
              <w:t xml:space="preserve">Eine Person innerhalb der Bedarfsgemeinschaft. Hier werden alles erfasst, was die Berechnung braucht: die Regelbedarfsstufe, Merkmale (Merkzeichen G, Schwangerschaft, Kinder), die Wohnkosten und das Einkommen.</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Zahlbetrag</w:t>
            </w:r>
          </w:p>
        </w:tc>
        <w:tc>
          <w:tcPr>
            <w:tcW w:type="pct" w:w="3800"/>
            <w:shd w:fill="EDF3F5" w:val="clear"/>
            <w:tcMar>
              <w:top w:type="dxa" w:w="60"/>
              <w:left w:type="dxa" w:w="120"/>
              <w:bottom w:type="dxa" w:w="60"/>
              <w:right w:type="dxa" w:w="120"/>
            </w:tcMar>
          </w:tcPr>
          <w:p>
            <w:pPr>
              <w:spacing w:line="276"/>
            </w:pPr>
            <w:r>
              <w:rPr>
                <w:rFonts w:ascii="Calibri" w:hAnsi="Calibri"/>
                <w:color w:val="000000"/>
                <w:sz w:val="20"/>
                <w:szCs w:val="20"/>
              </w:rPr>
              <w:t xml:space="preserve">Das Ergebnis: der Betrag, den die Bedarfsgemeinschaft für einen Monat bekommt. Er gilt immer für die ganze Bedarfsgemeinschaft, nicht für eine einzelne Person.</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Bescheid</w:t>
            </w:r>
          </w:p>
        </w:tc>
        <w:tc>
          <w:tcPr>
            <w:tcW w:type="pct" w:w="3800"/>
            <w:tcMar>
              <w:top w:type="dxa" w:w="60"/>
              <w:left w:type="dxa" w:w="120"/>
              <w:bottom w:type="dxa" w:w="60"/>
              <w:right w:type="dxa" w:w="120"/>
            </w:tcMar>
          </w:tcPr>
          <w:p>
            <w:pPr>
              <w:spacing w:line="276"/>
            </w:pPr>
            <w:r>
              <w:rPr>
                <w:rFonts w:ascii="Calibri" w:hAnsi="Calibri"/>
                <w:color w:val="000000"/>
                <w:sz w:val="20"/>
                <w:szCs w:val="20"/>
              </w:rPr>
              <w:t xml:space="preserve">Der schriftliche Verwaltungsakt, der den Zahlbetrag für einen Zeitraum (höchstens 12 Monate) feststellt. Das System speichert in ihm den kompletten Rechenweg zum Zeitpunkt der Erteilung — der spätere Druck zeigt genau diesen Stand.</w:t>
            </w:r>
          </w:p>
        </w:tc>
      </w:tr>
    </w:tbl>
    <w:p>
      <w:pPr>
        <w:keepNext/>
        <w:spacing w:after="120" w:before="120" w:line="312"/>
        <w:jc w:val="both"/>
      </w:pPr>
      <w:r>
        <w:rPr>
          <w:rFonts w:ascii="Calibri" w:hAnsi="Calibri"/>
          <w:color w:val="000000"/>
          <w:sz w:val="22"/>
          <w:szCs w:val="22"/>
        </w:rPr>
        <w:t xml:space="preserve">Die ganze Berechnung — so kompliziert sie im Detail werden mag — folgt einer einzigen Grundformel:</w:t>
      </w:r>
    </w:p>
    <w:p>
      <w:pPr>
        <w:spacing w:after="160" w:before="0" w:line="312"/>
        <w:jc w:val="both"/>
      </w:pPr>
      <w:r>
        <w:rPr>
          <w:rFonts w:ascii="Calibri" w:hAnsi="Calibri"/>
          <w:b/>
          <w:bCs/>
          <w:color w:val="0E2A33"/>
          <w:sz w:val="22"/>
          <w:szCs w:val="22"/>
        </w:rPr>
        <w:t xml:space="preserve">Zahlbetrag  =  Bedarf  −  Einkommen  −  verwertbares Vermögen</w:t>
      </w:r>
    </w:p>
    <w:p>
      <w:pPr>
        <w:spacing w:after="120" w:before="0" w:line="312"/>
        <w:jc w:val="both"/>
      </w:pPr>
      <w:r>
        <w:rPr>
          <w:rFonts w:ascii="Calibri" w:hAnsi="Calibri"/>
          <w:color w:val="000000"/>
          <w:sz w:val="22"/>
          <w:szCs w:val="22"/>
        </w:rPr>
        <w:t xml:space="preserve">Der Rest dieses Dokuments füllt die drei Teile dieser Formel mit Leben: Was zählt zum Bedarf (Kapitel 4 bis 6), was passiert mit Einkommen (Kapitel 7) und Vermögen (Kapitel 8), und wie wird daraus ein Bescheid und schließlich eine Zahlung (Kapitel 2, 9 und 11)? Kapitel 10 rechnet fünf echte Fälle Schritt für Schritt durch.</w:t>
      </w:r>
    </w:p>
    <w:p>
      <w:pPr>
        <w:pStyle w:val="Heading1"/>
        <w:keepNext/>
        <w:pBdr>
          <w:bottom w:val="single" w:color="1B6B7A" w:sz="6" w:space="6"/>
        </w:pBdr>
        <w:spacing w:after="240" w:before="400" w:line="312"/>
      </w:pPr>
      <w:bookmarkStart w:name="_Toc2" w:id="2"/>
      <w:r>
        <w:rPr>
          <w:rFonts w:ascii="Arial" w:hAnsi="Arial"/>
          <w:b/>
          <w:bCs/>
          <w:color w:val="0E2A33"/>
          <w:sz w:val="32"/>
          <w:szCs w:val="32"/>
        </w:rPr>
        <w:t xml:space="preserve">2 Vom Antrag bis zur Zahlung — wer macht was?</w:t>
      </w:r>
      <w:bookmarkEnd w:id="2"/>
    </w:p>
    <w:p>
      <w:pPr>
        <w:keepNext/>
        <w:spacing w:after="120" w:before="0" w:line="312"/>
        <w:jc w:val="both"/>
      </w:pPr>
      <w:r>
        <w:rPr>
          <w:rFonts w:ascii="Calibri" w:hAnsi="Calibri"/>
          <w:color w:val="000000"/>
          <w:sz w:val="22"/>
          <w:szCs w:val="22"/>
        </w:rPr>
        <w:t xml:space="preserve">Bevor es um einzelne Beträge geht, der große Bogen: Welche Schritte durchläuft ein Antrag im System, und wer ist dabei beteiligt? Drei Rollen spielen mit: ein </w:t>
      </w:r>
      <w:r>
        <w:rPr>
          <w:rFonts w:ascii="Calibri" w:hAnsi="Calibri"/>
          <w:b/>
          <w:bCs/>
          <w:color w:val="0E2A33"/>
          <w:sz w:val="22"/>
          <w:szCs w:val="22"/>
        </w:rPr>
        <w:t xml:space="preserve">Sachbearbeiter</w:t>
      </w:r>
      <w:r>
        <w:rPr>
          <w:rFonts w:ascii="Calibri" w:hAnsi="Calibri"/>
          <w:color w:val="000000"/>
          <w:sz w:val="22"/>
          <w:szCs w:val="22"/>
        </w:rPr>
        <w:t xml:space="preserve">, der den Fall erfährt und bearbeitet, eine </w:t>
      </w:r>
      <w:r>
        <w:rPr>
          <w:rFonts w:ascii="Calibri" w:hAnsi="Calibri"/>
          <w:b/>
          <w:bCs/>
          <w:color w:val="0E2A33"/>
          <w:sz w:val="22"/>
          <w:szCs w:val="22"/>
        </w:rPr>
        <w:t xml:space="preserve">zweite Person</w:t>
      </w:r>
      <w:r>
        <w:rPr>
          <w:rFonts w:ascii="Calibri" w:hAnsi="Calibri"/>
          <w:color w:val="000000"/>
          <w:sz w:val="22"/>
          <w:szCs w:val="22"/>
        </w:rPr>
        <w:t xml:space="preserve">, die jede Auszahlung freigibt (Vier-Augen-Prinzip), und ein </w:t>
      </w:r>
      <w:r>
        <w:rPr>
          <w:rFonts w:ascii="Calibri" w:hAnsi="Calibri"/>
          <w:b/>
          <w:bCs/>
          <w:color w:val="0E2A33"/>
          <w:sz w:val="22"/>
          <w:szCs w:val="22"/>
        </w:rPr>
        <w:t xml:space="preserve">Administrator</w:t>
      </w:r>
      <w:r>
        <w:rPr>
          <w:rFonts w:ascii="Calibri" w:hAnsi="Calibri"/>
          <w:color w:val="000000"/>
          <w:sz w:val="22"/>
          <w:szCs w:val="22"/>
        </w:rPr>
        <w:t xml:space="preserve">, der die freigegebenen Zahlungen im Kassenlauf an die Kasse übergibt. Jeder dieser Schritte wird im Buchungsjournal festgehalten — mit Kennung, Zeitpunkt und Betrag.</w:t>
      </w:r>
    </w:p>
    <w:p>
      <w:pPr>
        <w:keepNext/>
        <w:spacing w:after="60" w:before="200"/>
        <w:jc w:val="center"/>
      </w:pPr>
      <w:r>
        <w:drawing>
          <wp:inline distT="0" distB="0" distL="0" distR="0">
            <wp:extent cx="5143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33775"/>
                    </a:xfrm>
                    <a:prstGeom prst="rect">
                      <a:avLst/>
                    </a:prstGeom>
                  </pic:spPr>
                </pic:pic>
              </a:graphicData>
            </a:graphic>
          </wp:inline>
        </w:drawing>
      </w:r>
    </w:p>
    <w:p>
      <w:pPr>
        <w:spacing w:after="160"/>
        <w:jc w:val="center"/>
      </w:pPr>
      <w:r>
        <w:rPr>
          <w:rFonts w:ascii="Calibri" w:hAnsi="Calibri"/>
          <w:i/>
          <w:iCs/>
          <w:color w:val="5A6B73"/>
          <w:sz w:val="18"/>
          <w:szCs w:val="18"/>
        </w:rPr>
        <w:t xml:space="preserve">Abbildung 1: Ablaufdiagramm — die sieben Schritte vom Antrag bis zur ausgezahlten Leistung</w:t>
      </w:r>
    </w:p>
    <w:p>
      <w:pPr>
        <w:spacing w:after="120" w:before="0" w:line="312"/>
        <w:jc w:val="both"/>
      </w:pPr>
      <w:r>
        <w:rPr>
          <w:rFonts w:ascii="Calibri" w:hAnsi="Calibri"/>
          <w:b/>
          <w:bCs/>
          <w:color w:val="0E2A33"/>
          <w:sz w:val="22"/>
          <w:szCs w:val="22"/>
        </w:rPr>
        <w:t xml:space="preserve">So liest man das Bild: </w:t>
      </w:r>
      <w:r>
        <w:rPr>
          <w:rFonts w:ascii="Calibri" w:hAnsi="Calibri"/>
          <w:color w:val="000000"/>
          <w:sz w:val="22"/>
          <w:szCs w:val="22"/>
        </w:rPr>
        <w:t xml:space="preserve">Oben die Erfassungs- und Bescheidphase, unten die Auszahlungsphase. Wichtig ist die Trennung bei Schritt 4: Das Anordnen einer Auszahlung schickt noch </w:t>
      </w:r>
      <w:r>
        <w:rPr>
          <w:rFonts w:ascii="Calibri" w:hAnsi="Calibri"/>
          <w:i/>
          <w:iCs/>
          <w:color w:val="000000"/>
          <w:sz w:val="22"/>
          <w:szCs w:val="22"/>
        </w:rPr>
        <w:t xml:space="preserve">kein</w:t>
      </w:r>
      <w:r>
        <w:rPr>
          <w:rFonts w:ascii="Calibri" w:hAnsi="Calibri"/>
          <w:color w:val="000000"/>
          <w:sz w:val="22"/>
          <w:szCs w:val="22"/>
        </w:rPr>
        <w:t xml:space="preserve"> Geld — die Zahlung liegt im Status </w:t>
      </w:r>
      <w:r>
        <w:rPr>
          <w:rFonts w:ascii="Consolas" w:hAnsi="Consolas"/>
          <w:color w:val="0B4A56"/>
          <w:sz w:val="20"/>
          <w:szCs w:val="20"/>
        </w:rPr>
        <w:t xml:space="preserve">ANGELEGT</w:t>
      </w:r>
      <w:r>
        <w:rPr>
          <w:rFonts w:ascii="Calibri" w:hAnsi="Calibri"/>
          <w:color w:val="000000"/>
          <w:sz w:val="22"/>
          <w:szCs w:val="22"/>
        </w:rPr>
        <w:t xml:space="preserve"> und wird erst nach der Freigabe durch eine zweite Person (</w:t>
      </w:r>
      <w:r>
        <w:rPr>
          <w:rFonts w:ascii="Consolas" w:hAnsi="Consolas"/>
          <w:color w:val="0B4A56"/>
          <w:sz w:val="20"/>
          <w:szCs w:val="20"/>
        </w:rPr>
        <w:t xml:space="preserve">BEREIT</w:t>
      </w:r>
      <w:r>
        <w:rPr>
          <w:rFonts w:ascii="Calibri" w:hAnsi="Calibri"/>
          <w:color w:val="000000"/>
          <w:sz w:val="22"/>
          <w:szCs w:val="22"/>
        </w:rPr>
        <w:t xml:space="preserve">) und dem Kassenlauf (</w:t>
      </w:r>
      <w:r>
        <w:rPr>
          <w:rFonts w:ascii="Consolas" w:hAnsi="Consolas"/>
          <w:color w:val="0B4A56"/>
          <w:sz w:val="20"/>
          <w:szCs w:val="20"/>
        </w:rPr>
        <w:t xml:space="preserve">UEBERGEBEN</w:t>
      </w:r>
      <w:r>
        <w:rPr>
          <w:rFonts w:ascii="Calibri" w:hAnsi="Calibri"/>
          <w:color w:val="000000"/>
          <w:sz w:val="22"/>
          <w:szCs w:val="22"/>
        </w:rPr>
        <w:t xml:space="preserve">) tatsächlich überwiesen. So ist das Vier-Augen-Prinzip im System erzwungen, nicht nur vereinbart.</w:t>
      </w:r>
    </w:p>
    <w:p>
      <w:pPr>
        <w:spacing w:after="120" w:before="0" w:line="312"/>
        <w:jc w:val="both"/>
      </w:pPr>
      <w:r>
        <w:rPr>
          <w:rFonts w:ascii="Calibri" w:hAnsi="Calibri"/>
          <w:color w:val="000000"/>
          <w:sz w:val="22"/>
          <w:szCs w:val="22"/>
        </w:rPr>
        <w:t xml:space="preserve">Noch zwei Garantien unterwegs: Ein Doppelklick auf „Auszahlung anordnen“ ist harmlos, weil jede Zahlung eine eindeutige Vorgangsnummer trägt — dieselbe Nummer ergibt nie eine zweite Zahlung. Und eine versehentlich angeordnete Zahlung lässt sich bis zur Übergabe stornieren; dann kommt das Restbudget und ein etwaiger Vermögenseinsatz zurück (Details in Kapitel 11).</w:t>
      </w:r>
    </w:p>
    <w:p>
      <w:pPr>
        <w:pStyle w:val="Heading1"/>
        <w:keepNext/>
        <w:pBdr>
          <w:bottom w:val="single" w:color="1B6B7A" w:sz="6" w:space="6"/>
        </w:pBdr>
        <w:spacing w:after="240" w:before="400" w:line="312"/>
      </w:pPr>
      <w:bookmarkStart w:name="_Toc3" w:id="3"/>
      <w:r>
        <w:rPr>
          <w:rFonts w:ascii="Arial" w:hAnsi="Arial"/>
          <w:b/>
          <w:bCs/>
          <w:color w:val="0E2A33"/>
          <w:sz w:val="32"/>
          <w:szCs w:val="32"/>
        </w:rPr>
        <w:t xml:space="preserve">3 Die Berechnung im Überblick</w:t>
      </w:r>
      <w:bookmarkEnd w:id="3"/>
    </w:p>
    <w:p>
      <w:pPr>
        <w:keepNext/>
        <w:spacing w:after="120" w:before="0" w:line="312"/>
        <w:jc w:val="both"/>
      </w:pPr>
      <w:r>
        <w:rPr>
          <w:rFonts w:ascii="Calibri" w:hAnsi="Calibri"/>
          <w:color w:val="000000"/>
          <w:sz w:val="22"/>
          <w:szCs w:val="22"/>
        </w:rPr>
        <w:t xml:space="preserve">Die monatliche Berechnung selbst besteht aus drei Rechenschritten und einer Formel — einmal pro Person, dann summiert über die Bedarfsgemeinschaft:</w:t>
      </w:r>
    </w:p>
    <w:p>
      <w:pPr>
        <w:keepNext/>
        <w:spacing w:after="60" w:before="200"/>
        <w:jc w:val="center"/>
      </w:pPr>
      <w:r>
        <w:drawing>
          <wp:inline distT="0" distB="0" distL="0" distR="0">
            <wp:extent cx="5143500" cy="3867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67150"/>
                    </a:xfrm>
                    <a:prstGeom prst="rect">
                      <a:avLst/>
                    </a:prstGeom>
                  </pic:spPr>
                </pic:pic>
              </a:graphicData>
            </a:graphic>
          </wp:inline>
        </w:drawing>
      </w:r>
    </w:p>
    <w:p>
      <w:pPr>
        <w:spacing w:after="160"/>
        <w:jc w:val="center"/>
      </w:pPr>
      <w:r>
        <w:rPr>
          <w:rFonts w:ascii="Calibri" w:hAnsi="Calibri"/>
          <w:i/>
          <w:iCs/>
          <w:color w:val="5A6B73"/>
          <w:sz w:val="18"/>
          <w:szCs w:val="18"/>
        </w:rPr>
        <w:t xml:space="preserve">Abbildung 2: Flussdiagramm — die drei Rechenschritte A, B, C und die Formel zum Zahlbetrag</w:t>
      </w:r>
    </w:p>
    <w:p>
      <w:pPr>
        <w:spacing w:after="120" w:before="60" w:line="312"/>
        <w:jc w:val="both"/>
      </w:pPr>
      <w:r>
        <w:rPr>
          <w:rFonts w:ascii="Calibri" w:hAnsi="Calibri"/>
          <w:b/>
          <w:bCs/>
          <w:color w:val="0E2A33"/>
          <w:sz w:val="22"/>
          <w:szCs w:val="22"/>
        </w:rPr>
        <w:t xml:space="preserve">Schritt A</w:t>
      </w:r>
      <w:r>
        <w:rPr>
          <w:rFonts w:ascii="Calibri" w:hAnsi="Calibri"/>
          <w:color w:val="000000"/>
          <w:sz w:val="22"/>
          <w:szCs w:val="22"/>
        </w:rPr>
        <w:t xml:space="preserve"> baut den Bedarf einer Person auf: der Grundbetrag (Regelbedarf), eventuelle Zuschläge (Mehrbedarfe) und die anerkannten Wohnkosten. </w:t>
      </w:r>
      <w:r>
        <w:rPr>
          <w:rFonts w:ascii="Calibri" w:hAnsi="Calibri"/>
          <w:b/>
          <w:bCs/>
          <w:color w:val="0E2A33"/>
          <w:sz w:val="22"/>
          <w:szCs w:val="22"/>
        </w:rPr>
        <w:t xml:space="preserve">Schritt B</w:t>
      </w:r>
      <w:r>
        <w:rPr>
          <w:rFonts w:ascii="Calibri" w:hAnsi="Calibri"/>
          <w:color w:val="000000"/>
          <w:sz w:val="22"/>
          <w:szCs w:val="22"/>
        </w:rPr>
        <w:t xml:space="preserve"> stellt fest, wie viel vom Einkommen der Person auf die Grundsicherung angerechnet wird — Rente zählt vollständig, vom Arbeitslohn bleibt ein Teil übrig. </w:t>
      </w:r>
      <w:r>
        <w:rPr>
          <w:rFonts w:ascii="Calibri" w:hAnsi="Calibri"/>
          <w:b/>
          <w:bCs/>
          <w:color w:val="0E2A33"/>
          <w:sz w:val="22"/>
          <w:szCs w:val="22"/>
        </w:rPr>
        <w:t xml:space="preserve">Schritt C</w:t>
      </w:r>
      <w:r>
        <w:rPr>
          <w:rFonts w:ascii="Calibri" w:hAnsi="Calibri"/>
          <w:color w:val="000000"/>
          <w:sz w:val="22"/>
          <w:szCs w:val="22"/>
        </w:rPr>
        <w:t xml:space="preserve"> prüft das Vermögen der Bedarfsgemeinschaft: Nur was über einem geschützten Grundbetrag (Schonvermögen) liegt, mindert die Leistung.</w:t>
      </w:r>
    </w:p>
    <w:p>
      <w:pPr>
        <w:spacing w:after="120" w:before="0" w:line="312"/>
        <w:jc w:val="both"/>
      </w:pPr>
      <w:r>
        <w:rPr>
          <w:rFonts w:ascii="Calibri" w:hAnsi="Calibri"/>
          <w:color w:val="000000"/>
          <w:sz w:val="22"/>
          <w:szCs w:val="22"/>
        </w:rPr>
        <w:t xml:space="preserve">Die drei Schritte sind bewusst getrennt: Jeder Schritt ist ein eigenes Kapitel in diesem Dokument (4–8), jede Regel ist in der reinen Rechenklasse </w:t>
      </w:r>
      <w:r>
        <w:rPr>
          <w:rFonts w:ascii="Consolas" w:hAnsi="Consolas"/>
          <w:color w:val="0B4A56"/>
          <w:sz w:val="20"/>
          <w:szCs w:val="20"/>
        </w:rPr>
        <w:t xml:space="preserve">Leistungsberechnung</w:t>
      </w:r>
      <w:r>
        <w:rPr>
          <w:rFonts w:ascii="Calibri" w:hAnsi="Calibri"/>
          <w:color w:val="000000"/>
          <w:sz w:val="22"/>
          <w:szCs w:val="22"/>
        </w:rPr>
        <w:t xml:space="preserve"> umgesetzt und separat getestet. Und am Ende steht immer die Prüfung: Ist der Zahlbetrag positiv, wird bewilligt — ist er null oder negativ, decken Einkommen und Vermögen den Lebensunterhalt, und es gibt keinen Anspruch.</w:t>
      </w:r>
    </w:p>
    <w:p>
      <w:pPr>
        <w:pStyle w:val="Heading1"/>
        <w:keepNext/>
        <w:pBdr>
          <w:bottom w:val="single" w:color="1B6B7A" w:sz="6" w:space="6"/>
        </w:pBdr>
        <w:spacing w:after="240" w:before="400" w:line="312"/>
      </w:pPr>
      <w:bookmarkStart w:name="_Toc4" w:id="4"/>
      <w:r>
        <w:rPr>
          <w:rFonts w:ascii="Arial" w:hAnsi="Arial"/>
          <w:b/>
          <w:bCs/>
          <w:color w:val="0E2A33"/>
          <w:sz w:val="32"/>
          <w:szCs w:val="32"/>
        </w:rPr>
        <w:t xml:space="preserve">4 Schritt 1: Der Regelbedarf — der Grundbetrag</w:t>
      </w:r>
      <w:bookmarkEnd w:id="4"/>
    </w:p>
    <w:p>
      <w:pPr>
        <w:keepNext/>
        <w:spacing w:after="120" w:before="0" w:line="312"/>
        <w:jc w:val="both"/>
      </w:pPr>
      <w:r>
        <w:rPr>
          <w:rFonts w:ascii="Calibri" w:hAnsi="Calibri"/>
          <w:color w:val="000000"/>
          <w:sz w:val="22"/>
          <w:szCs w:val="22"/>
        </w:rPr>
        <w:t xml:space="preserve">Jede Person bekommt einen Grundbetrag nach ihrer </w:t>
      </w:r>
      <w:r>
        <w:rPr>
          <w:rFonts w:ascii="Calibri" w:hAnsi="Calibri"/>
          <w:b/>
          <w:bCs/>
          <w:color w:val="0E2A33"/>
          <w:sz w:val="22"/>
          <w:szCs w:val="22"/>
        </w:rPr>
        <w:t xml:space="preserve">Regelbedarfsstufe</w:t>
      </w:r>
      <w:r>
        <w:rPr>
          <w:rFonts w:ascii="Calibri" w:hAnsi="Calibri"/>
          <w:color w:val="000000"/>
          <w:sz w:val="22"/>
          <w:szCs w:val="22"/>
        </w:rPr>
        <w:t xml:space="preserve">. Welcher Stufe eine Person entspricht, sagt die Anlage zu § 28 SGB XII — die Stufe 1 ist für alleinstehende Erwachsene, die Stufen 2 und 3 für Partner bzw. weitere Erwachsene im Haushalt und die Stufen 4 bis 6 für Kinder und Jugendliche. Der Sachbearbeiter erfasst die Stufe beim SozialFall; die Geldbeträge je Stufe und Jahr stehen in der Datenbank (Tabelle </w:t>
      </w:r>
      <w:r>
        <w:rPr>
          <w:rFonts w:ascii="Consolas" w:hAnsi="Consolas"/>
          <w:color w:val="0B4A56"/>
          <w:sz w:val="20"/>
          <w:szCs w:val="20"/>
        </w:rPr>
        <w:t xml:space="preserve">SATZSTAND</w:t>
      </w:r>
      <w:r>
        <w:rPr>
          <w:rFonts w:ascii="Calibri" w:hAnsi="Calibri"/>
          <w:color w:val="000000"/>
          <w:sz w:val="22"/>
          <w:szCs w:val="22"/>
        </w:rPr>
        <w:t xml:space="preserve">). Ein Jahreswechsel ist dadurch nur eine neue Tabellenzeile — keine Codeänderung.</w:t>
      </w:r>
    </w:p>
    <w:p>
      <w:pPr>
        <w:keepNext/>
        <w:spacing w:after="80" w:before="160" w:line="312"/>
      </w:pPr>
      <w:r>
        <w:rPr>
          <w:rFonts w:ascii="Calibri" w:hAnsi="Calibri"/>
          <w:b/>
          <w:bCs/>
          <w:color w:val="5A6B73"/>
          <w:sz w:val="20"/>
          <w:szCs w:val="20"/>
        </w:rPr>
        <w:t xml:space="preserve">Tabelle 2: Regelbedarfsstufen 2026 (Anlage zu § 28 SGB XII)</w:t>
      </w:r>
    </w:p>
    <w:tbl>
      <w:tblPr>
        <w:tblW w:type="pct" w:w="5000"/>
        <w:tblBorders>
          <w:top w:val="single" w:color="1B6B7A" w:sz="4"/>
          <w:left w:val="none"/>
          <w:bottom w:val="single" w:color="1B6B7A" w:sz="4"/>
          <w:right w:val="none"/>
          <w:insideH w:val="single" w:color="C8DDE2" w:sz="1"/>
          <w:insideV w:val="none"/>
        </w:tblBorders>
      </w:tblPr>
      <w:tblGrid>
        <w:gridCol w:w="1055"/>
        <w:gridCol w:w="1933"/>
        <w:gridCol w:w="5800"/>
      </w:tblGrid>
      <w:tr>
        <w:trPr>
          <w:cantSplit/>
          <w:tblHeader/>
        </w:trPr>
        <w:tc>
          <w:tcPr>
            <w:tcW w:type="pct" w:w="6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Stufe</w:t>
            </w:r>
          </w:p>
        </w:tc>
        <w:tc>
          <w:tcPr>
            <w:tcW w:type="pct" w:w="11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2026</w:t>
            </w:r>
          </w:p>
        </w:tc>
        <w:tc>
          <w:tcPr>
            <w:tcW w:type="pct" w:w="33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Typische Person</w:t>
            </w:r>
          </w:p>
        </w:tc>
      </w:tr>
      <w:tr>
        <w:trPr>
          <w:cantSplit/>
        </w:trPr>
        <w:tc>
          <w:tcPr>
            <w:tcW w:type="pct" w:w="600"/>
            <w:shd w:fill="EDF3F5" w:val="clear"/>
            <w:tcMar>
              <w:top w:type="dxa" w:w="60"/>
              <w:left w:type="dxa" w:w="120"/>
              <w:bottom w:type="dxa" w:w="60"/>
              <w:right w:type="dxa" w:w="120"/>
            </w:tcMar>
          </w:tcPr>
          <w:p>
            <w:pPr>
              <w:spacing w:line="276"/>
            </w:pPr>
            <w:r>
              <w:rPr>
                <w:rFonts w:ascii="Calibri" w:hAnsi="Calibri"/>
                <w:color w:val="000000"/>
                <w:sz w:val="20"/>
                <w:szCs w:val="20"/>
              </w:rPr>
              <w:t xml:space="preserve">1</w:t>
            </w:r>
          </w:p>
        </w:tc>
        <w:tc>
          <w:tcPr>
            <w:tcW w:type="pct" w:w="1100"/>
            <w:shd w:fill="EDF3F5" w:val="clear"/>
            <w:tcMar>
              <w:top w:type="dxa" w:w="60"/>
              <w:left w:type="dxa" w:w="120"/>
              <w:bottom w:type="dxa" w:w="60"/>
              <w:right w:type="dxa" w:w="120"/>
            </w:tcMar>
          </w:tcPr>
          <w:p>
            <w:pPr>
              <w:spacing w:line="276"/>
            </w:pPr>
            <w:r>
              <w:rPr>
                <w:rFonts w:ascii="Calibri" w:hAnsi="Calibri"/>
                <w:color w:val="000000"/>
                <w:sz w:val="20"/>
                <w:szCs w:val="20"/>
              </w:rPr>
              <w:t xml:space="preserve">563,00 EUR</w:t>
            </w:r>
          </w:p>
        </w:tc>
        <w:tc>
          <w:tcPr>
            <w:tcW w:type="pct" w:w="3300"/>
            <w:shd w:fill="EDF3F5" w:val="clear"/>
            <w:tcMar>
              <w:top w:type="dxa" w:w="60"/>
              <w:left w:type="dxa" w:w="120"/>
              <w:bottom w:type="dxa" w:w="60"/>
              <w:right w:type="dxa" w:w="120"/>
            </w:tcMar>
          </w:tcPr>
          <w:p>
            <w:pPr>
              <w:spacing w:line="276"/>
            </w:pPr>
            <w:r>
              <w:rPr>
                <w:rFonts w:ascii="Calibri" w:hAnsi="Calibri"/>
                <w:color w:val="000000"/>
                <w:sz w:val="20"/>
                <w:szCs w:val="20"/>
              </w:rPr>
              <w:t xml:space="preserve">alleinstehende erwachsene Person</w:t>
            </w:r>
          </w:p>
        </w:tc>
      </w:tr>
      <w:tr>
        <w:trPr>
          <w:cantSplit/>
        </w:trPr>
        <w:tc>
          <w:tcPr>
            <w:tcW w:type="pct" w:w="600"/>
            <w:tcMar>
              <w:top w:type="dxa" w:w="60"/>
              <w:left w:type="dxa" w:w="120"/>
              <w:bottom w:type="dxa" w:w="60"/>
              <w:right w:type="dxa" w:w="120"/>
            </w:tcMar>
          </w:tcPr>
          <w:p>
            <w:pPr>
              <w:spacing w:line="276"/>
            </w:pPr>
            <w:r>
              <w:rPr>
                <w:rFonts w:ascii="Calibri" w:hAnsi="Calibri"/>
                <w:color w:val="000000"/>
                <w:sz w:val="20"/>
                <w:szCs w:val="20"/>
              </w:rPr>
              <w:t xml:space="preserve">2</w:t>
            </w:r>
          </w:p>
        </w:tc>
        <w:tc>
          <w:tcPr>
            <w:tcW w:type="pct" w:w="1100"/>
            <w:tcMar>
              <w:top w:type="dxa" w:w="60"/>
              <w:left w:type="dxa" w:w="120"/>
              <w:bottom w:type="dxa" w:w="60"/>
              <w:right w:type="dxa" w:w="120"/>
            </w:tcMar>
          </w:tcPr>
          <w:p>
            <w:pPr>
              <w:spacing w:line="276"/>
            </w:pPr>
            <w:r>
              <w:rPr>
                <w:rFonts w:ascii="Calibri" w:hAnsi="Calibri"/>
                <w:color w:val="000000"/>
                <w:sz w:val="20"/>
                <w:szCs w:val="20"/>
              </w:rPr>
              <w:t xml:space="preserve">506,00 EUR</w:t>
            </w:r>
          </w:p>
        </w:tc>
        <w:tc>
          <w:tcPr>
            <w:tcW w:type="pct" w:w="3300"/>
            <w:tcMar>
              <w:top w:type="dxa" w:w="60"/>
              <w:left w:type="dxa" w:w="120"/>
              <w:bottom w:type="dxa" w:w="60"/>
              <w:right w:type="dxa" w:w="120"/>
            </w:tcMar>
          </w:tcPr>
          <w:p>
            <w:pPr>
              <w:spacing w:line="276"/>
            </w:pPr>
            <w:r>
              <w:rPr>
                <w:rFonts w:ascii="Calibri" w:hAnsi="Calibri"/>
                <w:color w:val="000000"/>
                <w:sz w:val="20"/>
                <w:szCs w:val="20"/>
              </w:rPr>
              <w:t xml:space="preserve">Ehegatte/Lebenspartner (je Person im Paar)</w:t>
            </w:r>
          </w:p>
        </w:tc>
      </w:tr>
      <w:tr>
        <w:trPr>
          <w:cantSplit/>
        </w:trPr>
        <w:tc>
          <w:tcPr>
            <w:tcW w:type="pct" w:w="600"/>
            <w:shd w:fill="EDF3F5" w:val="clear"/>
            <w:tcMar>
              <w:top w:type="dxa" w:w="60"/>
              <w:left w:type="dxa" w:w="120"/>
              <w:bottom w:type="dxa" w:w="60"/>
              <w:right w:type="dxa" w:w="120"/>
            </w:tcMar>
          </w:tcPr>
          <w:p>
            <w:pPr>
              <w:spacing w:line="276"/>
            </w:pPr>
            <w:r>
              <w:rPr>
                <w:rFonts w:ascii="Calibri" w:hAnsi="Calibri"/>
                <w:color w:val="000000"/>
                <w:sz w:val="20"/>
                <w:szCs w:val="20"/>
              </w:rPr>
              <w:t xml:space="preserve">3</w:t>
            </w:r>
          </w:p>
        </w:tc>
        <w:tc>
          <w:tcPr>
            <w:tcW w:type="pct" w:w="1100"/>
            <w:shd w:fill="EDF3F5" w:val="clear"/>
            <w:tcMar>
              <w:top w:type="dxa" w:w="60"/>
              <w:left w:type="dxa" w:w="120"/>
              <w:bottom w:type="dxa" w:w="60"/>
              <w:right w:type="dxa" w:w="120"/>
            </w:tcMar>
          </w:tcPr>
          <w:p>
            <w:pPr>
              <w:spacing w:line="276"/>
            </w:pPr>
            <w:r>
              <w:rPr>
                <w:rFonts w:ascii="Calibri" w:hAnsi="Calibri"/>
                <w:color w:val="000000"/>
                <w:sz w:val="20"/>
                <w:szCs w:val="20"/>
              </w:rPr>
              <w:t xml:space="preserve">451,00 EUR</w:t>
            </w:r>
          </w:p>
        </w:tc>
        <w:tc>
          <w:tcPr>
            <w:tcW w:type="pct" w:w="3300"/>
            <w:shd w:fill="EDF3F5" w:val="clear"/>
            <w:tcMar>
              <w:top w:type="dxa" w:w="60"/>
              <w:left w:type="dxa" w:w="120"/>
              <w:bottom w:type="dxa" w:w="60"/>
              <w:right w:type="dxa" w:w="120"/>
            </w:tcMar>
          </w:tcPr>
          <w:p>
            <w:pPr>
              <w:spacing w:line="276"/>
            </w:pPr>
            <w:r>
              <w:rPr>
                <w:rFonts w:ascii="Calibri" w:hAnsi="Calibri"/>
                <w:color w:val="000000"/>
                <w:sz w:val="20"/>
                <w:szCs w:val="20"/>
              </w:rPr>
              <w:t xml:space="preserve">erwachsene Person ohne eigene Wohnung im Haushalt</w:t>
            </w:r>
          </w:p>
        </w:tc>
      </w:tr>
      <w:tr>
        <w:trPr>
          <w:cantSplit/>
        </w:trPr>
        <w:tc>
          <w:tcPr>
            <w:tcW w:type="pct" w:w="600"/>
            <w:tcMar>
              <w:top w:type="dxa" w:w="60"/>
              <w:left w:type="dxa" w:w="120"/>
              <w:bottom w:type="dxa" w:w="60"/>
              <w:right w:type="dxa" w:w="120"/>
            </w:tcMar>
          </w:tcPr>
          <w:p>
            <w:pPr>
              <w:spacing w:line="276"/>
            </w:pPr>
            <w:r>
              <w:rPr>
                <w:rFonts w:ascii="Calibri" w:hAnsi="Calibri"/>
                <w:color w:val="000000"/>
                <w:sz w:val="20"/>
                <w:szCs w:val="20"/>
              </w:rPr>
              <w:t xml:space="preserve">4</w:t>
            </w:r>
          </w:p>
        </w:tc>
        <w:tc>
          <w:tcPr>
            <w:tcW w:type="pct" w:w="1100"/>
            <w:tcMar>
              <w:top w:type="dxa" w:w="60"/>
              <w:left w:type="dxa" w:w="120"/>
              <w:bottom w:type="dxa" w:w="60"/>
              <w:right w:type="dxa" w:w="120"/>
            </w:tcMar>
          </w:tcPr>
          <w:p>
            <w:pPr>
              <w:spacing w:line="276"/>
            </w:pPr>
            <w:r>
              <w:rPr>
                <w:rFonts w:ascii="Calibri" w:hAnsi="Calibri"/>
                <w:color w:val="000000"/>
                <w:sz w:val="20"/>
                <w:szCs w:val="20"/>
              </w:rPr>
              <w:t xml:space="preserve">471,00 EUR</w:t>
            </w:r>
          </w:p>
        </w:tc>
        <w:tc>
          <w:tcPr>
            <w:tcW w:type="pct" w:w="3300"/>
            <w:tcMar>
              <w:top w:type="dxa" w:w="60"/>
              <w:left w:type="dxa" w:w="120"/>
              <w:bottom w:type="dxa" w:w="60"/>
              <w:right w:type="dxa" w:w="120"/>
            </w:tcMar>
          </w:tcPr>
          <w:p>
            <w:pPr>
              <w:spacing w:line="276"/>
            </w:pPr>
            <w:r>
              <w:rPr>
                <w:rFonts w:ascii="Calibri" w:hAnsi="Calibri"/>
                <w:color w:val="000000"/>
                <w:sz w:val="20"/>
                <w:szCs w:val="20"/>
              </w:rPr>
              <w:t xml:space="preserve">Jugendliche von 14 bis 17 Jahren</w:t>
            </w:r>
          </w:p>
        </w:tc>
      </w:tr>
      <w:tr>
        <w:trPr>
          <w:cantSplit/>
        </w:trPr>
        <w:tc>
          <w:tcPr>
            <w:tcW w:type="pct" w:w="600"/>
            <w:shd w:fill="EDF3F5" w:val="clear"/>
            <w:tcMar>
              <w:top w:type="dxa" w:w="60"/>
              <w:left w:type="dxa" w:w="120"/>
              <w:bottom w:type="dxa" w:w="60"/>
              <w:right w:type="dxa" w:w="120"/>
            </w:tcMar>
          </w:tcPr>
          <w:p>
            <w:pPr>
              <w:spacing w:line="276"/>
            </w:pPr>
            <w:r>
              <w:rPr>
                <w:rFonts w:ascii="Calibri" w:hAnsi="Calibri"/>
                <w:color w:val="000000"/>
                <w:sz w:val="20"/>
                <w:szCs w:val="20"/>
              </w:rPr>
              <w:t xml:space="preserve">5</w:t>
            </w:r>
          </w:p>
        </w:tc>
        <w:tc>
          <w:tcPr>
            <w:tcW w:type="pct" w:w="1100"/>
            <w:shd w:fill="EDF3F5" w:val="clear"/>
            <w:tcMar>
              <w:top w:type="dxa" w:w="60"/>
              <w:left w:type="dxa" w:w="120"/>
              <w:bottom w:type="dxa" w:w="60"/>
              <w:right w:type="dxa" w:w="120"/>
            </w:tcMar>
          </w:tcPr>
          <w:p>
            <w:pPr>
              <w:spacing w:line="276"/>
            </w:pPr>
            <w:r>
              <w:rPr>
                <w:rFonts w:ascii="Calibri" w:hAnsi="Calibri"/>
                <w:color w:val="000000"/>
                <w:sz w:val="20"/>
                <w:szCs w:val="20"/>
              </w:rPr>
              <w:t xml:space="preserve">390,00 EUR</w:t>
            </w:r>
          </w:p>
        </w:tc>
        <w:tc>
          <w:tcPr>
            <w:tcW w:type="pct" w:w="3300"/>
            <w:shd w:fill="EDF3F5" w:val="clear"/>
            <w:tcMar>
              <w:top w:type="dxa" w:w="60"/>
              <w:left w:type="dxa" w:w="120"/>
              <w:bottom w:type="dxa" w:w="60"/>
              <w:right w:type="dxa" w:w="120"/>
            </w:tcMar>
          </w:tcPr>
          <w:p>
            <w:pPr>
              <w:spacing w:line="276"/>
            </w:pPr>
            <w:r>
              <w:rPr>
                <w:rFonts w:ascii="Calibri" w:hAnsi="Calibri"/>
                <w:color w:val="000000"/>
                <w:sz w:val="20"/>
                <w:szCs w:val="20"/>
              </w:rPr>
              <w:t xml:space="preserve">Kinder von 6 bis 13 Jahren</w:t>
            </w:r>
          </w:p>
        </w:tc>
      </w:tr>
      <w:tr>
        <w:trPr>
          <w:cantSplit/>
        </w:trPr>
        <w:tc>
          <w:tcPr>
            <w:tcW w:type="pct" w:w="600"/>
            <w:tcMar>
              <w:top w:type="dxa" w:w="60"/>
              <w:left w:type="dxa" w:w="120"/>
              <w:bottom w:type="dxa" w:w="60"/>
              <w:right w:type="dxa" w:w="120"/>
            </w:tcMar>
          </w:tcPr>
          <w:p>
            <w:pPr>
              <w:spacing w:line="276"/>
            </w:pPr>
            <w:r>
              <w:rPr>
                <w:rFonts w:ascii="Calibri" w:hAnsi="Calibri"/>
                <w:color w:val="000000"/>
                <w:sz w:val="20"/>
                <w:szCs w:val="20"/>
              </w:rPr>
              <w:t xml:space="preserve">6</w:t>
            </w:r>
          </w:p>
        </w:tc>
        <w:tc>
          <w:tcPr>
            <w:tcW w:type="pct" w:w="1100"/>
            <w:tcMar>
              <w:top w:type="dxa" w:w="60"/>
              <w:left w:type="dxa" w:w="120"/>
              <w:bottom w:type="dxa" w:w="60"/>
              <w:right w:type="dxa" w:w="120"/>
            </w:tcMar>
          </w:tcPr>
          <w:p>
            <w:pPr>
              <w:spacing w:line="276"/>
            </w:pPr>
            <w:r>
              <w:rPr>
                <w:rFonts w:ascii="Calibri" w:hAnsi="Calibri"/>
                <w:color w:val="000000"/>
                <w:sz w:val="20"/>
                <w:szCs w:val="20"/>
              </w:rPr>
              <w:t xml:space="preserve">357,00 EUR</w:t>
            </w:r>
          </w:p>
        </w:tc>
        <w:tc>
          <w:tcPr>
            <w:tcW w:type="pct" w:w="3300"/>
            <w:tcMar>
              <w:top w:type="dxa" w:w="60"/>
              <w:left w:type="dxa" w:w="120"/>
              <w:bottom w:type="dxa" w:w="60"/>
              <w:right w:type="dxa" w:w="120"/>
            </w:tcMar>
          </w:tcPr>
          <w:p>
            <w:pPr>
              <w:spacing w:line="276"/>
            </w:pPr>
            <w:r>
              <w:rPr>
                <w:rFonts w:ascii="Calibri" w:hAnsi="Calibri"/>
                <w:color w:val="000000"/>
                <w:sz w:val="20"/>
                <w:szCs w:val="20"/>
              </w:rPr>
              <w:t xml:space="preserve">Kinder bis zur Vollendung des 6. Lebensjahres</w:t>
            </w:r>
          </w:p>
        </w:tc>
      </w:tr>
    </w:tbl>
    <w:p>
      <w:pPr>
        <w:spacing w:after="120" w:before="120" w:line="312"/>
        <w:jc w:val="both"/>
      </w:pPr>
      <w:r>
        <w:rPr>
          <w:rFonts w:ascii="Calibri" w:hAnsi="Calibri"/>
          <w:b/>
          <w:bCs/>
          <w:color w:val="0E2A33"/>
          <w:sz w:val="22"/>
          <w:szCs w:val="22"/>
        </w:rPr>
        <w:t xml:space="preserve">Beispiel: </w:t>
      </w:r>
      <w:r>
        <w:rPr>
          <w:rFonts w:ascii="Calibri" w:hAnsi="Calibri"/>
          <w:color w:val="000000"/>
          <w:sz w:val="22"/>
          <w:szCs w:val="22"/>
        </w:rPr>
        <w:t xml:space="preserve">Frau B. lebt allein (Stufe 1). Ihr Regelbedarf ist 563,00 EUR — das ist der Startwert, zu dem im nächsten Schritt Zuschläge und Wohnkosten kommen.</w:t>
      </w:r>
    </w:p>
    <w:p>
      <w:pPr>
        <w:pStyle w:val="Heading1"/>
        <w:keepNext/>
        <w:pBdr>
          <w:bottom w:val="single" w:color="1B6B7A" w:sz="6" w:space="6"/>
        </w:pBdr>
        <w:spacing w:after="240" w:before="400" w:line="312"/>
      </w:pPr>
      <w:bookmarkStart w:name="_Toc5" w:id="5"/>
      <w:r>
        <w:rPr>
          <w:rFonts w:ascii="Arial" w:hAnsi="Arial"/>
          <w:b/>
          <w:bCs/>
          <w:color w:val="0E2A33"/>
          <w:sz w:val="32"/>
          <w:szCs w:val="32"/>
        </w:rPr>
        <w:t xml:space="preserve">5 Schritt 2: Mehrbedarfe — die Zuschläge (§ 30 SGB XII)</w:t>
      </w:r>
      <w:bookmarkEnd w:id="5"/>
    </w:p>
    <w:p>
      <w:pPr>
        <w:keepNext/>
        <w:spacing w:after="120" w:before="0" w:line="312"/>
        <w:jc w:val="both"/>
      </w:pPr>
      <w:r>
        <w:rPr>
          <w:rFonts w:ascii="Calibri" w:hAnsi="Calibri"/>
          <w:color w:val="000000"/>
          <w:sz w:val="22"/>
          <w:szCs w:val="22"/>
        </w:rPr>
        <w:t xml:space="preserve">Manche Menschen haben höhere Bedürfnisse: Eine gehbehinderte Person braucht für Wege ein Taxi, eine Schwangere braucht mehr Nahrung, eine alleinerziehende Mutter trägt allein die Verantwortung für mehrere Kinder. Dafür gibt es </w:t>
      </w:r>
      <w:r>
        <w:rPr>
          <w:rFonts w:ascii="Calibri" w:hAnsi="Calibri"/>
          <w:b/>
          <w:bCs/>
          <w:color w:val="0E2A33"/>
          <w:sz w:val="22"/>
          <w:szCs w:val="22"/>
        </w:rPr>
        <w:t xml:space="preserve">Mehrbedarfe</w:t>
      </w:r>
      <w:r>
        <w:rPr>
          <w:rFonts w:ascii="Calibri" w:hAnsi="Calibri"/>
          <w:color w:val="000000"/>
          <w:sz w:val="22"/>
          <w:szCs w:val="22"/>
        </w:rPr>
        <w:t xml:space="preserve"> — Zuschläge, die als Prozentsatz berechnet werden. Das Flussdiagramm zeigt die drei Prüfungen in Erfassungsreihenfolge:</w:t>
      </w:r>
    </w:p>
    <w:p>
      <w:pPr>
        <w:keepNext/>
        <w:spacing w:after="60" w:before="200"/>
        <w:jc w:val="center"/>
      </w:pPr>
      <w:r>
        <w:drawing>
          <wp:inline distT="0" distB="0" distL="0" distR="0">
            <wp:extent cx="5143500" cy="4114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114800"/>
                    </a:xfrm>
                    <a:prstGeom prst="rect">
                      <a:avLst/>
                    </a:prstGeom>
                  </pic:spPr>
                </pic:pic>
              </a:graphicData>
            </a:graphic>
          </wp:inline>
        </w:drawing>
      </w:r>
    </w:p>
    <w:p>
      <w:pPr>
        <w:spacing w:after="160"/>
        <w:jc w:val="center"/>
      </w:pPr>
      <w:r>
        <w:rPr>
          <w:rFonts w:ascii="Calibri" w:hAnsi="Calibri"/>
          <w:i/>
          <w:iCs/>
          <w:color w:val="5A6B73"/>
          <w:sz w:val="18"/>
          <w:szCs w:val="18"/>
        </w:rPr>
        <w:t xml:space="preserve">Abbildung 3: Flussdiagramm — die Mehrbedarfe mit ihren Prozentsätzen, Deckeln und dem Warmwasser-Zuschlag</w:t>
      </w:r>
    </w:p>
    <w:p>
      <w:pPr>
        <w:keepNext/>
        <w:spacing w:after="120" w:before="60" w:line="312"/>
        <w:jc w:val="both"/>
      </w:pPr>
      <w:r>
        <w:rPr>
          <w:rFonts w:ascii="Calibri" w:hAnsi="Calibri"/>
          <w:color w:val="000000"/>
          <w:sz w:val="22"/>
          <w:szCs w:val="22"/>
        </w:rPr>
        <w:t xml:space="preserve">Alle Sätze im Überblick (2026):</w:t>
      </w:r>
    </w:p>
    <w:p>
      <w:pPr>
        <w:keepNext/>
        <w:spacing w:after="80" w:before="160" w:line="312"/>
      </w:pPr>
      <w:r>
        <w:rPr>
          <w:rFonts w:ascii="Calibri" w:hAnsi="Calibri"/>
          <w:b/>
          <w:bCs/>
          <w:color w:val="5A6B73"/>
          <w:sz w:val="20"/>
          <w:szCs w:val="20"/>
        </w:rPr>
        <w:t xml:space="preserve">Tabelle 3: Die Mehrbedarfe im Einzelnen</w:t>
      </w:r>
    </w:p>
    <w:tbl>
      <w:tblPr>
        <w:tblW w:type="pct" w:w="5000"/>
        <w:tblBorders>
          <w:top w:val="single" w:color="1B6B7A" w:sz="4"/>
          <w:left w:val="none"/>
          <w:bottom w:val="single" w:color="1B6B7A" w:sz="4"/>
          <w:right w:val="none"/>
          <w:insideH w:val="single" w:color="C8DDE2" w:sz="1"/>
          <w:insideV w:val="none"/>
        </w:tblBorders>
      </w:tblPr>
      <w:tblGrid>
        <w:gridCol w:w="2109"/>
        <w:gridCol w:w="1758"/>
        <w:gridCol w:w="1494"/>
        <w:gridCol w:w="3427"/>
      </w:tblGrid>
      <w:tr>
        <w:trPr>
          <w:cantSplit/>
          <w:tblHeader/>
        </w:trPr>
        <w:tc>
          <w:tcPr>
            <w:tcW w:type="pct" w:w="12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Mehrbedarf</w:t>
            </w:r>
          </w:p>
        </w:tc>
        <w:tc>
          <w:tcPr>
            <w:tcW w:type="pct" w:w="10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Satz</w:t>
            </w:r>
          </w:p>
        </w:tc>
        <w:tc>
          <w:tcPr>
            <w:tcW w:type="pct" w:w="85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2026 in EUR</w:t>
            </w:r>
          </w:p>
        </w:tc>
        <w:tc>
          <w:tcPr>
            <w:tcW w:type="pct" w:w="195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Bedingung</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Merkzeichen G (§ 30 Abs. 1)</w:t>
            </w:r>
          </w:p>
        </w:tc>
        <w:tc>
          <w:tcPr>
            <w:tcW w:type="pct" w:w="1000"/>
            <w:shd w:fill="EDF3F5" w:val="clear"/>
            <w:tcMar>
              <w:top w:type="dxa" w:w="60"/>
              <w:left w:type="dxa" w:w="120"/>
              <w:bottom w:type="dxa" w:w="60"/>
              <w:right w:type="dxa" w:w="120"/>
            </w:tcMar>
          </w:tcPr>
          <w:p>
            <w:pPr>
              <w:spacing w:line="276"/>
            </w:pPr>
            <w:r>
              <w:rPr>
                <w:rFonts w:ascii="Calibri" w:hAnsi="Calibri"/>
                <w:color w:val="000000"/>
                <w:sz w:val="20"/>
                <w:szCs w:val="20"/>
              </w:rPr>
              <w:t xml:space="preserve">17 % des eigenen Regelbedarfs</w:t>
            </w:r>
          </w:p>
        </w:tc>
        <w:tc>
          <w:tcPr>
            <w:tcW w:type="pct" w:w="850"/>
            <w:shd w:fill="EDF3F5" w:val="clear"/>
            <w:tcMar>
              <w:top w:type="dxa" w:w="60"/>
              <w:left w:type="dxa" w:w="120"/>
              <w:bottom w:type="dxa" w:w="60"/>
              <w:right w:type="dxa" w:w="120"/>
            </w:tcMar>
          </w:tcPr>
          <w:p>
            <w:pPr>
              <w:spacing w:line="276"/>
            </w:pPr>
            <w:r>
              <w:rPr>
                <w:rFonts w:ascii="Calibri" w:hAnsi="Calibri"/>
                <w:color w:val="000000"/>
                <w:sz w:val="20"/>
                <w:szCs w:val="20"/>
              </w:rPr>
              <w:t xml:space="preserve">Stufe 1: 95,71</w:t>
            </w:r>
          </w:p>
        </w:tc>
        <w:tc>
          <w:tcPr>
            <w:tcW w:type="pct" w:w="1950"/>
            <w:shd w:fill="EDF3F5" w:val="clear"/>
            <w:tcMar>
              <w:top w:type="dxa" w:w="60"/>
              <w:left w:type="dxa" w:w="120"/>
              <w:bottom w:type="dxa" w:w="60"/>
              <w:right w:type="dxa" w:w="120"/>
            </w:tcMar>
          </w:tcPr>
          <w:p>
            <w:pPr>
              <w:spacing w:line="276"/>
            </w:pPr>
            <w:r>
              <w:rPr>
                <w:rFonts w:ascii="Calibri" w:hAnsi="Calibri"/>
                <w:color w:val="000000"/>
                <w:sz w:val="20"/>
                <w:szCs w:val="20"/>
              </w:rPr>
              <w:t xml:space="preserve">erhebliche Gehbehinderung (Merkzeichen G)</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Schwangerschaft (§ 30 Abs. 2)</w:t>
            </w:r>
          </w:p>
        </w:tc>
        <w:tc>
          <w:tcPr>
            <w:tcW w:type="pct" w:w="1000"/>
            <w:tcMar>
              <w:top w:type="dxa" w:w="60"/>
              <w:left w:type="dxa" w:w="120"/>
              <w:bottom w:type="dxa" w:w="60"/>
              <w:right w:type="dxa" w:w="120"/>
            </w:tcMar>
          </w:tcPr>
          <w:p>
            <w:pPr>
              <w:spacing w:line="276"/>
            </w:pPr>
            <w:r>
              <w:rPr>
                <w:rFonts w:ascii="Calibri" w:hAnsi="Calibri"/>
                <w:color w:val="000000"/>
                <w:sz w:val="20"/>
                <w:szCs w:val="20"/>
              </w:rPr>
              <w:t xml:space="preserve">17 % des eigenen Regelbedarfs</w:t>
            </w:r>
          </w:p>
        </w:tc>
        <w:tc>
          <w:tcPr>
            <w:tcW w:type="pct" w:w="850"/>
            <w:tcMar>
              <w:top w:type="dxa" w:w="60"/>
              <w:left w:type="dxa" w:w="120"/>
              <w:bottom w:type="dxa" w:w="60"/>
              <w:right w:type="dxa" w:w="120"/>
            </w:tcMar>
          </w:tcPr>
          <w:p>
            <w:pPr>
              <w:spacing w:line="276"/>
            </w:pPr>
            <w:r>
              <w:rPr>
                <w:rFonts w:ascii="Calibri" w:hAnsi="Calibri"/>
                <w:color w:val="000000"/>
                <w:sz w:val="20"/>
                <w:szCs w:val="20"/>
              </w:rPr>
              <w:t xml:space="preserve">Stufe 1: 95,71</w:t>
            </w:r>
          </w:p>
        </w:tc>
        <w:tc>
          <w:tcPr>
            <w:tcW w:type="pct" w:w="1950"/>
            <w:tcMar>
              <w:top w:type="dxa" w:w="60"/>
              <w:left w:type="dxa" w:w="120"/>
              <w:bottom w:type="dxa" w:w="60"/>
              <w:right w:type="dxa" w:w="120"/>
            </w:tcMar>
          </w:tcPr>
          <w:p>
            <w:pPr>
              <w:spacing w:line="276"/>
            </w:pPr>
            <w:r>
              <w:rPr>
                <w:rFonts w:ascii="Calibri" w:hAnsi="Calibri"/>
                <w:color w:val="000000"/>
                <w:sz w:val="20"/>
                <w:szCs w:val="20"/>
              </w:rPr>
              <w:t xml:space="preserve">ab der 13. Schwangerschaftswoche; endet automatisch mit dem Folgemonat der Entbindung</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Alleinerziehend (§ 30 Abs. 3)</w:t>
            </w:r>
          </w:p>
        </w:tc>
        <w:tc>
          <w:tcPr>
            <w:tcW w:type="pct" w:w="1000"/>
            <w:shd w:fill="EDF3F5" w:val="clear"/>
            <w:tcMar>
              <w:top w:type="dxa" w:w="60"/>
              <w:left w:type="dxa" w:w="120"/>
              <w:bottom w:type="dxa" w:w="60"/>
              <w:right w:type="dxa" w:w="120"/>
            </w:tcMar>
          </w:tcPr>
          <w:p>
            <w:pPr>
              <w:spacing w:line="276"/>
            </w:pPr>
            <w:r>
              <w:rPr>
                <w:rFonts w:ascii="Calibri" w:hAnsi="Calibri"/>
                <w:color w:val="000000"/>
                <w:sz w:val="20"/>
                <w:szCs w:val="20"/>
              </w:rPr>
              <w:t xml:space="preserve">36 % der Stufe 1 oder 12 % je Kind</w:t>
            </w:r>
          </w:p>
        </w:tc>
        <w:tc>
          <w:tcPr>
            <w:tcW w:type="pct" w:w="850"/>
            <w:shd w:fill="EDF3F5" w:val="clear"/>
            <w:tcMar>
              <w:top w:type="dxa" w:w="60"/>
              <w:left w:type="dxa" w:w="120"/>
              <w:bottom w:type="dxa" w:w="60"/>
              <w:right w:type="dxa" w:w="120"/>
            </w:tcMar>
          </w:tcPr>
          <w:p>
            <w:pPr>
              <w:spacing w:line="276"/>
            </w:pPr>
            <w:r>
              <w:rPr>
                <w:rFonts w:ascii="Calibri" w:hAnsi="Calibri"/>
                <w:color w:val="000000"/>
                <w:sz w:val="20"/>
                <w:szCs w:val="20"/>
              </w:rPr>
              <w:t xml:space="preserve">202,68 / 67,56 je Kind</w:t>
            </w:r>
          </w:p>
        </w:tc>
        <w:tc>
          <w:tcPr>
            <w:tcW w:type="pct" w:w="1950"/>
            <w:shd w:fill="EDF3F5" w:val="clear"/>
            <w:tcMar>
              <w:top w:type="dxa" w:w="60"/>
              <w:left w:type="dxa" w:w="120"/>
              <w:bottom w:type="dxa" w:w="60"/>
              <w:right w:type="dxa" w:w="120"/>
            </w:tcMar>
          </w:tcPr>
          <w:p>
            <w:pPr>
              <w:spacing w:line="276"/>
            </w:pPr>
            <w:r>
              <w:rPr>
                <w:rFonts w:ascii="Calibri" w:hAnsi="Calibri"/>
                <w:color w:val="000000"/>
                <w:sz w:val="20"/>
                <w:szCs w:val="20"/>
              </w:rPr>
              <w:t xml:space="preserve">Kind unter 7 oder 2–3 Kinder unter 16 → 36 %; sonst 12 % je minderjährigem Kind; Basis ist immer die Stufe 1</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Höchstgrenze dazu (§ 30 Abs. 3)</w:t>
            </w:r>
          </w:p>
        </w:tc>
        <w:tc>
          <w:tcPr>
            <w:tcW w:type="pct" w:w="1000"/>
            <w:tcMar>
              <w:top w:type="dxa" w:w="60"/>
              <w:left w:type="dxa" w:w="120"/>
              <w:bottom w:type="dxa" w:w="60"/>
              <w:right w:type="dxa" w:w="120"/>
            </w:tcMar>
          </w:tcPr>
          <w:p>
            <w:pPr>
              <w:spacing w:line="276"/>
            </w:pPr>
            <w:r>
              <w:rPr>
                <w:rFonts w:ascii="Calibri" w:hAnsi="Calibri"/>
                <w:color w:val="000000"/>
                <w:sz w:val="20"/>
                <w:szCs w:val="20"/>
              </w:rPr>
              <w:t xml:space="preserve">60 % der Stufe 1</w:t>
            </w:r>
          </w:p>
        </w:tc>
        <w:tc>
          <w:tcPr>
            <w:tcW w:type="pct" w:w="850"/>
            <w:tcMar>
              <w:top w:type="dxa" w:w="60"/>
              <w:left w:type="dxa" w:w="120"/>
              <w:bottom w:type="dxa" w:w="60"/>
              <w:right w:type="dxa" w:w="120"/>
            </w:tcMar>
          </w:tcPr>
          <w:p>
            <w:pPr>
              <w:spacing w:line="276"/>
            </w:pPr>
            <w:r>
              <w:rPr>
                <w:rFonts w:ascii="Calibri" w:hAnsi="Calibri"/>
                <w:color w:val="000000"/>
                <w:sz w:val="20"/>
                <w:szCs w:val="20"/>
              </w:rPr>
              <w:t xml:space="preserve">337,80</w:t>
            </w:r>
          </w:p>
        </w:tc>
        <w:tc>
          <w:tcPr>
            <w:tcW w:type="pct" w:w="1950"/>
            <w:tcMar>
              <w:top w:type="dxa" w:w="60"/>
              <w:left w:type="dxa" w:w="120"/>
              <w:bottom w:type="dxa" w:w="60"/>
              <w:right w:type="dxa" w:w="120"/>
            </w:tcMar>
          </w:tcPr>
          <w:p>
            <w:pPr>
              <w:spacing w:line="276"/>
            </w:pPr>
            <w:r>
              <w:rPr>
                <w:rFonts w:ascii="Calibri" w:hAnsi="Calibri"/>
                <w:color w:val="000000"/>
                <w:sz w:val="20"/>
                <w:szCs w:val="20"/>
              </w:rPr>
              <w:t xml:space="preserve">der Alleinerziehenden-Zuschlag wird nie höher</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Eigener Deckel (§ 30 Abs. 6)</w:t>
            </w:r>
          </w:p>
        </w:tc>
        <w:tc>
          <w:tcPr>
            <w:tcW w:type="pct" w:w="1000"/>
            <w:shd w:fill="EDF3F5" w:val="clear"/>
            <w:tcMar>
              <w:top w:type="dxa" w:w="60"/>
              <w:left w:type="dxa" w:w="120"/>
              <w:bottom w:type="dxa" w:w="60"/>
              <w:right w:type="dxa" w:w="120"/>
            </w:tcMar>
          </w:tcPr>
          <w:p>
            <w:pPr>
              <w:spacing w:line="276"/>
            </w:pPr>
            <w:r>
              <w:rPr>
                <w:rFonts w:ascii="Calibri" w:hAnsi="Calibri"/>
                <w:color w:val="000000"/>
                <w:sz w:val="20"/>
                <w:szCs w:val="20"/>
              </w:rPr>
              <w:t xml:space="preserve">100 % des Regelbedarfs</w:t>
            </w:r>
          </w:p>
        </w:tc>
        <w:tc>
          <w:tcPr>
            <w:tcW w:type="pct" w:w="850"/>
            <w:shd w:fill="EDF3F5" w:val="clear"/>
            <w:tcMar>
              <w:top w:type="dxa" w:w="60"/>
              <w:left w:type="dxa" w:w="120"/>
              <w:bottom w:type="dxa" w:w="60"/>
              <w:right w:type="dxa" w:w="120"/>
            </w:tcMar>
          </w:tcPr>
          <w:p>
            <w:pPr>
              <w:spacing w:line="276"/>
            </w:pPr>
            <w:r>
              <w:rPr>
                <w:rFonts w:ascii="Calibri" w:hAnsi="Calibri"/>
                <w:color w:val="000000"/>
                <w:sz w:val="20"/>
                <w:szCs w:val="20"/>
              </w:rPr>
              <w:t xml:space="preserve">Stufe 1: 563,00</w:t>
            </w:r>
          </w:p>
        </w:tc>
        <w:tc>
          <w:tcPr>
            <w:tcW w:type="pct" w:w="1950"/>
            <w:shd w:fill="EDF3F5" w:val="clear"/>
            <w:tcMar>
              <w:top w:type="dxa" w:w="60"/>
              <w:left w:type="dxa" w:w="120"/>
              <w:bottom w:type="dxa" w:w="60"/>
              <w:right w:type="dxa" w:w="120"/>
            </w:tcMar>
          </w:tcPr>
          <w:p>
            <w:pPr>
              <w:spacing w:line="276"/>
            </w:pPr>
            <w:r>
              <w:rPr>
                <w:rFonts w:ascii="Calibri" w:hAnsi="Calibri"/>
                <w:color w:val="000000"/>
                <w:sz w:val="20"/>
                <w:szCs w:val="20"/>
              </w:rPr>
              <w:t xml:space="preserve">die Summe der drei Zuschläge oben ist nie höher als der eigene Regelbedarf</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Warmwasser, eigener Boiler (§ 30 Abs. 7)</w:t>
            </w:r>
          </w:p>
        </w:tc>
        <w:tc>
          <w:tcPr>
            <w:tcW w:type="pct" w:w="1000"/>
            <w:tcMar>
              <w:top w:type="dxa" w:w="60"/>
              <w:left w:type="dxa" w:w="120"/>
              <w:bottom w:type="dxa" w:w="60"/>
              <w:right w:type="dxa" w:w="120"/>
            </w:tcMar>
          </w:tcPr>
          <w:p>
            <w:pPr>
              <w:spacing w:line="276"/>
            </w:pPr>
            <w:r>
              <w:rPr>
                <w:rFonts w:ascii="Calibri" w:hAnsi="Calibri"/>
                <w:color w:val="000000"/>
                <w:sz w:val="20"/>
                <w:szCs w:val="20"/>
              </w:rPr>
              <w:t xml:space="preserve">0,8 % – 2,3 % je Stufe</w:t>
            </w:r>
          </w:p>
        </w:tc>
        <w:tc>
          <w:tcPr>
            <w:tcW w:type="pct" w:w="850"/>
            <w:tcMar>
              <w:top w:type="dxa" w:w="60"/>
              <w:left w:type="dxa" w:w="120"/>
              <w:bottom w:type="dxa" w:w="60"/>
              <w:right w:type="dxa" w:w="120"/>
            </w:tcMar>
          </w:tcPr>
          <w:p>
            <w:pPr>
              <w:spacing w:line="276"/>
            </w:pPr>
            <w:r>
              <w:rPr>
                <w:rFonts w:ascii="Calibri" w:hAnsi="Calibri"/>
                <w:color w:val="000000"/>
                <w:sz w:val="20"/>
                <w:szCs w:val="20"/>
              </w:rPr>
              <w:t xml:space="preserve">Stufe 1: 12,95</w:t>
            </w:r>
          </w:p>
        </w:tc>
        <w:tc>
          <w:tcPr>
            <w:tcW w:type="pct" w:w="1950"/>
            <w:tcMar>
              <w:top w:type="dxa" w:w="60"/>
              <w:left w:type="dxa" w:w="120"/>
              <w:bottom w:type="dxa" w:w="60"/>
              <w:right w:type="dxa" w:w="120"/>
            </w:tcMar>
          </w:tcPr>
          <w:p>
            <w:pPr>
              <w:spacing w:line="276"/>
            </w:pPr>
            <w:r>
              <w:rPr>
                <w:rFonts w:ascii="Calibri" w:hAnsi="Calibri"/>
                <w:color w:val="000000"/>
                <w:sz w:val="20"/>
                <w:szCs w:val="20"/>
              </w:rPr>
              <w:t xml:space="preserve">nur bei dezentraler Warmwassererzeugung; zählt NICHT in den Deckel</w:t>
            </w:r>
          </w:p>
        </w:tc>
      </w:tr>
    </w:tbl>
    <w:p>
      <w:pPr>
        <w:spacing w:after="120" w:before="120" w:line="312"/>
        <w:jc w:val="both"/>
      </w:pPr>
      <w:r>
        <w:rPr>
          <w:rFonts w:ascii="Calibri" w:hAnsi="Calibri"/>
          <w:b/>
          <w:bCs/>
          <w:color w:val="0E2A33"/>
          <w:sz w:val="22"/>
          <w:szCs w:val="22"/>
        </w:rPr>
        <w:t xml:space="preserve">Zwei fallen gern unter den Tisch. </w:t>
      </w:r>
      <w:r>
        <w:rPr>
          <w:rFonts w:ascii="Calibri" w:hAnsi="Calibri"/>
          <w:color w:val="000000"/>
          <w:sz w:val="22"/>
          <w:szCs w:val="22"/>
        </w:rPr>
        <w:t xml:space="preserve">Erstens: Der Alleinerziehenden-Zuschlag rechnet </w:t>
      </w:r>
      <w:r>
        <w:rPr>
          <w:rFonts w:ascii="Calibri" w:hAnsi="Calibri"/>
          <w:i/>
          <w:iCs/>
          <w:color w:val="000000"/>
          <w:sz w:val="22"/>
          <w:szCs w:val="22"/>
        </w:rPr>
        <w:t xml:space="preserve">immer</w:t>
      </w:r>
      <w:r>
        <w:rPr>
          <w:rFonts w:ascii="Calibri" w:hAnsi="Calibri"/>
          <w:color w:val="000000"/>
          <w:sz w:val="22"/>
          <w:szCs w:val="22"/>
        </w:rPr>
        <w:t xml:space="preserve"> mit der Stufe 1 als Basis — auch wenn die Mutter selbst in einer niedrigeren Stufe steht; die 36 % sind also immer 202,68 EUR. Zweitens: Der Warmwasser-Zuschlag für einen eigenen Boiler liegt </w:t>
      </w:r>
      <w:r>
        <w:rPr>
          <w:rFonts w:ascii="Calibri" w:hAnsi="Calibri"/>
          <w:i/>
          <w:iCs/>
          <w:color w:val="000000"/>
          <w:sz w:val="22"/>
          <w:szCs w:val="22"/>
        </w:rPr>
        <w:t xml:space="preserve">außerhalb</w:t>
      </w:r>
      <w:r>
        <w:rPr>
          <w:rFonts w:ascii="Calibri" w:hAnsi="Calibri"/>
          <w:color w:val="000000"/>
          <w:sz w:val="22"/>
          <w:szCs w:val="22"/>
        </w:rPr>
        <w:t xml:space="preserve"> des Deckels — § 30 Abs. 6 begrenzt nur die Zuschläge nach Abs. 1 bis 5.</w:t>
      </w:r>
    </w:p>
    <w:p>
      <w:pPr>
        <w:spacing w:after="120" w:before="0" w:line="312"/>
        <w:jc w:val="both"/>
      </w:pPr>
      <w:r>
        <w:rPr>
          <w:rFonts w:ascii="Calibri" w:hAnsi="Calibri"/>
          <w:b/>
          <w:bCs/>
          <w:color w:val="0E2A33"/>
          <w:sz w:val="22"/>
          <w:szCs w:val="22"/>
        </w:rPr>
        <w:t xml:space="preserve">Beispiel (Weiterfall 3 unten): </w:t>
      </w:r>
      <w:r>
        <w:rPr>
          <w:rFonts w:ascii="Calibri" w:hAnsi="Calibri"/>
          <w:color w:val="000000"/>
          <w:sz w:val="22"/>
          <w:szCs w:val="22"/>
        </w:rPr>
        <w:t xml:space="preserve">Eine schwangere Frau mit Merkzeichen G in Stufe 1 bekommt 95,71 + 95,71 = 191,42 EUR Zuschlag; die Summe bleibt unter ihrem Regelbedarf (563 EUR), der Deckel greift also nicht. Der Warmwasser-Zuschlag käme noch obendrauf.</w:t>
      </w:r>
    </w:p>
    <w:p>
      <w:pPr>
        <w:pStyle w:val="Heading1"/>
        <w:keepNext/>
        <w:pBdr>
          <w:bottom w:val="single" w:color="1B6B7A" w:sz="6" w:space="6"/>
        </w:pBdr>
        <w:spacing w:after="240" w:before="400" w:line="312"/>
      </w:pPr>
      <w:bookmarkStart w:name="_Toc6" w:id="6"/>
      <w:r>
        <w:rPr>
          <w:rFonts w:ascii="Arial" w:hAnsi="Arial"/>
          <w:b/>
          <w:bCs/>
          <w:color w:val="0E2A33"/>
          <w:sz w:val="32"/>
          <w:szCs w:val="32"/>
        </w:rPr>
        <w:t xml:space="preserve">6 Schritt 3: Wohnkosten — die KdU (§§ 42a, 35 SGB XII)</w:t>
      </w:r>
      <w:bookmarkEnd w:id="6"/>
    </w:p>
    <w:p>
      <w:pPr>
        <w:keepNext/>
        <w:spacing w:after="120" w:before="0" w:line="312"/>
        <w:jc w:val="both"/>
      </w:pPr>
      <w:r>
        <w:rPr>
          <w:rFonts w:ascii="Calibri" w:hAnsi="Calibri"/>
          <w:color w:val="000000"/>
          <w:sz w:val="22"/>
          <w:szCs w:val="22"/>
        </w:rPr>
        <w:t xml:space="preserve">„KdU“ steht für </w:t>
      </w:r>
      <w:r>
        <w:rPr>
          <w:rFonts w:ascii="Calibri" w:hAnsi="Calibri"/>
          <w:b/>
          <w:bCs/>
          <w:color w:val="0E2A33"/>
          <w:sz w:val="22"/>
          <w:szCs w:val="22"/>
        </w:rPr>
        <w:t xml:space="preserve">Kosten der Unterkunft und Heizung</w:t>
      </w:r>
      <w:r>
        <w:rPr>
          <w:rFonts w:ascii="Calibri" w:hAnsi="Calibri"/>
          <w:color w:val="000000"/>
          <w:sz w:val="22"/>
          <w:szCs w:val="22"/>
        </w:rPr>
        <w:t xml:space="preserve">: Kaltmiete, kalte Betriebskosten (Müll, Wasser, Treppenhausstrom …) und Heizkosten. Sie werden je Person erfasst und für die Bedarfsgemeinschaft summiert. Grundsätzlich gilt: Die tatsächliche Höhe wird anerkannt — aber nur, soweit sie </w:t>
      </w:r>
      <w:r>
        <w:rPr>
          <w:rFonts w:ascii="Calibri" w:hAnsi="Calibri"/>
          <w:i/>
          <w:iCs/>
          <w:color w:val="000000"/>
          <w:sz w:val="22"/>
          <w:szCs w:val="22"/>
        </w:rPr>
        <w:t xml:space="preserve">angemessen</w:t>
      </w:r>
      <w:r>
        <w:rPr>
          <w:rFonts w:ascii="Calibri" w:hAnsi="Calibri"/>
          <w:color w:val="000000"/>
          <w:sz w:val="22"/>
          <w:szCs w:val="22"/>
        </w:rPr>
        <w:t xml:space="preserve"> ist. Zwei Fragen entscheiden:</w:t>
      </w:r>
    </w:p>
    <w:p>
      <w:pPr>
        <w:keepNext/>
        <w:spacing w:after="60" w:before="200"/>
        <w:jc w:val="center"/>
      </w:pPr>
      <w:r>
        <w:drawing>
          <wp:inline distT="0" distB="0" distL="0" distR="0">
            <wp:extent cx="5048250" cy="4200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4200525"/>
                    </a:xfrm>
                    <a:prstGeom prst="rect">
                      <a:avLst/>
                    </a:prstGeom>
                  </pic:spPr>
                </pic:pic>
              </a:graphicData>
            </a:graphic>
          </wp:inline>
        </w:drawing>
      </w:r>
    </w:p>
    <w:p>
      <w:pPr>
        <w:spacing w:after="160"/>
        <w:jc w:val="center"/>
      </w:pPr>
      <w:r>
        <w:rPr>
          <w:rFonts w:ascii="Calibri" w:hAnsi="Calibri"/>
          <w:i/>
          <w:iCs/>
          <w:color w:val="5A6B73"/>
          <w:sz w:val="18"/>
          <w:szCs w:val="18"/>
        </w:rPr>
        <w:t xml:space="preserve">Abbildung 4: Flussdiagramm — von den erfassten Wohnkosten bis zur anerkannten Höhe</w:t>
      </w:r>
    </w:p>
    <w:p>
      <w:pPr>
        <w:spacing w:after="120" w:before="60" w:line="312"/>
        <w:jc w:val="both"/>
      </w:pPr>
      <w:r>
        <w:rPr>
          <w:rFonts w:ascii="Calibri" w:hAnsi="Calibri"/>
          <w:b/>
          <w:bCs/>
          <w:color w:val="0E2A33"/>
          <w:sz w:val="22"/>
          <w:szCs w:val="22"/>
        </w:rPr>
        <w:t xml:space="preserve">Frage 1 — Wie wird das Warmwasser erzeugt? </w:t>
      </w:r>
      <w:r>
        <w:rPr>
          <w:rFonts w:ascii="Calibri" w:hAnsi="Calibri"/>
          <w:color w:val="000000"/>
          <w:sz w:val="22"/>
          <w:szCs w:val="22"/>
        </w:rPr>
        <w:t xml:space="preserve">Steht im Haushalt ein eigener Boiler oder Durchlauferhitzer (dezentrale Erzeugung), ist das Warmwasser </w:t>
      </w:r>
      <w:r>
        <w:rPr>
          <w:rFonts w:ascii="Calibri" w:hAnsi="Calibri"/>
          <w:i/>
          <w:iCs/>
          <w:color w:val="000000"/>
          <w:sz w:val="22"/>
          <w:szCs w:val="22"/>
        </w:rPr>
        <w:t xml:space="preserve">nicht</w:t>
      </w:r>
      <w:r>
        <w:rPr>
          <w:rFonts w:ascii="Calibri" w:hAnsi="Calibri"/>
          <w:color w:val="000000"/>
          <w:sz w:val="22"/>
          <w:szCs w:val="22"/>
        </w:rPr>
        <w:t xml:space="preserve"> Teil der Heizkosten — dafür gibt es den Warmwasser-Mehrbedarf aus Kapitel 5. Wird das Warmwasser zentral mit der Heizung erzeugt, steckt es in den Heizkosten; hier kann die Kommune örtlich einen Abzug festlegen (im System Standard: aus). Der Abzug und der Mehrbedarf schließen sich bewusst gegenseitig aus — sonst würde die Person doppelt gekürzt.</w:t>
      </w:r>
    </w:p>
    <w:p>
      <w:pPr>
        <w:spacing w:after="120" w:before="0" w:line="312"/>
        <w:jc w:val="both"/>
      </w:pPr>
      <w:r>
        <w:rPr>
          <w:rFonts w:ascii="Calibri" w:hAnsi="Calibri"/>
          <w:b/>
          <w:bCs/>
          <w:color w:val="0E2A33"/>
          <w:sz w:val="22"/>
          <w:szCs w:val="22"/>
        </w:rPr>
        <w:t xml:space="preserve">Frage 2 — Ist die Miete angemessen? </w:t>
      </w:r>
      <w:r>
        <w:rPr>
          <w:rFonts w:ascii="Calibri" w:hAnsi="Calibri"/>
          <w:color w:val="000000"/>
          <w:sz w:val="22"/>
          <w:szCs w:val="22"/>
        </w:rPr>
        <w:t xml:space="preserve">Die Kommune kann eine </w:t>
      </w:r>
      <w:r>
        <w:rPr>
          <w:rFonts w:ascii="Calibri" w:hAnsi="Calibri"/>
          <w:b/>
          <w:bCs/>
          <w:color w:val="0E2A33"/>
          <w:sz w:val="22"/>
          <w:szCs w:val="22"/>
        </w:rPr>
        <w:t xml:space="preserve">Angemessenheitsgrenze</w:t>
      </w:r>
      <w:r>
        <w:rPr>
          <w:rFonts w:ascii="Calibri" w:hAnsi="Calibri"/>
          <w:color w:val="000000"/>
          <w:sz w:val="22"/>
          <w:szCs w:val="22"/>
        </w:rPr>
        <w:t xml:space="preserve"> festlegen (im System ein Konfigurationswert). Sie gilt für die </w:t>
      </w:r>
      <w:r>
        <w:rPr>
          <w:rFonts w:ascii="Calibri" w:hAnsi="Calibri"/>
          <w:i/>
          <w:iCs/>
          <w:color w:val="000000"/>
          <w:sz w:val="22"/>
          <w:szCs w:val="22"/>
        </w:rPr>
        <w:t xml:space="preserve">ganze</w:t>
      </w:r>
      <w:r>
        <w:rPr>
          <w:rFonts w:ascii="Calibri" w:hAnsi="Calibri"/>
          <w:color w:val="000000"/>
          <w:sz w:val="22"/>
          <w:szCs w:val="22"/>
        </w:rPr>
        <w:t xml:space="preserve"> Bedarfsgemeinschaft, nicht je Person. Wird sie überschritten, wird nur bis zur Grenze anerkannt; bei mehreren Personen füllt die erste erfasste Person die Grenze zuerst. Der Rest bleibt Eigenanteil — und im Bescheid wird der gekürzte Betrag mit einem „*“ gekennzeichnet, damit nachvollziehbar bleibt, dass hier ein Vorbehalt wirkt.</w:t>
      </w:r>
    </w:p>
    <w:p>
      <w:pPr>
        <w:spacing w:after="120" w:before="0" w:line="312"/>
        <w:jc w:val="both"/>
      </w:pPr>
      <w:r>
        <w:rPr>
          <w:rFonts w:ascii="Calibri" w:hAnsi="Calibri"/>
          <w:i/>
          <w:iCs/>
          <w:color w:val="000000"/>
          <w:sz w:val="22"/>
          <w:szCs w:val="22"/>
        </w:rPr>
        <w:t xml:space="preserve">Bewusste Vereinfachung: </w:t>
      </w:r>
      <w:r>
        <w:rPr>
          <w:rFonts w:ascii="Calibri" w:hAnsi="Calibri"/>
          <w:color w:val="000000"/>
          <w:sz w:val="22"/>
          <w:szCs w:val="22"/>
        </w:rPr>
        <w:t xml:space="preserve">Die Karenzzeit (ein Jahr Übergangsfrist bei unangemessener Wohnung) und die Absenkungsfrist des § 35 SGB XII sind nicht modelliert — sie stehen in der Doku unter „bekannte Grenzen“.</w:t>
      </w:r>
    </w:p>
    <w:p>
      <w:pPr>
        <w:pStyle w:val="Heading1"/>
        <w:keepNext/>
        <w:pBdr>
          <w:bottom w:val="single" w:color="1B6B7A" w:sz="6" w:space="6"/>
        </w:pBdr>
        <w:spacing w:after="240" w:before="400" w:line="312"/>
      </w:pPr>
      <w:bookmarkStart w:name="_Toc7" w:id="7"/>
      <w:r>
        <w:rPr>
          <w:rFonts w:ascii="Arial" w:hAnsi="Arial"/>
          <w:b/>
          <w:bCs/>
          <w:color w:val="0E2A33"/>
          <w:sz w:val="32"/>
          <w:szCs w:val="32"/>
        </w:rPr>
        <w:t xml:space="preserve">7 Schritt 4: Einkommen anrechnen (§ 82 SGB XII)</w:t>
      </w:r>
      <w:bookmarkEnd w:id="7"/>
    </w:p>
    <w:p>
      <w:pPr>
        <w:keepNext/>
        <w:spacing w:after="120" w:before="0" w:line="312"/>
        <w:jc w:val="both"/>
      </w:pPr>
      <w:r>
        <w:rPr>
          <w:rFonts w:ascii="Calibri" w:hAnsi="Calibri"/>
          <w:color w:val="000000"/>
          <w:sz w:val="22"/>
          <w:szCs w:val="22"/>
        </w:rPr>
        <w:t xml:space="preserve">Was die Person selbst einnimmt, wird auf die Grundsicherung angerechnet — Euro für Euro. Aber nicht das volle Bruttoeinkommen: Vorher werden legitime Abgaben abgezogen und ein Teil des Arbeitslohns bleibt geschützt. Die Kette im Bild:</w:t>
      </w:r>
    </w:p>
    <w:p>
      <w:pPr>
        <w:keepNext/>
        <w:spacing w:after="60" w:before="200"/>
        <w:jc w:val="center"/>
      </w:pPr>
      <w:r>
        <w:drawing>
          <wp:inline distT="0" distB="0" distL="0" distR="0">
            <wp:extent cx="5143500" cy="4114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114800"/>
                    </a:xfrm>
                    <a:prstGeom prst="rect">
                      <a:avLst/>
                    </a:prstGeom>
                  </pic:spPr>
                </pic:pic>
              </a:graphicData>
            </a:graphic>
          </wp:inline>
        </w:drawing>
      </w:r>
    </w:p>
    <w:p>
      <w:pPr>
        <w:spacing w:after="160"/>
        <w:jc w:val="center"/>
      </w:pPr>
      <w:r>
        <w:rPr>
          <w:rFonts w:ascii="Calibri" w:hAnsi="Calibri"/>
          <w:i/>
          <w:iCs/>
          <w:color w:val="5A6B73"/>
          <w:sz w:val="18"/>
          <w:szCs w:val="18"/>
        </w:rPr>
        <w:t xml:space="preserve">Abbildung 5: Flussdiagramm — von Rente und Brutto-Verdienst zum anrechenbaren Einkommen</w:t>
      </w:r>
    </w:p>
    <w:p>
      <w:pPr>
        <w:keepNext/>
        <w:spacing w:after="120" w:before="60" w:line="312"/>
        <w:jc w:val="both"/>
      </w:pPr>
      <w:r>
        <w:rPr>
          <w:rFonts w:ascii="Calibri" w:hAnsi="Calibri"/>
          <w:color w:val="000000"/>
          <w:sz w:val="22"/>
          <w:szCs w:val="22"/>
        </w:rPr>
        <w:t xml:space="preserve">Die Regeln im Einzelnen:</w:t>
      </w:r>
    </w:p>
    <w:p>
      <w:pPr>
        <w:pStyle w:val="ListParagraph"/>
        <w:numPr>
          <w:ilvl w:val="0"/>
          <w:numId w:val="2"/>
        </w:numPr>
        <w:spacing w:after="100" w:line="312"/>
        <w:jc w:val="both"/>
      </w:pPr>
      <w:r>
        <w:rPr>
          <w:rFonts w:ascii="Calibri" w:hAnsi="Calibri"/>
          <w:b/>
          <w:bCs/>
          <w:color w:val="0E2A33"/>
          <w:sz w:val="22"/>
          <w:szCs w:val="22"/>
        </w:rPr>
        <w:t xml:space="preserve">Rente zählt vollständig. </w:t>
      </w:r>
      <w:r>
        <w:rPr>
          <w:rFonts w:ascii="Calibri" w:hAnsi="Calibri"/>
          <w:color w:val="000000"/>
          <w:sz w:val="22"/>
          <w:szCs w:val="22"/>
        </w:rPr>
        <w:t xml:space="preserve">Betriebliche und gesetzliche Renten sowie ähnliche Einkünfte werden ohne Freibetrag voll angerechnet — sie sind das, wovon die Grundsicherung eigentlich leben soll.</w:t>
      </w:r>
    </w:p>
    <w:p>
      <w:pPr>
        <w:pStyle w:val="ListParagraph"/>
        <w:numPr>
          <w:ilvl w:val="0"/>
          <w:numId w:val="2"/>
        </w:numPr>
        <w:spacing w:after="100" w:line="312"/>
        <w:jc w:val="both"/>
      </w:pPr>
      <w:r>
        <w:rPr>
          <w:rFonts w:ascii="Calibri" w:hAnsi="Calibri"/>
          <w:b/>
          <w:bCs/>
          <w:color w:val="0E2A33"/>
          <w:sz w:val="22"/>
          <w:szCs w:val="22"/>
        </w:rPr>
        <w:t xml:space="preserve">Absetzbeträge zuerst (§ 82 Abs. 2). </w:t>
      </w:r>
      <w:r>
        <w:rPr>
          <w:rFonts w:ascii="Calibri" w:hAnsi="Calibri"/>
          <w:color w:val="000000"/>
          <w:sz w:val="22"/>
          <w:szCs w:val="22"/>
        </w:rPr>
        <w:t xml:space="preserve">Vom Einkommen werden abgezogen: Steuern, Pflichtbeiträge zur Sozialversicherung, angemessene Versicherungsbeiträge und Ausgaben, die mit dem Erzielen des Einkommens verbunden sind (z. B. Fahrtkosten). Diese Beträge erfasst der Sachbearbeiter je Person.</w:t>
      </w:r>
    </w:p>
    <w:p>
      <w:pPr>
        <w:pStyle w:val="ListParagraph"/>
        <w:numPr>
          <w:ilvl w:val="0"/>
          <w:numId w:val="2"/>
        </w:numPr>
        <w:spacing w:after="100" w:line="312"/>
        <w:jc w:val="both"/>
      </w:pPr>
      <w:r>
        <w:rPr>
          <w:rFonts w:ascii="Calibri" w:hAnsi="Calibri"/>
          <w:b/>
          <w:bCs/>
          <w:color w:val="0E2A33"/>
          <w:sz w:val="22"/>
          <w:szCs w:val="22"/>
        </w:rPr>
        <w:t xml:space="preserve">Erwerbsfreibetrag (§ 82 Abs. 3). </w:t>
      </w:r>
      <w:r>
        <w:rPr>
          <w:rFonts w:ascii="Calibri" w:hAnsi="Calibri"/>
          <w:color w:val="000000"/>
          <w:sz w:val="22"/>
          <w:szCs w:val="22"/>
        </w:rPr>
        <w:t xml:space="preserve">Wer aus Arbeit bezahlt wird, behält 30 % seines Brutto-Verdienstes — höchstens 281,50 EUR (die Hälfte der Stufe 1, 2026). Der Freibetrag soll Anreize schaffen: Arbeiten lohnt sich auch im Leistungsbezug.</w:t>
      </w:r>
    </w:p>
    <w:p>
      <w:pPr>
        <w:pStyle w:val="ListParagraph"/>
        <w:numPr>
          <w:ilvl w:val="0"/>
          <w:numId w:val="2"/>
        </w:numPr>
        <w:spacing w:after="100" w:line="312"/>
        <w:jc w:val="both"/>
      </w:pPr>
      <w:r>
        <w:rPr>
          <w:rFonts w:ascii="Calibri" w:hAnsi="Calibri"/>
          <w:b/>
          <w:bCs/>
          <w:color w:val="0E2A33"/>
          <w:sz w:val="22"/>
          <w:szCs w:val="22"/>
        </w:rPr>
        <w:t xml:space="preserve">Niemals unter null. </w:t>
      </w:r>
      <w:r>
        <w:rPr>
          <w:rFonts w:ascii="Calibri" w:hAnsi="Calibri"/>
          <w:color w:val="000000"/>
          <w:sz w:val="22"/>
          <w:szCs w:val="22"/>
        </w:rPr>
        <w:t xml:space="preserve">Das Ergebnis wird auf mindestens 0 EUR begrenzt — das System zieht nie Geld ab, das die Person nicht hat. Eine Einkommensquelle kann die Grundsicherung auf null drücken, aber nie zu einer Rückzahlung führen.</w:t>
      </w:r>
    </w:p>
    <w:p>
      <w:pPr>
        <w:spacing w:after="120" w:before="60" w:line="312"/>
        <w:jc w:val="both"/>
      </w:pPr>
      <w:r>
        <w:rPr>
          <w:rFonts w:ascii="Calibri" w:hAnsi="Calibri"/>
          <w:color w:val="000000"/>
          <w:sz w:val="22"/>
          <w:szCs w:val="22"/>
        </w:rPr>
        <w:t xml:space="preserve">Das Ergebnis heißt </w:t>
      </w:r>
      <w:r>
        <w:rPr>
          <w:rFonts w:ascii="Calibri" w:hAnsi="Calibri"/>
          <w:b/>
          <w:bCs/>
          <w:color w:val="0E2A33"/>
          <w:sz w:val="22"/>
          <w:szCs w:val="22"/>
        </w:rPr>
        <w:t xml:space="preserve">anrechenbares Einkommen</w:t>
      </w:r>
      <w:r>
        <w:rPr>
          <w:rFonts w:ascii="Calibri" w:hAnsi="Calibri"/>
          <w:color w:val="000000"/>
          <w:sz w:val="22"/>
          <w:szCs w:val="22"/>
        </w:rPr>
        <w:t xml:space="preserve"> und wird über alle Personen der Bedarfsgemeinschaft summiert. Es mindert den Zahlbetrag des Schritts C — nicht direkt den Bedarf: Die Berechnung stellt also immer erst den vollen Bedarf fest und kürzt dann.</w:t>
      </w:r>
    </w:p>
    <w:p>
      <w:pPr>
        <w:pStyle w:val="Heading1"/>
        <w:keepNext/>
        <w:pBdr>
          <w:bottom w:val="single" w:color="1B6B7A" w:sz="6" w:space="6"/>
        </w:pBdr>
        <w:spacing w:after="240" w:before="400" w:line="312"/>
      </w:pPr>
      <w:bookmarkStart w:name="_Toc8" w:id="8"/>
      <w:r>
        <w:rPr>
          <w:rFonts w:ascii="Arial" w:hAnsi="Arial"/>
          <w:b/>
          <w:bCs/>
          <w:color w:val="0E2A33"/>
          <w:sz w:val="32"/>
          <w:szCs w:val="32"/>
        </w:rPr>
        <w:t xml:space="preserve">8 Schritt 5: Vermögen prüfen (§§ 43, 90 SGB XII)</w:t>
      </w:r>
      <w:bookmarkEnd w:id="8"/>
    </w:p>
    <w:p>
      <w:pPr>
        <w:keepNext/>
        <w:spacing w:after="120" w:before="0" w:line="312"/>
        <w:jc w:val="both"/>
      </w:pPr>
      <w:r>
        <w:rPr>
          <w:rFonts w:ascii="Calibri" w:hAnsi="Calibri"/>
          <w:color w:val="000000"/>
          <w:sz w:val="22"/>
          <w:szCs w:val="22"/>
        </w:rPr>
        <w:t xml:space="preserve">Bevor Leistungen fließen, ist das Vermögen der Bedarfsgemeinschaft dran — Sparbuch, Girokonto, Festgeld und ähnliches. Auch hier gilt: nicht alles, sondern nur der Teil, der über dem </w:t>
      </w:r>
      <w:r>
        <w:rPr>
          <w:rFonts w:ascii="Calibri" w:hAnsi="Calibri"/>
          <w:b/>
          <w:bCs/>
          <w:color w:val="0E2A33"/>
          <w:sz w:val="22"/>
          <w:szCs w:val="22"/>
        </w:rPr>
        <w:t xml:space="preserve">Schonvermögen</w:t>
      </w:r>
      <w:r>
        <w:rPr>
          <w:rFonts w:ascii="Calibri" w:hAnsi="Calibri"/>
          <w:color w:val="000000"/>
          <w:sz w:val="22"/>
          <w:szCs w:val="22"/>
        </w:rPr>
        <w:t xml:space="preserve"> liegt. Und dieses Vermögen wird nicht einfach weggenommen, sondern verbraucht:</w:t>
      </w:r>
    </w:p>
    <w:p>
      <w:pPr>
        <w:keepNext/>
        <w:spacing w:after="60" w:before="200"/>
        <w:jc w:val="center"/>
      </w:pPr>
      <w:r>
        <w:drawing>
          <wp:inline distT="0" distB="0" distL="0" distR="0">
            <wp:extent cx="5143500" cy="37814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781425"/>
                    </a:xfrm>
                    <a:prstGeom prst="rect">
                      <a:avLst/>
                    </a:prstGeom>
                  </pic:spPr>
                </pic:pic>
              </a:graphicData>
            </a:graphic>
          </wp:inline>
        </w:drawing>
      </w:r>
    </w:p>
    <w:p>
      <w:pPr>
        <w:spacing w:after="160"/>
        <w:jc w:val="center"/>
      </w:pPr>
      <w:r>
        <w:rPr>
          <w:rFonts w:ascii="Calibri" w:hAnsi="Calibri"/>
          <w:i/>
          <w:iCs/>
          <w:color w:val="5A6B73"/>
          <w:sz w:val="18"/>
          <w:szCs w:val="18"/>
        </w:rPr>
        <w:t xml:space="preserve">Abbildung 6: Flussdiagramm — Schonvermögen, verwertbares Vermögen und der Verbrauch über die Monate</w:t>
      </w:r>
    </w:p>
    <w:p>
      <w:pPr>
        <w:keepNext/>
        <w:spacing w:after="80" w:before="160" w:line="312"/>
      </w:pPr>
      <w:r>
        <w:rPr>
          <w:rFonts w:ascii="Calibri" w:hAnsi="Calibri"/>
          <w:b/>
          <w:bCs/>
          <w:color w:val="5A6B73"/>
          <w:sz w:val="20"/>
          <w:szCs w:val="20"/>
        </w:rPr>
        <w:t xml:space="preserve">Tabelle 4: Das Schonvermögen (§ 90 Abs. 2 Nr. 9 SGB XII i. V. m. Barbetragsverordnung)</w:t>
      </w:r>
    </w:p>
    <w:tbl>
      <w:tblPr>
        <w:tblW w:type="pct" w:w="5000"/>
        <w:tblBorders>
          <w:top w:val="single" w:color="1B6B7A" w:sz="4"/>
          <w:left w:val="none"/>
          <w:bottom w:val="single" w:color="1B6B7A" w:sz="4"/>
          <w:right w:val="none"/>
          <w:insideH w:val="single" w:color="C8DDE2" w:sz="1"/>
          <w:insideV w:val="none"/>
        </w:tblBorders>
      </w:tblPr>
      <w:tblGrid>
        <w:gridCol w:w="5624"/>
        <w:gridCol w:w="3164"/>
      </w:tblGrid>
      <w:tr>
        <w:trPr>
          <w:cantSplit/>
          <w:tblHeader/>
        </w:trPr>
        <w:tc>
          <w:tcPr>
            <w:tcW w:type="pct" w:w="32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Person</w:t>
            </w:r>
          </w:p>
        </w:tc>
        <w:tc>
          <w:tcPr>
            <w:tcW w:type="pct" w:w="1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Geschützter Betrag</w:t>
            </w:r>
          </w:p>
        </w:tc>
      </w:tr>
      <w:tr>
        <w:trPr>
          <w:cantSplit/>
        </w:trPr>
        <w:tc>
          <w:tcPr>
            <w:tcW w:type="pct" w:w="3200"/>
            <w:shd w:fill="EDF3F5" w:val="clear"/>
            <w:tcMar>
              <w:top w:type="dxa" w:w="60"/>
              <w:left w:type="dxa" w:w="120"/>
              <w:bottom w:type="dxa" w:w="60"/>
              <w:right w:type="dxa" w:w="120"/>
            </w:tcMar>
          </w:tcPr>
          <w:p>
            <w:pPr>
              <w:spacing w:line="276"/>
            </w:pPr>
            <w:r>
              <w:rPr>
                <w:rFonts w:ascii="Calibri" w:hAnsi="Calibri"/>
                <w:color w:val="000000"/>
                <w:sz w:val="20"/>
                <w:szCs w:val="20"/>
              </w:rPr>
              <w:t xml:space="preserve">Person in Regelbedarfsstufe 1–3 (erwachsene Leistungsbezieher)</w:t>
            </w:r>
          </w:p>
        </w:tc>
        <w:tc>
          <w:tcPr>
            <w:tcW w:type="pct" w:w="1800"/>
            <w:shd w:fill="EDF3F5" w:val="clear"/>
            <w:tcMar>
              <w:top w:type="dxa" w:w="60"/>
              <w:left w:type="dxa" w:w="120"/>
              <w:bottom w:type="dxa" w:w="60"/>
              <w:right w:type="dxa" w:w="120"/>
            </w:tcMar>
          </w:tcPr>
          <w:p>
            <w:pPr>
              <w:spacing w:line="276"/>
            </w:pPr>
            <w:r>
              <w:rPr>
                <w:rFonts w:ascii="Calibri" w:hAnsi="Calibri"/>
                <w:color w:val="000000"/>
                <w:sz w:val="20"/>
                <w:szCs w:val="20"/>
              </w:rPr>
              <w:t xml:space="preserve">10.000,00 EUR je Person</w:t>
            </w:r>
          </w:p>
        </w:tc>
      </w:tr>
      <w:tr>
        <w:trPr>
          <w:cantSplit/>
        </w:trPr>
        <w:tc>
          <w:tcPr>
            <w:tcW w:type="pct" w:w="3200"/>
            <w:tcMar>
              <w:top w:type="dxa" w:w="60"/>
              <w:left w:type="dxa" w:w="120"/>
              <w:bottom w:type="dxa" w:w="60"/>
              <w:right w:type="dxa" w:w="120"/>
            </w:tcMar>
          </w:tcPr>
          <w:p>
            <w:pPr>
              <w:spacing w:line="276"/>
            </w:pPr>
            <w:r>
              <w:rPr>
                <w:rFonts w:ascii="Calibri" w:hAnsi="Calibri"/>
                <w:color w:val="000000"/>
                <w:sz w:val="20"/>
                <w:szCs w:val="20"/>
              </w:rPr>
              <w:t xml:space="preserve">Person in Regelbedarfsstufe 4–6 (überwiegend unterhaltene Person)</w:t>
            </w:r>
          </w:p>
        </w:tc>
        <w:tc>
          <w:tcPr>
            <w:tcW w:type="pct" w:w="1800"/>
            <w:tcMar>
              <w:top w:type="dxa" w:w="60"/>
              <w:left w:type="dxa" w:w="120"/>
              <w:bottom w:type="dxa" w:w="60"/>
              <w:right w:type="dxa" w:w="120"/>
            </w:tcMar>
          </w:tcPr>
          <w:p>
            <w:pPr>
              <w:spacing w:line="276"/>
            </w:pPr>
            <w:r>
              <w:rPr>
                <w:rFonts w:ascii="Calibri" w:hAnsi="Calibri"/>
                <w:color w:val="000000"/>
                <w:sz w:val="20"/>
                <w:szCs w:val="20"/>
              </w:rPr>
              <w:t xml:space="preserve">500,00 EUR je Person</w:t>
            </w:r>
          </w:p>
        </w:tc>
      </w:tr>
      <w:tr>
        <w:trPr>
          <w:cantSplit/>
        </w:trPr>
        <w:tc>
          <w:tcPr>
            <w:tcW w:type="pct" w:w="3200"/>
            <w:shd w:fill="EDF3F5" w:val="clear"/>
            <w:tcMar>
              <w:top w:type="dxa" w:w="60"/>
              <w:left w:type="dxa" w:w="120"/>
              <w:bottom w:type="dxa" w:w="60"/>
              <w:right w:type="dxa" w:w="120"/>
            </w:tcMar>
          </w:tcPr>
          <w:p>
            <w:pPr>
              <w:spacing w:line="276"/>
            </w:pPr>
            <w:r>
              <w:rPr>
                <w:rFonts w:ascii="Calibri" w:hAnsi="Calibri"/>
                <w:color w:val="000000"/>
                <w:sz w:val="20"/>
                <w:szCs w:val="20"/>
              </w:rPr>
              <w:t xml:space="preserve">Untergrenze, wenn keine erwachsene Person in Stufe 1–3 vorliegt</w:t>
            </w:r>
          </w:p>
        </w:tc>
        <w:tc>
          <w:tcPr>
            <w:tcW w:type="pct" w:w="1800"/>
            <w:shd w:fill="EDF3F5" w:val="clear"/>
            <w:tcMar>
              <w:top w:type="dxa" w:w="60"/>
              <w:left w:type="dxa" w:w="120"/>
              <w:bottom w:type="dxa" w:w="60"/>
              <w:right w:type="dxa" w:w="120"/>
            </w:tcMar>
          </w:tcPr>
          <w:p>
            <w:pPr>
              <w:spacing w:line="276"/>
            </w:pPr>
            <w:r>
              <w:rPr>
                <w:rFonts w:ascii="Calibri" w:hAnsi="Calibri"/>
                <w:color w:val="000000"/>
                <w:sz w:val="20"/>
                <w:szCs w:val="20"/>
              </w:rPr>
              <w:t xml:space="preserve">10.000,00 EUR einmalig</w:t>
            </w:r>
          </w:p>
        </w:tc>
      </w:tr>
    </w:tbl>
    <w:p>
      <w:pPr>
        <w:spacing w:after="120" w:before="120" w:line="312"/>
        <w:jc w:val="both"/>
      </w:pPr>
      <w:r>
        <w:rPr>
          <w:rFonts w:ascii="Calibri" w:hAnsi="Calibri"/>
          <w:b/>
          <w:bCs/>
          <w:color w:val="0E2A33"/>
          <w:sz w:val="22"/>
          <w:szCs w:val="22"/>
        </w:rPr>
        <w:t xml:space="preserve">Der Verbrauch — der wichtigste Punkt dieses Kapitels: </w:t>
      </w:r>
      <w:r>
        <w:rPr>
          <w:rFonts w:ascii="Calibri" w:hAnsi="Calibri"/>
          <w:color w:val="000000"/>
          <w:sz w:val="22"/>
          <w:szCs w:val="22"/>
        </w:rPr>
        <w:t xml:space="preserve">Der Überschuss über dem Schonvermögen mindert die Leistung </w:t>
      </w:r>
      <w:r>
        <w:rPr>
          <w:rFonts w:ascii="Calibri" w:hAnsi="Calibri"/>
          <w:i/>
          <w:iCs/>
          <w:color w:val="000000"/>
          <w:sz w:val="22"/>
          <w:szCs w:val="22"/>
        </w:rPr>
        <w:t xml:space="preserve">nur im ersten Auszahlungsmonat</w:t>
      </w:r>
      <w:r>
        <w:rPr>
          <w:rFonts w:ascii="Calibri" w:hAnsi="Calibri"/>
          <w:color w:val="000000"/>
          <w:sz w:val="22"/>
          <w:szCs w:val="22"/>
        </w:rPr>
        <w:t xml:space="preserve">. Mit der ersten Auszahlung verbraucht er sich: Der gespeicherte Vermögensbestand sinkt auf das Schonvermögen, und genau dieser Einsatz wird je Zahlung dokumentiert (Datenbankfeld </w:t>
      </w:r>
      <w:r>
        <w:rPr>
          <w:rFonts w:ascii="Consolas" w:hAnsi="Consolas"/>
          <w:color w:val="0B4A56"/>
          <w:sz w:val="20"/>
          <w:szCs w:val="20"/>
        </w:rPr>
        <w:t xml:space="preserve">VERMOEGENSEINSATZ</w:t>
      </w:r>
      <w:r>
        <w:rPr>
          <w:rFonts w:ascii="Calibri" w:hAnsi="Calibri"/>
          <w:color w:val="000000"/>
          <w:sz w:val="22"/>
          <w:szCs w:val="22"/>
        </w:rPr>
        <w:t xml:space="preserve">). Ab dem Folgemonat fließt die volle Leistung. Wird die Zahlung storniert, wird genau der dokumentierte Einsatz zurückgebucht — der Bestand stimmt danach wieder.</w:t>
      </w:r>
    </w:p>
    <w:p>
      <w:pPr>
        <w:spacing w:after="120" w:before="0" w:line="312"/>
        <w:jc w:val="both"/>
      </w:pPr>
      <w:r>
        <w:rPr>
          <w:rFonts w:ascii="Calibri" w:hAnsi="Calibri"/>
          <w:b/>
          <w:bCs/>
          <w:color w:val="0E2A33"/>
          <w:sz w:val="22"/>
          <w:szCs w:val="22"/>
        </w:rPr>
        <w:t xml:space="preserve">Beispiel: </w:t>
      </w:r>
      <w:r>
        <w:rPr>
          <w:rFonts w:ascii="Calibri" w:hAnsi="Calibri"/>
          <w:color w:val="000000"/>
          <w:sz w:val="22"/>
          <w:szCs w:val="22"/>
        </w:rPr>
        <w:t xml:space="preserve">Frau V. hat 10.500 EUR auf dem Sparbuch und lebt allein. Schonvermögen: 10.000 EUR. Verwertbar: 500 EUR. Im Januar bekommt sie 500 EUR weniger, und ihr Sparbuchbestand sinkt im System auf 10.000 EUR — ab Februar ist der Fall vermögensneutral. Das komplette Halbjahr steht in Kapitel 9.</w:t>
      </w:r>
    </w:p>
    <w:p>
      <w:pPr>
        <w:pStyle w:val="Heading1"/>
        <w:keepNext/>
        <w:pBdr>
          <w:bottom w:val="single" w:color="1B6B7A" w:sz="6" w:space="6"/>
        </w:pBdr>
        <w:spacing w:after="240" w:before="400" w:line="312"/>
      </w:pPr>
      <w:bookmarkStart w:name="_Toc9" w:id="9"/>
      <w:r>
        <w:rPr>
          <w:rFonts w:ascii="Arial" w:hAnsi="Arial"/>
          <w:b/>
          <w:bCs/>
          <w:color w:val="0E2A33"/>
          <w:sz w:val="32"/>
          <w:szCs w:val="32"/>
        </w:rPr>
        <w:t xml:space="preserve">9 Der Monatsplan — der Bescheid rechnet jeden Monat einzeln</w:t>
      </w:r>
      <w:bookmarkEnd w:id="9"/>
    </w:p>
    <w:p>
      <w:pPr>
        <w:keepNext/>
        <w:spacing w:after="120" w:before="0" w:line="312"/>
        <w:jc w:val="both"/>
      </w:pPr>
      <w:r>
        <w:rPr>
          <w:rFonts w:ascii="Calibri" w:hAnsi="Calibri"/>
          <w:color w:val="000000"/>
          <w:sz w:val="22"/>
          <w:szCs w:val="22"/>
        </w:rPr>
        <w:t xml:space="preserve">Ein Bescheid gilt für einen Zeitraum von einem bis zwölf Monaten. Statt einen einzigen Betrag festzunageln, rechnet das System </w:t>
      </w:r>
      <w:r>
        <w:rPr>
          <w:rFonts w:ascii="Calibri" w:hAnsi="Calibri"/>
          <w:b/>
          <w:bCs/>
          <w:color w:val="0E2A33"/>
          <w:sz w:val="22"/>
          <w:szCs w:val="22"/>
        </w:rPr>
        <w:t xml:space="preserve">jeden Monat einzeln</w:t>
      </w:r>
      <w:r>
        <w:rPr>
          <w:rFonts w:ascii="Calibri" w:hAnsi="Calibri"/>
          <w:color w:val="000000"/>
          <w:sz w:val="22"/>
          <w:szCs w:val="22"/>
        </w:rPr>
        <w:t xml:space="preserve"> durch und speichert den kompletten Plan im Bescheid. So können bekannte Änderungen während des Zeitraums automatisch stimmen:</w:t>
      </w:r>
    </w:p>
    <w:p>
      <w:pPr>
        <w:keepNext/>
        <w:spacing w:after="60" w:before="200"/>
        <w:jc w:val="center"/>
      </w:pPr>
      <w:r>
        <w:drawing>
          <wp:inline distT="0" distB="0" distL="0" distR="0">
            <wp:extent cx="5143500" cy="27908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90825"/>
                    </a:xfrm>
                    <a:prstGeom prst="rect">
                      <a:avLst/>
                    </a:prstGeom>
                  </pic:spPr>
                </pic:pic>
              </a:graphicData>
            </a:graphic>
          </wp:inline>
        </w:drawing>
      </w:r>
    </w:p>
    <w:p>
      <w:pPr>
        <w:spacing w:after="160"/>
        <w:jc w:val="center"/>
      </w:pPr>
      <w:r>
        <w:rPr>
          <w:rFonts w:ascii="Calibri" w:hAnsi="Calibri"/>
          <w:i/>
          <w:iCs/>
          <w:color w:val="5A6B73"/>
          <w:sz w:val="18"/>
          <w:szCs w:val="18"/>
        </w:rPr>
        <w:t xml:space="preserve">Abbildung 7: Zeitstrahl — der Bewilligungsplan am Beispiel von Frau V. aus Kapitel 8</w:t>
      </w:r>
    </w:p>
    <w:p>
      <w:pPr>
        <w:keepNext/>
        <w:spacing w:after="120" w:before="60" w:line="312"/>
        <w:jc w:val="both"/>
      </w:pPr>
      <w:r>
        <w:rPr>
          <w:rFonts w:ascii="Calibri" w:hAnsi="Calibri"/>
          <w:color w:val="000000"/>
          <w:sz w:val="22"/>
          <w:szCs w:val="22"/>
        </w:rPr>
        <w:t xml:space="preserve">Drei Sonderfälle steckt der Monatsplan selbst:</w:t>
      </w:r>
    </w:p>
    <w:p>
      <w:pPr>
        <w:pStyle w:val="ListParagraph"/>
        <w:numPr>
          <w:ilvl w:val="0"/>
          <w:numId w:val="3"/>
        </w:numPr>
        <w:spacing w:after="100" w:line="312"/>
        <w:jc w:val="both"/>
      </w:pPr>
      <w:r>
        <w:rPr>
          <w:rFonts w:ascii="Calibri" w:hAnsi="Calibri"/>
          <w:b/>
          <w:bCs/>
          <w:color w:val="0E2A33"/>
          <w:sz w:val="22"/>
          <w:szCs w:val="22"/>
        </w:rPr>
        <w:t xml:space="preserve">Satzwechsel zum Jahreswechsel: </w:t>
      </w:r>
      <w:r>
        <w:rPr>
          <w:rFonts w:ascii="Calibri" w:hAnsi="Calibri"/>
          <w:color w:val="000000"/>
          <w:sz w:val="22"/>
          <w:szCs w:val="22"/>
        </w:rPr>
        <w:t xml:space="preserve">Für jeden Monat wird der dann gültige Satzstand aus der Datenbank gelesen — ändert der Gesetzgeber zum 1. Januar die Regelbedarfsstufen, stellt der Plan die Folgemonate automatisch auf die neuen Werte (ohne eine Änderung des Bescheids).</w:t>
      </w:r>
    </w:p>
    <w:p>
      <w:pPr>
        <w:pStyle w:val="ListParagraph"/>
        <w:numPr>
          <w:ilvl w:val="0"/>
          <w:numId w:val="3"/>
        </w:numPr>
        <w:spacing w:after="100" w:line="312"/>
        <w:jc w:val="both"/>
      </w:pPr>
      <w:r>
        <w:rPr>
          <w:rFonts w:ascii="Calibri" w:hAnsi="Calibri"/>
          <w:b/>
          <w:bCs/>
          <w:color w:val="0E2A33"/>
          <w:sz w:val="22"/>
          <w:szCs w:val="22"/>
        </w:rPr>
        <w:t xml:space="preserve">Schwangerschaftsende: </w:t>
      </w:r>
      <w:r>
        <w:rPr>
          <w:rFonts w:ascii="Calibri" w:hAnsi="Calibri"/>
          <w:color w:val="000000"/>
          <w:sz w:val="22"/>
          <w:szCs w:val="22"/>
        </w:rPr>
        <w:t xml:space="preserve">Ist der Entbindungsmonat erfasst, entfällt der Schwangerschafts-Mehrbedarf ab dem Folgemonat automatisch — die Falldaten bleiben erhalten, nur der Plan rechnet ab da ohne diesen Zuschlag.</w:t>
      </w:r>
    </w:p>
    <w:p>
      <w:pPr>
        <w:pStyle w:val="ListParagraph"/>
        <w:numPr>
          <w:ilvl w:val="0"/>
          <w:numId w:val="3"/>
        </w:numPr>
        <w:spacing w:after="100" w:line="312"/>
        <w:jc w:val="both"/>
      </w:pPr>
      <w:r>
        <w:rPr>
          <w:rFonts w:ascii="Calibri" w:hAnsi="Calibri"/>
          <w:b/>
          <w:bCs/>
          <w:color w:val="0E2A33"/>
          <w:sz w:val="22"/>
          <w:szCs w:val="22"/>
        </w:rPr>
        <w:t xml:space="preserve">Vermögensverbrauch: </w:t>
      </w:r>
      <w:r>
        <w:rPr>
          <w:rFonts w:ascii="Calibri" w:hAnsi="Calibri"/>
          <w:color w:val="000000"/>
          <w:sz w:val="22"/>
          <w:szCs w:val="22"/>
        </w:rPr>
        <w:t xml:space="preserve">Wie in Kapitel 8 — der Vermögensabzug steht nur in dem Monat, in dem die erste Auszahlung erfolgt; danach rechnet der Plan ohne ihn.</w:t>
      </w:r>
    </w:p>
    <w:p>
      <w:pPr>
        <w:spacing w:after="120" w:before="60" w:line="312"/>
        <w:jc w:val="both"/>
      </w:pPr>
      <w:r>
        <w:rPr>
          <w:rFonts w:ascii="Calibri" w:hAnsi="Calibri"/>
          <w:color w:val="000000"/>
          <w:sz w:val="22"/>
          <w:szCs w:val="22"/>
        </w:rPr>
        <w:t xml:space="preserve">Wichtig zur Abgrenzung: Der Plan deckt nur </w:t>
      </w:r>
      <w:r>
        <w:rPr>
          <w:rFonts w:ascii="Calibri" w:hAnsi="Calibri"/>
          <w:i/>
          <w:iCs/>
          <w:color w:val="000000"/>
          <w:sz w:val="22"/>
          <w:szCs w:val="22"/>
        </w:rPr>
        <w:t xml:space="preserve">vorhersehbare</w:t>
      </w:r>
      <w:r>
        <w:rPr>
          <w:rFonts w:ascii="Calibri" w:hAnsi="Calibri"/>
          <w:color w:val="000000"/>
          <w:sz w:val="22"/>
          <w:szCs w:val="22"/>
        </w:rPr>
        <w:t xml:space="preserve"> Änderungen ab. Meldet die Person etwas Neues — etwa eine Erbschaft, einen Job oder einen Umzug —, kommt ein neuer Bescheid. Und der gedruckte Bescheid zeigt immer den </w:t>
      </w:r>
      <w:r>
        <w:rPr>
          <w:rFonts w:ascii="Calibri" w:hAnsi="Calibri"/>
          <w:i/>
          <w:iCs/>
          <w:color w:val="000000"/>
          <w:sz w:val="22"/>
          <w:szCs w:val="22"/>
        </w:rPr>
        <w:t xml:space="preserve">gespeicherten</w:t>
      </w:r>
      <w:r>
        <w:rPr>
          <w:rFonts w:ascii="Calibri" w:hAnsi="Calibri"/>
          <w:color w:val="000000"/>
          <w:sz w:val="22"/>
          <w:szCs w:val="22"/>
        </w:rPr>
        <w:t xml:space="preserve"> Stand von der Erteilung, nicht die aktuelle Datenlage: Nachvollziehbarkeit vor Aktualität.</w:t>
      </w:r>
    </w:p>
    <w:p>
      <w:pPr>
        <w:pStyle w:val="Heading1"/>
        <w:keepNext/>
        <w:pBdr>
          <w:bottom w:val="single" w:color="1B6B7A" w:sz="6" w:space="6"/>
        </w:pBdr>
        <w:spacing w:after="240" w:before="400" w:line="312"/>
      </w:pPr>
      <w:bookmarkStart w:name="_Toc10" w:id="10"/>
      <w:r>
        <w:rPr>
          <w:rFonts w:ascii="Arial" w:hAnsi="Arial"/>
          <w:b/>
          <w:bCs/>
          <w:color w:val="0E2A33"/>
          <w:sz w:val="32"/>
          <w:szCs w:val="32"/>
        </w:rPr>
        <w:t xml:space="preserve">10 Durchgerechnete Beispiele</w:t>
      </w:r>
      <w:bookmarkEnd w:id="10"/>
    </w:p>
    <w:p>
      <w:pPr>
        <w:spacing w:after="120" w:before="0" w:line="312"/>
        <w:jc w:val="both"/>
      </w:pPr>
      <w:r>
        <w:rPr>
          <w:rFonts w:ascii="Calibri" w:hAnsi="Calibri"/>
          <w:color w:val="000000"/>
          <w:sz w:val="22"/>
          <w:szCs w:val="22"/>
        </w:rPr>
        <w:t xml:space="preserve">Fünf Fälle, Schritt für Schritt — dieselben Werte stehen als „Goldwerte“ in den automatischen Tests des Projekts (</w:t>
      </w:r>
      <w:r>
        <w:rPr>
          <w:rFonts w:ascii="Consolas" w:hAnsi="Consolas"/>
          <w:color w:val="0B4A56"/>
          <w:sz w:val="20"/>
          <w:szCs w:val="20"/>
        </w:rPr>
        <w:t xml:space="preserve">GoldWerteTest</w:t>
      </w:r>
      <w:r>
        <w:rPr>
          <w:rFonts w:ascii="Calibri" w:hAnsi="Calibri"/>
          <w:color w:val="000000"/>
          <w:sz w:val="22"/>
          <w:szCs w:val="22"/>
        </w:rPr>
        <w:t xml:space="preserve">) und wurden handschriftlich nachgerechnet. Alle Beträge in EUR, Stand 2026.</w:t>
      </w:r>
    </w:p>
    <w:p>
      <w:pPr>
        <w:pStyle w:val="Heading2"/>
        <w:keepNext/>
        <w:spacing w:after="140" w:before="320" w:line="312"/>
      </w:pPr>
      <w:bookmarkStart w:name="_Toc11" w:id="11"/>
      <w:r>
        <w:rPr>
          <w:rFonts w:ascii="Arial" w:hAnsi="Arial"/>
          <w:b/>
          <w:bCs/>
          <w:color w:val="1B6B7A"/>
          <w:sz w:val="26"/>
          <w:szCs w:val="26"/>
        </w:rPr>
        <w:t xml:space="preserve">10.1 Frau B. — alleinstehend, ohne Einkommen</w:t>
      </w:r>
      <w:bookmarkEnd w:id="11"/>
    </w:p>
    <w:p>
      <w:pPr>
        <w:keepNext/>
        <w:spacing w:after="80" w:before="160" w:line="312"/>
      </w:pPr>
      <w:r>
        <w:rPr>
          <w:rFonts w:ascii="Calibri" w:hAnsi="Calibri"/>
          <w:b/>
          <w:bCs/>
          <w:color w:val="5A6B73"/>
          <w:sz w:val="20"/>
          <w:szCs w:val="20"/>
        </w:rPr>
        <w:t xml:space="preserve">Tabelle 5: Beispiel A — Standardfall</w:t>
      </w:r>
    </w:p>
    <w:tbl>
      <w:tblPr>
        <w:tblW w:type="pct" w:w="5000"/>
        <w:tblBorders>
          <w:top w:val="single" w:color="1B6B7A" w:sz="4"/>
          <w:left w:val="none"/>
          <w:bottom w:val="single" w:color="1B6B7A" w:sz="4"/>
          <w:right w:val="none"/>
          <w:insideH w:val="single" w:color="C8DDE2" w:sz="1"/>
          <w:insideV w:val="none"/>
        </w:tblBorders>
      </w:tblPr>
      <w:tblGrid>
        <w:gridCol w:w="4921"/>
        <w:gridCol w:w="2285"/>
        <w:gridCol w:w="1582"/>
      </w:tblGrid>
      <w:tr>
        <w:trPr>
          <w:cantSplit/>
          <w:tblHeader/>
        </w:trPr>
        <w:tc>
          <w:tcPr>
            <w:tcW w:type="pct" w:w="2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Schritt</w:t>
            </w:r>
          </w:p>
        </w:tc>
        <w:tc>
          <w:tcPr>
            <w:tcW w:type="pct" w:w="13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Rechnung</w:t>
            </w:r>
          </w:p>
        </w:tc>
        <w:tc>
          <w:tcPr>
            <w:tcW w:type="pct" w:w="9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Ergebnis</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Regelbedarf (Stufe 1)</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563,00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 Wohnkosten (Kaltmiete 350, Betriebskosten 60, Heizung 80)</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350 + 60 + 80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490,00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 Zahlbetrag (kein Einkommen, kein Vermögen)</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563,00 + 490,00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1.053,00</w:t>
            </w:r>
          </w:p>
        </w:tc>
      </w:tr>
    </w:tbl>
    <w:p>
      <w:pPr>
        <w:pStyle w:val="Heading2"/>
        <w:keepNext/>
        <w:spacing w:after="140" w:before="320" w:line="312"/>
      </w:pPr>
      <w:bookmarkStart w:name="_Toc12" w:id="12"/>
      <w:r>
        <w:rPr>
          <w:rFonts w:ascii="Arial" w:hAnsi="Arial"/>
          <w:b/>
          <w:bCs/>
          <w:color w:val="1B6B7A"/>
          <w:sz w:val="26"/>
          <w:szCs w:val="26"/>
        </w:rPr>
        <w:t xml:space="preserve">10.2 Herr und Frau P. — Ehepaar in gemeinsamer Wohnung</w:t>
      </w:r>
      <w:bookmarkEnd w:id="12"/>
    </w:p>
    <w:p>
      <w:pPr>
        <w:keepNext/>
        <w:spacing w:after="80" w:before="160" w:line="312"/>
      </w:pPr>
      <w:r>
        <w:rPr>
          <w:rFonts w:ascii="Calibri" w:hAnsi="Calibri"/>
          <w:b/>
          <w:bCs/>
          <w:color w:val="5A6B73"/>
          <w:sz w:val="20"/>
          <w:szCs w:val="20"/>
        </w:rPr>
        <w:t xml:space="preserve">Tabelle 6: Beispiel B — Paar</w:t>
      </w:r>
    </w:p>
    <w:tbl>
      <w:tblPr>
        <w:tblW w:type="pct" w:w="5000"/>
        <w:tblBorders>
          <w:top w:val="single" w:color="1B6B7A" w:sz="4"/>
          <w:left w:val="none"/>
          <w:bottom w:val="single" w:color="1B6B7A" w:sz="4"/>
          <w:right w:val="none"/>
          <w:insideH w:val="single" w:color="C8DDE2" w:sz="1"/>
          <w:insideV w:val="none"/>
        </w:tblBorders>
      </w:tblPr>
      <w:tblGrid>
        <w:gridCol w:w="4921"/>
        <w:gridCol w:w="2285"/>
        <w:gridCol w:w="1582"/>
      </w:tblGrid>
      <w:tr>
        <w:trPr>
          <w:cantSplit/>
          <w:tblHeader/>
        </w:trPr>
        <w:tc>
          <w:tcPr>
            <w:tcW w:type="pct" w:w="2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Schritt</w:t>
            </w:r>
          </w:p>
        </w:tc>
        <w:tc>
          <w:tcPr>
            <w:tcW w:type="pct" w:w="13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Rechnung</w:t>
            </w:r>
          </w:p>
        </w:tc>
        <w:tc>
          <w:tcPr>
            <w:tcW w:type="pct" w:w="9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Ergebnis</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Regelbedarf, je Person (Stufe 2)</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2 × 506,00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1.012,00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 Wohnkosten der Bedarfsgemeinschaft</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650,00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 Zahlbetrag</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1.012,00 + 650,00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1.662,00</w:t>
            </w:r>
          </w:p>
        </w:tc>
      </w:tr>
    </w:tbl>
    <w:p>
      <w:pPr>
        <w:spacing w:after="120" w:before="60" w:line="312"/>
        <w:jc w:val="both"/>
      </w:pPr>
      <w:r>
        <w:rPr>
          <w:rFonts w:ascii="Calibri" w:hAnsi="Calibri"/>
          <w:color w:val="000000"/>
          <w:sz w:val="22"/>
          <w:szCs w:val="22"/>
        </w:rPr>
        <w:t xml:space="preserve">Man beachte: Die Wohnkosten stehen einmal im Vorgang und werden nicht auf die Personen aufgeteilt — der Zahlbetrag gilt für die ganze Bedarfsgemeinschaft.</w:t>
      </w:r>
    </w:p>
    <w:p>
      <w:pPr>
        <w:pStyle w:val="Heading2"/>
        <w:keepNext/>
        <w:spacing w:after="140" w:before="320" w:line="312"/>
      </w:pPr>
      <w:bookmarkStart w:name="_Toc13" w:id="13"/>
      <w:r>
        <w:rPr>
          <w:rFonts w:ascii="Arial" w:hAnsi="Arial"/>
          <w:b/>
          <w:bCs/>
          <w:color w:val="1B6B7A"/>
          <w:sz w:val="26"/>
          <w:szCs w:val="26"/>
        </w:rPr>
        <w:t xml:space="preserve">10.3 Frau S. — alleinerziehend mit zwei Kindern</w:t>
      </w:r>
      <w:bookmarkEnd w:id="13"/>
    </w:p>
    <w:p>
      <w:pPr>
        <w:keepNext/>
        <w:spacing w:after="80" w:before="160" w:line="312"/>
      </w:pPr>
      <w:r>
        <w:rPr>
          <w:rFonts w:ascii="Calibri" w:hAnsi="Calibri"/>
          <w:b/>
          <w:bCs/>
          <w:color w:val="5A6B73"/>
          <w:sz w:val="20"/>
          <w:szCs w:val="20"/>
        </w:rPr>
        <w:t xml:space="preserve">Tabelle 7: Beispiel C — Alleinerziehende (Basis des Zuschlags ist immer die Stufe 1)</w:t>
      </w:r>
    </w:p>
    <w:tbl>
      <w:tblPr>
        <w:tblW w:type="pct" w:w="5000"/>
        <w:tblBorders>
          <w:top w:val="single" w:color="1B6B7A" w:sz="4"/>
          <w:left w:val="none"/>
          <w:bottom w:val="single" w:color="1B6B7A" w:sz="4"/>
          <w:right w:val="none"/>
          <w:insideH w:val="single" w:color="C8DDE2" w:sz="1"/>
          <w:insideV w:val="none"/>
        </w:tblBorders>
      </w:tblPr>
      <w:tblGrid>
        <w:gridCol w:w="4921"/>
        <w:gridCol w:w="2285"/>
        <w:gridCol w:w="1582"/>
      </w:tblGrid>
      <w:tr>
        <w:trPr>
          <w:cantSplit/>
          <w:tblHeader/>
        </w:trPr>
        <w:tc>
          <w:tcPr>
            <w:tcW w:type="pct" w:w="2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Schritt</w:t>
            </w:r>
          </w:p>
        </w:tc>
        <w:tc>
          <w:tcPr>
            <w:tcW w:type="pct" w:w="13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Rechnung</w:t>
            </w:r>
          </w:p>
        </w:tc>
        <w:tc>
          <w:tcPr>
            <w:tcW w:type="pct" w:w="9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Ergebnis</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Mutter: Regelbedarf (Stufe 1)</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563,00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Mutter: + Alleinerziehenden-Zuschlag (2 Kinder unter 16 → 36 % der Stufe 1)</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0,36 × 563,00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202,68</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Mutter: + Wohnkosten (Miete 500, Betriebskosten 90, Heizung 120)</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500 + 90 + 120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710,00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Mutter gesamt</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563,00 + 202,68 + 710,00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1.475,68</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Kind 1 (Stufe 6) — ohne eigene Wohnkosten</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357,00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Kind 2 (Stufe 6)</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357,00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 Zahlbetrag der Bedarfsgemeinschaft</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1.475,68 + 357,00 + 357,00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2.189,68</w:t>
            </w:r>
          </w:p>
        </w:tc>
      </w:tr>
    </w:tbl>
    <w:p>
      <w:pPr>
        <w:pStyle w:val="Heading2"/>
        <w:keepNext/>
        <w:spacing w:after="140" w:before="320" w:line="312"/>
      </w:pPr>
      <w:bookmarkStart w:name="_Toc14" w:id="14"/>
      <w:r>
        <w:rPr>
          <w:rFonts w:ascii="Arial" w:hAnsi="Arial"/>
          <w:b/>
          <w:bCs/>
          <w:color w:val="1B6B7A"/>
          <w:sz w:val="26"/>
          <w:szCs w:val="26"/>
        </w:rPr>
        <w:t xml:space="preserve">10.4 Herr E. — RBS 1 mit Berufstätigkeit (Erwerbsfreibetrag)</w:t>
      </w:r>
      <w:bookmarkEnd w:id="14"/>
    </w:p>
    <w:p>
      <w:pPr>
        <w:keepNext/>
        <w:spacing w:after="80" w:before="160" w:line="312"/>
      </w:pPr>
      <w:r>
        <w:rPr>
          <w:rFonts w:ascii="Calibri" w:hAnsi="Calibri"/>
          <w:b/>
          <w:bCs/>
          <w:color w:val="5A6B73"/>
          <w:sz w:val="20"/>
          <w:szCs w:val="20"/>
        </w:rPr>
        <w:t xml:space="preserve">Tabelle 8: Beispiel D — Erwerbstätiger mit Absetzbeträgen und Freibetrag</w:t>
      </w:r>
    </w:p>
    <w:tbl>
      <w:tblPr>
        <w:tblW w:type="pct" w:w="5000"/>
        <w:tblBorders>
          <w:top w:val="single" w:color="1B6B7A" w:sz="4"/>
          <w:left w:val="none"/>
          <w:bottom w:val="single" w:color="1B6B7A" w:sz="4"/>
          <w:right w:val="none"/>
          <w:insideH w:val="single" w:color="C8DDE2" w:sz="1"/>
          <w:insideV w:val="none"/>
        </w:tblBorders>
      </w:tblPr>
      <w:tblGrid>
        <w:gridCol w:w="4921"/>
        <w:gridCol w:w="2285"/>
        <w:gridCol w:w="1582"/>
      </w:tblGrid>
      <w:tr>
        <w:trPr>
          <w:cantSplit/>
          <w:tblHeader/>
        </w:trPr>
        <w:tc>
          <w:tcPr>
            <w:tcW w:type="pct" w:w="2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Schritt</w:t>
            </w:r>
          </w:p>
        </w:tc>
        <w:tc>
          <w:tcPr>
            <w:tcW w:type="pct" w:w="13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Rechnung</w:t>
            </w:r>
          </w:p>
        </w:tc>
        <w:tc>
          <w:tcPr>
            <w:tcW w:type="pct" w:w="9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Ergebnis</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Regelbedarf (Stufe 1)</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563,00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 Wohnkosten (Miete 400, Betriebskosten 70, Heizung 90)</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400 + 70 + 90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560,00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 Gesamtbedarf</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563,00 + 560,00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1.123,00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Brutto-Erwerbseinkommen</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1.200,00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 Absetzbeträge (Steuern 150, Sozialversicherung 200)</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150 + 200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350,00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 Erwerbsfreibetrag: 30 % von 1.200 = 360, aber höchstens 281,50</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min(360,00; 281,50)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281,50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 anrechenbares Einkommen</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1.200 − 350 − 281,50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568,50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 Zahlbetrag</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1.123,00 − 568,50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554,50</w:t>
            </w:r>
          </w:p>
        </w:tc>
      </w:tr>
    </w:tbl>
    <w:p>
      <w:pPr>
        <w:pStyle w:val="Heading2"/>
        <w:keepNext/>
        <w:spacing w:after="140" w:before="320" w:line="312"/>
      </w:pPr>
      <w:bookmarkStart w:name="_Toc15" w:id="15"/>
      <w:r>
        <w:rPr>
          <w:rFonts w:ascii="Arial" w:hAnsi="Arial"/>
          <w:b/>
          <w:bCs/>
          <w:color w:val="1B6B7A"/>
          <w:sz w:val="26"/>
          <w:szCs w:val="26"/>
        </w:rPr>
        <w:t xml:space="preserve">10.5 Frau V. — mit Vermögen über dem Schonvermögen</w:t>
      </w:r>
      <w:bookmarkEnd w:id="15"/>
    </w:p>
    <w:p>
      <w:pPr>
        <w:keepNext/>
        <w:spacing w:after="80" w:before="160" w:line="312"/>
      </w:pPr>
      <w:r>
        <w:rPr>
          <w:rFonts w:ascii="Calibri" w:hAnsi="Calibri"/>
          <w:b/>
          <w:bCs/>
          <w:color w:val="5A6B73"/>
          <w:sz w:val="20"/>
          <w:szCs w:val="20"/>
        </w:rPr>
        <w:t xml:space="preserve">Tabelle 9: Beispiel E — Vermögensverbrauch über den Bewilligungszeitraum</w:t>
      </w:r>
    </w:p>
    <w:tbl>
      <w:tblPr>
        <w:tblW w:type="pct" w:w="5000"/>
        <w:tblBorders>
          <w:top w:val="single" w:color="1B6B7A" w:sz="4"/>
          <w:left w:val="none"/>
          <w:bottom w:val="single" w:color="1B6B7A" w:sz="4"/>
          <w:right w:val="none"/>
          <w:insideH w:val="single" w:color="C8DDE2" w:sz="1"/>
          <w:insideV w:val="none"/>
        </w:tblBorders>
      </w:tblPr>
      <w:tblGrid>
        <w:gridCol w:w="4921"/>
        <w:gridCol w:w="2285"/>
        <w:gridCol w:w="1582"/>
      </w:tblGrid>
      <w:tr>
        <w:trPr>
          <w:cantSplit/>
          <w:tblHeader/>
        </w:trPr>
        <w:tc>
          <w:tcPr>
            <w:tcW w:type="pct" w:w="2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Schritt</w:t>
            </w:r>
          </w:p>
        </w:tc>
        <w:tc>
          <w:tcPr>
            <w:tcW w:type="pct" w:w="13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Rechnung</w:t>
            </w:r>
          </w:p>
        </w:tc>
        <w:tc>
          <w:tcPr>
            <w:tcW w:type="pct" w:w="9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Ergebnis</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Bedarf (Stufe 1 + Wohnkosten 300)</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563,00 + 300,00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863,00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Vermögen 10.500 − Schonvermögen 10.000 = verwertbar</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10.500 − 10.000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500,00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Januar: Zahlbetrag (Vermögen mindert)</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863,00 − 500,00</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363,00</w:t>
            </w:r>
          </w:p>
        </w:tc>
      </w:tr>
      <w:tr>
        <w:trPr>
          <w:cantSplit/>
        </w:trPr>
        <w:tc>
          <w:tcPr>
            <w:tcW w:type="pct" w:w="2800"/>
            <w:tcMar>
              <w:top w:type="dxa" w:w="60"/>
              <w:left w:type="dxa" w:w="120"/>
              <w:bottom w:type="dxa" w:w="60"/>
              <w:right w:type="dxa" w:w="120"/>
            </w:tcMar>
          </w:tcPr>
          <w:p>
            <w:pPr>
              <w:spacing w:line="276"/>
            </w:pPr>
            <w:r>
              <w:rPr>
                <w:rFonts w:ascii="Calibri" w:hAnsi="Calibri"/>
                <w:color w:val="000000"/>
                <w:sz w:val="20"/>
                <w:szCs w:val="20"/>
              </w:rPr>
              <w:t xml:space="preserve">Nach der Januar-Auszahlung: Bestand auf Schonvermögen</w:t>
            </w:r>
          </w:p>
        </w:tc>
        <w:tc>
          <w:tcPr>
            <w:tcW w:type="pct" w:w="1300"/>
            <w:tcMar>
              <w:top w:type="dxa" w:w="60"/>
              <w:left w:type="dxa" w:w="120"/>
              <w:bottom w:type="dxa" w:w="60"/>
              <w:right w:type="dxa" w:w="120"/>
            </w:tcMar>
          </w:tcPr>
          <w:p>
            <w:pPr>
              <w:spacing w:line="276"/>
            </w:pPr>
            <w:r>
              <w:rPr>
                <w:rFonts w:ascii="Calibri" w:hAnsi="Calibri"/>
                <w:color w:val="000000"/>
                <w:sz w:val="20"/>
                <w:szCs w:val="20"/>
              </w:rPr>
              <w:t xml:space="preserve">10.500 − 500</w:t>
            </w:r>
          </w:p>
        </w:tc>
        <w:tc>
          <w:tcPr>
            <w:tcW w:type="pct" w:w="900"/>
            <w:tcMar>
              <w:top w:type="dxa" w:w="60"/>
              <w:left w:type="dxa" w:w="120"/>
              <w:bottom w:type="dxa" w:w="60"/>
              <w:right w:type="dxa" w:w="120"/>
            </w:tcMar>
          </w:tcPr>
          <w:p>
            <w:pPr>
              <w:spacing w:line="276"/>
            </w:pPr>
            <w:r>
              <w:rPr>
                <w:rFonts w:ascii="Calibri" w:hAnsi="Calibri"/>
                <w:color w:val="000000"/>
                <w:sz w:val="20"/>
                <w:szCs w:val="20"/>
              </w:rPr>
              <w:t xml:space="preserve">10.000,00</w:t>
            </w:r>
          </w:p>
        </w:tc>
      </w:tr>
      <w:tr>
        <w:trPr>
          <w:cantSplit/>
        </w:trPr>
        <w:tc>
          <w:tcPr>
            <w:tcW w:type="pct" w:w="2800"/>
            <w:shd w:fill="EDF3F5" w:val="clear"/>
            <w:tcMar>
              <w:top w:type="dxa" w:w="60"/>
              <w:left w:type="dxa" w:w="120"/>
              <w:bottom w:type="dxa" w:w="60"/>
              <w:right w:type="dxa" w:w="120"/>
            </w:tcMar>
          </w:tcPr>
          <w:p>
            <w:pPr>
              <w:spacing w:line="276"/>
            </w:pPr>
            <w:r>
              <w:rPr>
                <w:rFonts w:ascii="Calibri" w:hAnsi="Calibri"/>
                <w:color w:val="000000"/>
                <w:sz w:val="20"/>
                <w:szCs w:val="20"/>
              </w:rPr>
              <w:t xml:space="preserve">Februar bis Juni: Zahlbetrag je Monat (kein Abzug mehr)</w:t>
            </w:r>
          </w:p>
        </w:tc>
        <w:tc>
          <w:tcPr>
            <w:tcW w:type="pct" w:w="1300"/>
            <w:shd w:fill="EDF3F5" w:val="clear"/>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900"/>
            <w:shd w:fill="EDF3F5" w:val="clear"/>
            <w:tcMar>
              <w:top w:type="dxa" w:w="60"/>
              <w:left w:type="dxa" w:w="120"/>
              <w:bottom w:type="dxa" w:w="60"/>
              <w:right w:type="dxa" w:w="120"/>
            </w:tcMar>
          </w:tcPr>
          <w:p>
            <w:pPr>
              <w:spacing w:line="276"/>
            </w:pPr>
            <w:r>
              <w:rPr>
                <w:rFonts w:ascii="Calibri" w:hAnsi="Calibri"/>
                <w:color w:val="000000"/>
                <w:sz w:val="20"/>
                <w:szCs w:val="20"/>
              </w:rPr>
              <w:t xml:space="preserve">863,00</w:t>
            </w:r>
          </w:p>
        </w:tc>
      </w:tr>
    </w:tbl>
    <w:p>
      <w:pPr>
        <w:spacing w:after="120" w:before="60" w:line="312"/>
        <w:jc w:val="both"/>
      </w:pPr>
      <w:r>
        <w:rPr>
          <w:rFonts w:ascii="Calibri" w:hAnsi="Calibri"/>
          <w:color w:val="000000"/>
          <w:sz w:val="22"/>
          <w:szCs w:val="22"/>
        </w:rPr>
        <w:t xml:space="preserve">Genau dieser Verlauf ist der Zeitstrahl in Abbildung 7. Würde Frau V. die Januar-Zahlung stornieren lassen, kämen die 500 EUR Vermögenseinsatz zurück — der Bestand stünde wieder bei 10.500 EUR.</w:t>
      </w:r>
    </w:p>
    <w:p>
      <w:pPr>
        <w:pStyle w:val="Heading1"/>
        <w:keepNext/>
        <w:pBdr>
          <w:bottom w:val="single" w:color="1B6B7A" w:sz="6" w:space="6"/>
        </w:pBdr>
        <w:spacing w:after="240" w:before="400" w:line="312"/>
      </w:pPr>
      <w:bookmarkStart w:name="_Toc16" w:id="16"/>
      <w:r>
        <w:rPr>
          <w:rFonts w:ascii="Arial" w:hAnsi="Arial"/>
          <w:b/>
          <w:bCs/>
          <w:color w:val="0E2A33"/>
          <w:sz w:val="32"/>
          <w:szCs w:val="32"/>
        </w:rPr>
        <w:t xml:space="preserve">11 Schutzregeln beim Zahlen</w:t>
      </w:r>
      <w:bookmarkEnd w:id="16"/>
    </w:p>
    <w:p>
      <w:pPr>
        <w:keepNext/>
        <w:spacing w:after="120" w:before="0" w:line="312"/>
        <w:jc w:val="both"/>
      </w:pPr>
      <w:r>
        <w:rPr>
          <w:rFonts w:ascii="Calibri" w:hAnsi="Calibri"/>
          <w:color w:val="000000"/>
          <w:sz w:val="22"/>
          <w:szCs w:val="22"/>
        </w:rPr>
        <w:t xml:space="preserve">Zwischen dem fertigen Bescheid und dem Geld auf dem Konto liegen mehrere Schutzregeln. Sie sind in Kapitel 2 im Ablaufdiagramm eingezeichnet und werden hier in Kurzform zusammengestellt:</w:t>
      </w:r>
    </w:p>
    <w:p>
      <w:pPr>
        <w:keepNext/>
        <w:spacing w:after="80" w:before="160" w:line="312"/>
      </w:pPr>
      <w:r>
        <w:rPr>
          <w:rFonts w:ascii="Calibri" w:hAnsi="Calibri"/>
          <w:b/>
          <w:bCs/>
          <w:color w:val="5A6B73"/>
          <w:sz w:val="20"/>
          <w:szCs w:val="20"/>
        </w:rPr>
        <w:t xml:space="preserve">Tabelle 10: Die Schutzregeln der Auszahlung</w:t>
      </w:r>
    </w:p>
    <w:tbl>
      <w:tblPr>
        <w:tblW w:type="pct" w:w="5000"/>
        <w:tblBorders>
          <w:top w:val="single" w:color="1B6B7A" w:sz="4"/>
          <w:left w:val="none"/>
          <w:bottom w:val="single" w:color="1B6B7A" w:sz="4"/>
          <w:right w:val="none"/>
          <w:insideH w:val="single" w:color="C8DDE2" w:sz="1"/>
          <w:insideV w:val="none"/>
        </w:tblBorders>
      </w:tblPr>
      <w:tblGrid>
        <w:gridCol w:w="2109"/>
        <w:gridCol w:w="6679"/>
      </w:tblGrid>
      <w:tr>
        <w:trPr>
          <w:cantSplit/>
          <w:tblHeader/>
        </w:trPr>
        <w:tc>
          <w:tcPr>
            <w:tcW w:type="pct" w:w="12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Regel</w:t>
            </w:r>
          </w:p>
        </w:tc>
        <w:tc>
          <w:tcPr>
            <w:tcW w:type="pct" w:w="3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Was sie bewirkt</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Vier-Augen-Prinzip</w:t>
            </w:r>
          </w:p>
        </w:tc>
        <w:tc>
          <w:tcPr>
            <w:tcW w:type="pct" w:w="3800"/>
            <w:shd w:fill="EDF3F5" w:val="clear"/>
            <w:tcMar>
              <w:top w:type="dxa" w:w="60"/>
              <w:left w:type="dxa" w:w="120"/>
              <w:bottom w:type="dxa" w:w="60"/>
              <w:right w:type="dxa" w:w="120"/>
            </w:tcMar>
          </w:tcPr>
          <w:p>
            <w:pPr>
              <w:spacing w:line="276"/>
            </w:pPr>
            <w:r>
              <w:rPr>
                <w:rFonts w:ascii="Calibri" w:hAnsi="Calibri"/>
                <w:color w:val="000000"/>
                <w:sz w:val="20"/>
                <w:szCs w:val="20"/>
              </w:rPr>
              <w:t xml:space="preserve">Eine Zahlung wird immer ANGELEGT und muss durch eine zweite Person freigegeben werden (BEREIT). Die Freigabe durch die eigene erfassende Person weist das System ab — rechnerisch, nicht auf Vertrauen.</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Idempotenz</w:t>
            </w:r>
          </w:p>
        </w:tc>
        <w:tc>
          <w:tcPr>
            <w:tcW w:type="pct" w:w="3800"/>
            <w:tcMar>
              <w:top w:type="dxa" w:w="60"/>
              <w:left w:type="dxa" w:w="120"/>
              <w:bottom w:type="dxa" w:w="60"/>
              <w:right w:type="dxa" w:w="120"/>
            </w:tcMar>
          </w:tcPr>
          <w:p>
            <w:pPr>
              <w:spacing w:line="276"/>
            </w:pPr>
            <w:r>
              <w:rPr>
                <w:rFonts w:ascii="Calibri" w:hAnsi="Calibri"/>
                <w:color w:val="000000"/>
                <w:sz w:val="20"/>
                <w:szCs w:val="20"/>
              </w:rPr>
              <w:t xml:space="preserve">Jede Anordnung trägt eine eindeutige Vorgangsnummer. Wird dieselbe Nummer erneut geschickt (Doppelklick, wiederholter Request), kommt die vorhandene Zahlung zurück — es passiert nichts.</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Budgetführung</w:t>
            </w:r>
          </w:p>
        </w:tc>
        <w:tc>
          <w:tcPr>
            <w:tcW w:type="pct" w:w="3800"/>
            <w:shd w:fill="EDF3F5" w:val="clear"/>
            <w:tcMar>
              <w:top w:type="dxa" w:w="60"/>
              <w:left w:type="dxa" w:w="120"/>
              <w:bottom w:type="dxa" w:w="60"/>
              <w:right w:type="dxa" w:w="120"/>
            </w:tcMar>
          </w:tcPr>
          <w:p>
            <w:pPr>
              <w:spacing w:line="276"/>
            </w:pPr>
            <w:r>
              <w:rPr>
                <w:rFonts w:ascii="Calibri" w:hAnsi="Calibri"/>
                <w:color w:val="000000"/>
                <w:sz w:val="20"/>
                <w:szCs w:val="20"/>
              </w:rPr>
              <w:t xml:space="preserve">Die Bedarfsgemeinschaft hat ein monatliches Restbudget. Eine Auszahlung mindert es; über das Budget hinaus geht nichts raus. Storno bucht den Betrag zurück.</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Sperren und Konkurrenz</w:t>
            </w:r>
          </w:p>
        </w:tc>
        <w:tc>
          <w:tcPr>
            <w:tcW w:type="pct" w:w="3800"/>
            <w:tcMar>
              <w:top w:type="dxa" w:w="60"/>
              <w:left w:type="dxa" w:w="120"/>
              <w:bottom w:type="dxa" w:w="60"/>
              <w:right w:type="dxa" w:w="120"/>
            </w:tcMar>
          </w:tcPr>
          <w:p>
            <w:pPr>
              <w:spacing w:line="276"/>
            </w:pPr>
            <w:r>
              <w:rPr>
                <w:rFonts w:ascii="Calibri" w:hAnsi="Calibri"/>
                <w:color w:val="000000"/>
                <w:sz w:val="20"/>
                <w:szCs w:val="20"/>
              </w:rPr>
              <w:t xml:space="preserve">Buchen mehrere Sachbearbeiter gleichzeitig, ordnet die Datenbank die Zugriffe („SELECT … FOR UPDATE“). Technische Sperrkonflikte wiederholt die Transaktionssteuerung automatisch; gleichzeitige Masken-Änderungen bekommen eine Klartext-Meldung statt stillen Datenverlust.</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Storno bis zur Übergabe</w:t>
            </w:r>
          </w:p>
        </w:tc>
        <w:tc>
          <w:tcPr>
            <w:tcW w:type="pct" w:w="3800"/>
            <w:shd w:fill="EDF3F5" w:val="clear"/>
            <w:tcMar>
              <w:top w:type="dxa" w:w="60"/>
              <w:left w:type="dxa" w:w="120"/>
              <w:bottom w:type="dxa" w:w="60"/>
              <w:right w:type="dxa" w:w="120"/>
            </w:tcMar>
          </w:tcPr>
          <w:p>
            <w:pPr>
              <w:spacing w:line="276"/>
            </w:pPr>
            <w:r>
              <w:rPr>
                <w:rFonts w:ascii="Calibri" w:hAnsi="Calibri"/>
                <w:color w:val="000000"/>
                <w:sz w:val="20"/>
                <w:szCs w:val="20"/>
              </w:rPr>
              <w:t xml:space="preserve">Jede noch nicht übergebene Zahlung kann storniert werden (Status STORNIERT) — inklusive Rückbuchung von Restbudget und Vermögenseinsatz. Nach dem Kassenlauf geht nichts mehr zurück.</w:t>
            </w:r>
          </w:p>
        </w:tc>
      </w:tr>
      <w:tr>
        <w:trPr>
          <w:cantSplit/>
        </w:trPr>
        <w:tc>
          <w:tcPr>
            <w:tcW w:type="pct" w:w="1200"/>
            <w:tcMar>
              <w:top w:type="dxa" w:w="60"/>
              <w:left w:type="dxa" w:w="120"/>
              <w:bottom w:type="dxa" w:w="60"/>
              <w:right w:type="dxa" w:w="120"/>
            </w:tcMar>
          </w:tcPr>
          <w:p>
            <w:pPr>
              <w:spacing w:line="276"/>
            </w:pPr>
            <w:r>
              <w:rPr>
                <w:rFonts w:ascii="Calibri" w:hAnsi="Calibri"/>
                <w:color w:val="000000"/>
                <w:sz w:val="20"/>
                <w:szCs w:val="20"/>
              </w:rPr>
              <w:t xml:space="preserve">Revisionssicheres Journal</w:t>
            </w:r>
          </w:p>
        </w:tc>
        <w:tc>
          <w:tcPr>
            <w:tcW w:type="pct" w:w="3800"/>
            <w:tcMar>
              <w:top w:type="dxa" w:w="60"/>
              <w:left w:type="dxa" w:w="120"/>
              <w:bottom w:type="dxa" w:w="60"/>
              <w:right w:type="dxa" w:w="120"/>
            </w:tcMar>
          </w:tcPr>
          <w:p>
            <w:pPr>
              <w:spacing w:line="276"/>
            </w:pPr>
            <w:r>
              <w:rPr>
                <w:rFonts w:ascii="Calibri" w:hAnsi="Calibri"/>
                <w:color w:val="000000"/>
                <w:sz w:val="20"/>
                <w:szCs w:val="20"/>
              </w:rPr>
              <w:t xml:space="preserve">Jeder Schritt — Anordnung, Freigabe, Übergabe, Storno, auch jede Einsicht in vollständige Falldaten — steht mit Kennung und Zeitpunkt im Journal.</w:t>
            </w:r>
          </w:p>
        </w:tc>
      </w:tr>
      <w:tr>
        <w:trPr>
          <w:cantSplit/>
        </w:trPr>
        <w:tc>
          <w:tcPr>
            <w:tcW w:type="pct" w:w="1200"/>
            <w:shd w:fill="EDF3F5" w:val="clear"/>
            <w:tcMar>
              <w:top w:type="dxa" w:w="60"/>
              <w:left w:type="dxa" w:w="120"/>
              <w:bottom w:type="dxa" w:w="60"/>
              <w:right w:type="dxa" w:w="120"/>
            </w:tcMar>
          </w:tcPr>
          <w:p>
            <w:pPr>
              <w:spacing w:line="276"/>
            </w:pPr>
            <w:r>
              <w:rPr>
                <w:rFonts w:ascii="Calibri" w:hAnsi="Calibri"/>
                <w:color w:val="000000"/>
                <w:sz w:val="20"/>
                <w:szCs w:val="20"/>
              </w:rPr>
              <w:t xml:space="preserve">SEPA-Prüfung</w:t>
            </w:r>
          </w:p>
        </w:tc>
        <w:tc>
          <w:tcPr>
            <w:tcW w:type="pct" w:w="3800"/>
            <w:shd w:fill="EDF3F5" w:val="clear"/>
            <w:tcMar>
              <w:top w:type="dxa" w:w="60"/>
              <w:left w:type="dxa" w:w="120"/>
              <w:bottom w:type="dxa" w:w="60"/>
              <w:right w:type="dxa" w:w="120"/>
            </w:tcMar>
          </w:tcPr>
          <w:p>
            <w:pPr>
              <w:spacing w:line="276"/>
            </w:pPr>
            <w:r>
              <w:rPr>
                <w:rFonts w:ascii="Calibri" w:hAnsi="Calibri"/>
                <w:color w:val="000000"/>
                <w:sz w:val="20"/>
                <w:szCs w:val="20"/>
              </w:rPr>
              <w:t xml:space="preserve">IBAN und BIC werden mit der Modulo-97-Prüfziffer validiert (ISO 13616), bevor eine Zahlung angelegt wird.</w:t>
            </w:r>
          </w:p>
        </w:tc>
      </w:tr>
    </w:tbl>
    <w:p>
      <w:pPr>
        <w:pStyle w:val="Heading1"/>
        <w:keepNext/>
        <w:pBdr>
          <w:bottom w:val="single" w:color="1B6B7A" w:sz="6" w:space="6"/>
        </w:pBdr>
        <w:spacing w:after="240" w:before="400" w:line="312"/>
      </w:pPr>
      <w:bookmarkStart w:name="_Toc17" w:id="17"/>
      <w:r>
        <w:rPr>
          <w:rFonts w:ascii="Arial" w:hAnsi="Arial"/>
          <w:b/>
          <w:bCs/>
          <w:color w:val="0E2A33"/>
          <w:sz w:val="32"/>
          <w:szCs w:val="32"/>
        </w:rPr>
        <w:t xml:space="preserve">12 Wo rechnet das System das? — Verweise und Grenzen</w:t>
      </w:r>
      <w:bookmarkEnd w:id="17"/>
    </w:p>
    <w:p>
      <w:pPr>
        <w:keepNext/>
        <w:spacing w:after="120" w:before="0" w:line="312"/>
        <w:jc w:val="both"/>
      </w:pPr>
      <w:r>
        <w:rPr>
          <w:rFonts w:ascii="Calibri" w:hAnsi="Calibri"/>
          <w:color w:val="000000"/>
          <w:sz w:val="22"/>
          <w:szCs w:val="22"/>
        </w:rPr>
        <w:t xml:space="preserve">Wer tiefer einsteigen will, findet jede in diesem Dokument beschriebene Regel an genau einer Stelle im Code — und jede davon in automatischen Tests. Die wichtigsten Adressen:</w:t>
      </w:r>
    </w:p>
    <w:p>
      <w:pPr>
        <w:keepNext/>
        <w:spacing w:after="80" w:before="160" w:line="312"/>
      </w:pPr>
      <w:r>
        <w:rPr>
          <w:rFonts w:ascii="Calibri" w:hAnsi="Calibri"/>
          <w:b/>
          <w:bCs/>
          <w:color w:val="5A6B73"/>
          <w:sz w:val="20"/>
          <w:szCs w:val="20"/>
        </w:rPr>
        <w:t xml:space="preserve">Tabelle 11: Rechenregeln, Code und Tests</w:t>
      </w:r>
    </w:p>
    <w:tbl>
      <w:tblPr>
        <w:tblW w:type="pct" w:w="5000"/>
        <w:tblBorders>
          <w:top w:val="single" w:color="1B6B7A" w:sz="4"/>
          <w:left w:val="none"/>
          <w:bottom w:val="single" w:color="1B6B7A" w:sz="4"/>
          <w:right w:val="none"/>
          <w:insideH w:val="single" w:color="C8DDE2" w:sz="1"/>
          <w:insideV w:val="none"/>
        </w:tblBorders>
      </w:tblPr>
      <w:tblGrid>
        <w:gridCol w:w="2636"/>
        <w:gridCol w:w="3164"/>
        <w:gridCol w:w="2988"/>
      </w:tblGrid>
      <w:tr>
        <w:trPr>
          <w:cantSplit/>
          <w:tblHeader/>
        </w:trPr>
        <w:tc>
          <w:tcPr>
            <w:tcW w:type="pct" w:w="15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Thema</w:t>
            </w:r>
          </w:p>
        </w:tc>
        <w:tc>
          <w:tcPr>
            <w:tcW w:type="pct" w:w="18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Code</w:t>
            </w:r>
          </w:p>
        </w:tc>
        <w:tc>
          <w:tcPr>
            <w:tcW w:type="pct" w:w="1700"/>
            <w:shd w:fill="1B6B7A" w:val="clear"/>
            <w:tcMar>
              <w:top w:type="dxa" w:w="70"/>
              <w:left w:type="dxa" w:w="120"/>
              <w:bottom w:type="dxa" w:w="70"/>
              <w:right w:type="dxa" w:w="120"/>
            </w:tcMar>
          </w:tcPr>
          <w:p>
            <w:pPr>
              <w:spacing w:line="276"/>
            </w:pPr>
            <w:r>
              <w:rPr>
                <w:rFonts w:ascii="Calibri" w:hAnsi="Calibri"/>
                <w:b/>
                <w:bCs/>
                <w:color w:val="FFFFFF"/>
                <w:sz w:val="20"/>
                <w:szCs w:val="20"/>
              </w:rPr>
              <w:t xml:space="preserve">Test / Doku</w:t>
            </w:r>
          </w:p>
        </w:tc>
      </w:tr>
      <w:tr>
        <w:trPr>
          <w:cantSplit/>
        </w:trPr>
        <w:tc>
          <w:tcPr>
            <w:tcW w:type="pct" w:w="1500"/>
            <w:shd w:fill="EDF3F5" w:val="clear"/>
            <w:tcMar>
              <w:top w:type="dxa" w:w="60"/>
              <w:left w:type="dxa" w:w="120"/>
              <w:bottom w:type="dxa" w:w="60"/>
              <w:right w:type="dxa" w:w="120"/>
            </w:tcMar>
          </w:tcPr>
          <w:p>
            <w:pPr>
              <w:spacing w:line="276"/>
            </w:pPr>
            <w:r>
              <w:rPr>
                <w:rFonts w:ascii="Calibri" w:hAnsi="Calibri"/>
                <w:color w:val="000000"/>
                <w:sz w:val="20"/>
                <w:szCs w:val="20"/>
              </w:rPr>
              <w:t xml:space="preserve">Regelbedarf, Mehrbedarfe, KdU, Einkommen, Vermögen</w:t>
            </w:r>
          </w:p>
        </w:tc>
        <w:tc>
          <w:tcPr>
            <w:tcW w:type="pct" w:w="1800"/>
            <w:shd w:fill="EDF3F5" w:val="clear"/>
            <w:tcMar>
              <w:top w:type="dxa" w:w="60"/>
              <w:left w:type="dxa" w:w="120"/>
              <w:bottom w:type="dxa" w:w="60"/>
              <w:right w:type="dxa" w:w="120"/>
            </w:tcMar>
          </w:tcPr>
          <w:p>
            <w:pPr>
              <w:spacing w:line="276"/>
            </w:pPr>
            <w:r>
              <w:rPr>
                <w:rFonts w:ascii="Calibri" w:hAnsi="Calibri"/>
                <w:color w:val="000000"/>
                <w:sz w:val="20"/>
                <w:szCs w:val="20"/>
              </w:rPr>
              <w:t xml:space="preserve">de.allgemein.lmg.calc.Leistungsberechnung</w:t>
            </w:r>
          </w:p>
        </w:tc>
        <w:tc>
          <w:tcPr>
            <w:tcW w:type="pct" w:w="1700"/>
            <w:shd w:fill="EDF3F5" w:val="clear"/>
            <w:tcMar>
              <w:top w:type="dxa" w:w="60"/>
              <w:left w:type="dxa" w:w="120"/>
              <w:bottom w:type="dxa" w:w="60"/>
              <w:right w:type="dxa" w:w="120"/>
            </w:tcMar>
          </w:tcPr>
          <w:p>
            <w:pPr>
              <w:spacing w:line="276"/>
            </w:pPr>
            <w:r>
              <w:rPr>
                <w:rFonts w:ascii="Calibri" w:hAnsi="Calibri"/>
                <w:color w:val="000000"/>
                <w:sz w:val="20"/>
                <w:szCs w:val="20"/>
              </w:rPr>
              <w:t xml:space="preserve">LeistungsberechnungTest, GoldWerteTest</w:t>
            </w:r>
          </w:p>
        </w:tc>
      </w:tr>
      <w:tr>
        <w:trPr>
          <w:cantSplit/>
        </w:trPr>
        <w:tc>
          <w:tcPr>
            <w:tcW w:type="pct" w:w="1500"/>
            <w:tcMar>
              <w:top w:type="dxa" w:w="60"/>
              <w:left w:type="dxa" w:w="120"/>
              <w:bottom w:type="dxa" w:w="60"/>
              <w:right w:type="dxa" w:w="120"/>
            </w:tcMar>
          </w:tcPr>
          <w:p>
            <w:pPr>
              <w:spacing w:line="276"/>
            </w:pPr>
            <w:r>
              <w:rPr>
                <w:rFonts w:ascii="Calibri" w:hAnsi="Calibri"/>
                <w:color w:val="000000"/>
                <w:sz w:val="20"/>
                <w:szCs w:val="20"/>
              </w:rPr>
              <w:t xml:space="preserve">Monatsplan (Satzwechsel, Entbindung, Vermögensverbrauch)</w:t>
            </w:r>
          </w:p>
        </w:tc>
        <w:tc>
          <w:tcPr>
            <w:tcW w:type="pct" w:w="1800"/>
            <w:tcMar>
              <w:top w:type="dxa" w:w="60"/>
              <w:left w:type="dxa" w:w="120"/>
              <w:bottom w:type="dxa" w:w="60"/>
              <w:right w:type="dxa" w:w="120"/>
            </w:tcMar>
          </w:tcPr>
          <w:p>
            <w:pPr>
              <w:spacing w:line="276"/>
            </w:pPr>
            <w:r>
              <w:rPr>
                <w:rFonts w:ascii="Calibri" w:hAnsi="Calibri"/>
                <w:color w:val="000000"/>
                <w:sz w:val="20"/>
                <w:szCs w:val="20"/>
              </w:rPr>
              <w:t xml:space="preserve">de.allgemein.lmg.calc.Bewilligungsplan</w:t>
            </w:r>
          </w:p>
        </w:tc>
        <w:tc>
          <w:tcPr>
            <w:tcW w:type="pct" w:w="1700"/>
            <w:tcMar>
              <w:top w:type="dxa" w:w="60"/>
              <w:left w:type="dxa" w:w="120"/>
              <w:bottom w:type="dxa" w:w="60"/>
              <w:right w:type="dxa" w:w="120"/>
            </w:tcMar>
          </w:tcPr>
          <w:p>
            <w:pPr>
              <w:spacing w:line="276"/>
            </w:pPr>
            <w:r>
              <w:rPr>
                <w:rFonts w:ascii="Calibri" w:hAnsi="Calibri"/>
                <w:color w:val="000000"/>
                <w:sz w:val="20"/>
                <w:szCs w:val="20"/>
              </w:rPr>
              <w:t xml:space="preserve">SzenarioRegressionTest, doc/regressionstests.md</w:t>
            </w:r>
          </w:p>
        </w:tc>
      </w:tr>
      <w:tr>
        <w:trPr>
          <w:cantSplit/>
        </w:trPr>
        <w:tc>
          <w:tcPr>
            <w:tcW w:type="pct" w:w="1500"/>
            <w:shd w:fill="EDF3F5" w:val="clear"/>
            <w:tcMar>
              <w:top w:type="dxa" w:w="60"/>
              <w:left w:type="dxa" w:w="120"/>
              <w:bottom w:type="dxa" w:w="60"/>
              <w:right w:type="dxa" w:w="120"/>
            </w:tcMar>
          </w:tcPr>
          <w:p>
            <w:pPr>
              <w:spacing w:line="276"/>
            </w:pPr>
            <w:r>
              <w:rPr>
                <w:rFonts w:ascii="Calibri" w:hAnsi="Calibri"/>
                <w:color w:val="000000"/>
                <w:sz w:val="20"/>
                <w:szCs w:val="20"/>
              </w:rPr>
              <w:t xml:space="preserve">Regelbedarfsstufen je Jahr</w:t>
            </w:r>
          </w:p>
        </w:tc>
        <w:tc>
          <w:tcPr>
            <w:tcW w:type="pct" w:w="1800"/>
            <w:shd w:fill="EDF3F5" w:val="clear"/>
            <w:tcMar>
              <w:top w:type="dxa" w:w="60"/>
              <w:left w:type="dxa" w:w="120"/>
              <w:bottom w:type="dxa" w:w="60"/>
              <w:right w:type="dxa" w:w="120"/>
            </w:tcMar>
          </w:tcPr>
          <w:p>
            <w:pPr>
              <w:spacing w:line="276"/>
            </w:pPr>
            <w:r>
              <w:rPr>
                <w:rFonts w:ascii="Calibri" w:hAnsi="Calibri"/>
                <w:color w:val="000000"/>
                <w:sz w:val="20"/>
                <w:szCs w:val="20"/>
              </w:rPr>
              <w:t xml:space="preserve">Tabelle SATZSTAND, SatzstandDao</w:t>
            </w:r>
          </w:p>
        </w:tc>
        <w:tc>
          <w:tcPr>
            <w:tcW w:type="pct" w:w="1700"/>
            <w:shd w:fill="EDF3F5" w:val="clear"/>
            <w:tcMar>
              <w:top w:type="dxa" w:w="60"/>
              <w:left w:type="dxa" w:w="120"/>
              <w:bottom w:type="dxa" w:w="60"/>
              <w:right w:type="dxa" w:w="120"/>
            </w:tcMar>
          </w:tcPr>
          <w:p>
            <w:pPr>
              <w:spacing w:line="276"/>
            </w:pPr>
            <w:r>
              <w:rPr>
                <w:rFonts w:ascii="Calibri" w:hAnsi="Calibri"/>
                <w:color w:val="000000"/>
                <w:sz w:val="20"/>
                <w:szCs w:val="20"/>
              </w:rPr>
              <w:t xml:space="preserve">SatzstandDbTest; ddl/lmg_seed.sql</w:t>
            </w:r>
          </w:p>
        </w:tc>
      </w:tr>
      <w:tr>
        <w:trPr>
          <w:cantSplit/>
        </w:trPr>
        <w:tc>
          <w:tcPr>
            <w:tcW w:type="pct" w:w="1500"/>
            <w:tcMar>
              <w:top w:type="dxa" w:w="60"/>
              <w:left w:type="dxa" w:w="120"/>
              <w:bottom w:type="dxa" w:w="60"/>
              <w:right w:type="dxa" w:w="120"/>
            </w:tcMar>
          </w:tcPr>
          <w:p>
            <w:pPr>
              <w:spacing w:line="276"/>
            </w:pPr>
            <w:r>
              <w:rPr>
                <w:rFonts w:ascii="Calibri" w:hAnsi="Calibri"/>
                <w:color w:val="000000"/>
                <w:sz w:val="20"/>
                <w:szCs w:val="20"/>
              </w:rPr>
              <w:t xml:space="preserve">Vermögenseinsatz und Rückbuchung</w:t>
            </w:r>
          </w:p>
        </w:tc>
        <w:tc>
          <w:tcPr>
            <w:tcW w:type="pct" w:w="1800"/>
            <w:tcMar>
              <w:top w:type="dxa" w:w="60"/>
              <w:left w:type="dxa" w:w="120"/>
              <w:bottom w:type="dxa" w:w="60"/>
              <w:right w:type="dxa" w:w="120"/>
            </w:tcMar>
          </w:tcPr>
          <w:p>
            <w:pPr>
              <w:spacing w:line="276"/>
            </w:pPr>
            <w:r>
              <w:rPr>
                <w:rFonts w:ascii="Calibri" w:hAnsi="Calibri"/>
                <w:color w:val="000000"/>
                <w:sz w:val="20"/>
                <w:szCs w:val="20"/>
              </w:rPr>
              <w:t xml:space="preserve">SozialLeistungsService (Auszahlung, Storno)</w:t>
            </w:r>
          </w:p>
        </w:tc>
        <w:tc>
          <w:tcPr>
            <w:tcW w:type="pct" w:w="1700"/>
            <w:tcMar>
              <w:top w:type="dxa" w:w="60"/>
              <w:left w:type="dxa" w:w="120"/>
              <w:bottom w:type="dxa" w:w="60"/>
              <w:right w:type="dxa" w:w="120"/>
            </w:tcMar>
          </w:tcPr>
          <w:p>
            <w:pPr>
              <w:spacing w:line="276"/>
            </w:pPr>
            <w:r>
              <w:rPr>
                <w:rFonts w:ascii="Calibri" w:hAnsi="Calibri"/>
                <w:color w:val="000000"/>
                <w:sz w:val="20"/>
                <w:szCs w:val="20"/>
              </w:rPr>
              <w:t xml:space="preserve">VermoegensfortschriebDbTest</w:t>
            </w:r>
          </w:p>
        </w:tc>
      </w:tr>
      <w:tr>
        <w:trPr>
          <w:cantSplit/>
        </w:trPr>
        <w:tc>
          <w:tcPr>
            <w:tcW w:type="pct" w:w="1500"/>
            <w:shd w:fill="EDF3F5" w:val="clear"/>
            <w:tcMar>
              <w:top w:type="dxa" w:w="60"/>
              <w:left w:type="dxa" w:w="120"/>
              <w:bottom w:type="dxa" w:w="60"/>
              <w:right w:type="dxa" w:w="120"/>
            </w:tcMar>
          </w:tcPr>
          <w:p>
            <w:pPr>
              <w:spacing w:line="276"/>
            </w:pPr>
            <w:r>
              <w:rPr>
                <w:rFonts w:ascii="Calibri" w:hAnsi="Calibri"/>
                <w:color w:val="000000"/>
                <w:sz w:val="20"/>
                <w:szCs w:val="20"/>
              </w:rPr>
              <w:t xml:space="preserve">Bescheid mit gespeichertem Rechenweg</w:t>
            </w:r>
          </w:p>
        </w:tc>
        <w:tc>
          <w:tcPr>
            <w:tcW w:type="pct" w:w="1800"/>
            <w:shd w:fill="EDF3F5" w:val="clear"/>
            <w:tcMar>
              <w:top w:type="dxa" w:w="60"/>
              <w:left w:type="dxa" w:w="120"/>
              <w:bottom w:type="dxa" w:w="60"/>
              <w:right w:type="dxa" w:w="120"/>
            </w:tcMar>
          </w:tcPr>
          <w:p>
            <w:pPr>
              <w:spacing w:line="276"/>
            </w:pPr>
            <w:r>
              <w:rPr>
                <w:rFonts w:ascii="Calibri" w:hAnsi="Calibri"/>
                <w:color w:val="000000"/>
                <w:sz w:val="20"/>
                <w:szCs w:val="20"/>
              </w:rPr>
              <w:t xml:space="preserve">BescheidDao, BescheidGenerator, BerechnungsSnapshot</w:t>
            </w:r>
          </w:p>
        </w:tc>
        <w:tc>
          <w:tcPr>
            <w:tcW w:type="pct" w:w="1700"/>
            <w:shd w:fill="EDF3F5" w:val="clear"/>
            <w:tcMar>
              <w:top w:type="dxa" w:w="60"/>
              <w:left w:type="dxa" w:w="120"/>
              <w:bottom w:type="dxa" w:w="60"/>
              <w:right w:type="dxa" w:w="120"/>
            </w:tcMar>
          </w:tcPr>
          <w:p>
            <w:pPr>
              <w:spacing w:line="276"/>
            </w:pPr>
            <w:r>
              <w:rPr>
                <w:rFonts w:ascii="Calibri" w:hAnsi="Calibri"/>
                <w:color w:val="000000"/>
                <w:sz w:val="20"/>
                <w:szCs w:val="20"/>
              </w:rPr>
              <w:t xml:space="preserve">doc/leistungsmanagement.md</w:t>
            </w:r>
          </w:p>
        </w:tc>
      </w:tr>
      <w:tr>
        <w:trPr>
          <w:cantSplit/>
        </w:trPr>
        <w:tc>
          <w:tcPr>
            <w:tcW w:type="pct" w:w="1500"/>
            <w:tcMar>
              <w:top w:type="dxa" w:w="60"/>
              <w:left w:type="dxa" w:w="120"/>
              <w:bottom w:type="dxa" w:w="60"/>
              <w:right w:type="dxa" w:w="120"/>
            </w:tcMar>
          </w:tcPr>
          <w:p>
            <w:pPr>
              <w:spacing w:line="276"/>
            </w:pPr>
            <w:r>
              <w:rPr>
                <w:rFonts w:ascii="Calibri" w:hAnsi="Calibri"/>
                <w:color w:val="000000"/>
                <w:sz w:val="20"/>
                <w:szCs w:val="20"/>
              </w:rPr>
              <w:t xml:space="preserve">Rechtsgrundlagen aller Beträge und Normen</w:t>
            </w:r>
          </w:p>
        </w:tc>
        <w:tc>
          <w:tcPr>
            <w:tcW w:type="pct" w:w="1800"/>
            <w:tcMar>
              <w:top w:type="dxa" w:w="60"/>
              <w:left w:type="dxa" w:w="120"/>
              <w:bottom w:type="dxa" w:w="60"/>
              <w:right w:type="dxa" w:w="120"/>
            </w:tcMar>
          </w:tcPr>
          <w:p>
            <w:pPr>
              <w:spacing w:line="276"/>
            </w:pPr>
            <w:r>
              <w:rPr>
                <w:rFonts w:ascii="Calibri" w:hAnsi="Calibri"/>
                <w:color w:val="000000"/>
                <w:sz w:val="20"/>
                <w:szCs w:val="20"/>
              </w:rPr>
              <w:t xml:space="preserve">—</w:t>
            </w:r>
          </w:p>
        </w:tc>
        <w:tc>
          <w:tcPr>
            <w:tcW w:type="pct" w:w="1700"/>
            <w:tcMar>
              <w:top w:type="dxa" w:w="60"/>
              <w:left w:type="dxa" w:w="120"/>
              <w:bottom w:type="dxa" w:w="60"/>
              <w:right w:type="dxa" w:w="120"/>
            </w:tcMar>
          </w:tcPr>
          <w:p>
            <w:pPr>
              <w:spacing w:line="276"/>
            </w:pPr>
            <w:r>
              <w:rPr>
                <w:rFonts w:ascii="Calibri" w:hAnsi="Calibri"/>
                <w:color w:val="000000"/>
                <w:sz w:val="20"/>
                <w:szCs w:val="20"/>
              </w:rPr>
              <w:t xml:space="preserve">doc/rechtsgrundlagen.md (amtlich verifiziert 2026-10-10)</w:t>
            </w:r>
          </w:p>
        </w:tc>
      </w:tr>
    </w:tbl>
    <w:p>
      <w:pPr>
        <w:keepNext/>
        <w:spacing w:after="120" w:before="120" w:line="312"/>
        <w:jc w:val="both"/>
      </w:pPr>
      <w:r>
        <w:rPr>
          <w:rFonts w:ascii="Calibri" w:hAnsi="Calibri"/>
          <w:b/>
          <w:bCs/>
          <w:color w:val="0E2A33"/>
          <w:sz w:val="22"/>
          <w:szCs w:val="22"/>
        </w:rPr>
        <w:t xml:space="preserve">Bewusste Vereinfachungen </w:t>
      </w:r>
      <w:r>
        <w:rPr>
          <w:rFonts w:ascii="Calibri" w:hAnsi="Calibri"/>
          <w:color w:val="000000"/>
          <w:sz w:val="22"/>
          <w:szCs w:val="22"/>
        </w:rPr>
        <w:t xml:space="preserve">damit niemand Überraschungen erlebt — diese Regeln des SGB XII sind </w:t>
      </w:r>
      <w:r>
        <w:rPr>
          <w:rFonts w:ascii="Calibri" w:hAnsi="Calibri"/>
          <w:i/>
          <w:iCs/>
          <w:color w:val="000000"/>
          <w:sz w:val="22"/>
          <w:szCs w:val="22"/>
        </w:rPr>
        <w:t xml:space="preserve">nicht</w:t>
      </w:r>
      <w:r>
        <w:rPr>
          <w:rFonts w:ascii="Calibri" w:hAnsi="Calibri"/>
          <w:color w:val="000000"/>
          <w:sz w:val="22"/>
          <w:szCs w:val="22"/>
        </w:rPr>
        <w:t xml:space="preserve"> automatisiert (Stand 0.5.8, alles dokumentiert):</w:t>
      </w:r>
    </w:p>
    <w:p>
      <w:pPr>
        <w:pStyle w:val="ListParagraph"/>
        <w:numPr>
          <w:ilvl w:val="0"/>
          <w:numId w:val="1"/>
        </w:numPr>
        <w:spacing w:after="80" w:line="312"/>
        <w:jc w:val="both"/>
      </w:pPr>
      <w:r>
        <w:rPr>
          <w:rFonts w:ascii="Calibri" w:hAnsi="Calibri"/>
          <w:color w:val="000000"/>
          <w:sz w:val="22"/>
          <w:szCs w:val="22"/>
        </w:rPr>
        <w:t xml:space="preserve">Karenzzeit und Absenkungsfrist bei unangemessenen Wohnkosten (§ 35 Abs. 1 Satz 2–9, Abs. 3 Satz 2–5 SGB XII)</w:t>
      </w:r>
    </w:p>
    <w:p>
      <w:pPr>
        <w:pStyle w:val="ListParagraph"/>
        <w:numPr>
          <w:ilvl w:val="0"/>
          <w:numId w:val="1"/>
        </w:numPr>
        <w:spacing w:after="80" w:line="312"/>
        <w:jc w:val="both"/>
      </w:pPr>
      <w:r>
        <w:rPr>
          <w:rFonts w:ascii="Calibri" w:hAnsi="Calibri"/>
          <w:color w:val="000000"/>
          <w:sz w:val="22"/>
          <w:szCs w:val="22"/>
        </w:rPr>
        <w:t xml:space="preserve">Sonderfreibeträge für zusätzliche Altersvorsorge und Aufwandsentschädigungen (§ 82 Abs. 4, 5 SGB XII)</w:t>
      </w:r>
    </w:p>
    <w:p>
      <w:pPr>
        <w:pStyle w:val="ListParagraph"/>
        <w:numPr>
          <w:ilvl w:val="0"/>
          <w:numId w:val="1"/>
        </w:numPr>
        <w:spacing w:after="80" w:line="312"/>
        <w:jc w:val="both"/>
      </w:pPr>
      <w:r>
        <w:rPr>
          <w:rFonts w:ascii="Calibri" w:hAnsi="Calibri"/>
          <w:color w:val="000000"/>
          <w:sz w:val="22"/>
          <w:szCs w:val="22"/>
        </w:rPr>
        <w:t xml:space="preserve">Kapitalerträge bis 26 EUR jährlich und der Unterhaltsrückgriff oberhalb von 100.000 EUR Jahreseinkommen (§ 43 Abs. 2, § 94 Abs. 1a SGB XII)</w:t>
      </w:r>
    </w:p>
    <w:p>
      <w:pPr>
        <w:pStyle w:val="ListParagraph"/>
        <w:numPr>
          <w:ilvl w:val="0"/>
          <w:numId w:val="1"/>
        </w:numPr>
        <w:spacing w:after="80" w:line="312"/>
        <w:jc w:val="both"/>
      </w:pPr>
      <w:r>
        <w:rPr>
          <w:rFonts w:ascii="Calibri" w:hAnsi="Calibri"/>
          <w:color w:val="000000"/>
          <w:sz w:val="22"/>
          <w:szCs w:val="22"/>
        </w:rPr>
        <w:t xml:space="preserve">Nachzahlungen und Aufrechnung — berechnet wird immer der aktuelle Monat, kein Rückwirkungsautomatismus (§ 44 Abs. 2 SGB XII)</w:t>
      </w:r>
    </w:p>
    <w:p>
      <w:pPr>
        <w:pStyle w:val="ListParagraph"/>
        <w:numPr>
          <w:ilvl w:val="0"/>
          <w:numId w:val="1"/>
        </w:numPr>
        <w:spacing w:after="80" w:line="312"/>
        <w:jc w:val="both"/>
      </w:pPr>
      <w:r>
        <w:rPr>
          <w:rFonts w:ascii="Calibri" w:hAnsi="Calibri"/>
          <w:color w:val="000000"/>
          <w:sz w:val="22"/>
          <w:szCs w:val="22"/>
        </w:rPr>
        <w:t xml:space="preserve">Warmwasser-Abzug und Angemessenheitsgrenze sind örtliche Parameter und im Standard ausgeschaltet</w:t>
      </w:r>
    </w:p>
    <w:p>
      <w:pPr>
        <w:spacing w:after="120" w:before="0" w:line="312"/>
        <w:jc w:val="both"/>
      </w:pPr>
      <w:r>
        <w:rPr>
          <w:rFonts w:ascii="Calibri" w:hAnsi="Calibri"/>
          <w:color w:val="000000"/>
          <w:sz w:val="22"/>
          <w:szCs w:val="22"/>
        </w:rPr>
        <w:t xml:space="preserve">Damit schließt sich der Kreis: Die Grundformel aus Kapitel 1 — </w:t>
      </w:r>
      <w:r>
        <w:rPr>
          <w:rFonts w:ascii="Calibri" w:hAnsi="Calibri"/>
          <w:b/>
          <w:bCs/>
          <w:color w:val="0E2A33"/>
          <w:sz w:val="22"/>
          <w:szCs w:val="22"/>
        </w:rPr>
        <w:t xml:space="preserve">Zahlbetrag = Bedarf − Einkommen − verwertbares Vermögen</w:t>
      </w:r>
      <w:r>
        <w:rPr>
          <w:rFonts w:ascii="Calibri" w:hAnsi="Calibri"/>
          <w:color w:val="000000"/>
          <w:sz w:val="22"/>
          <w:szCs w:val="22"/>
        </w:rPr>
        <w:t xml:space="preserve"> — ist in der Anwendung keine Abkürzung, sondern der wörtliche Bauplan: Schritt A, B und C erzeugen genau diese drei Größen, der Monatsplan wiederholt sie je Bescheidmonat, und die Auszahlungskette sorgt dafür, dass am Ende genau dieser Betrag — und kein anderer — ankommt.</w:t>
      </w:r>
    </w:p>
    <w:sectPr>
      <w:headerReference w:type="default" r:id="rId7"/>
      <w:footerReference w:type="default" r:id="rId8"/>
      <w:type w:val="nextPage"/>
      <w:pgSz w:w="11906" w:h="16838" w:orient="portrait"/>
      <w:pgMar w:top="1440" w:right="1417" w:bottom="1440" w:left="1701" w:header="708" w:footer="708" w:gutter="0"/>
      <w:pgNumType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hAnsi="Calibri"/>
        <w:color w:val="888888"/>
        <w:sz w:val="18"/>
        <w:szCs w:val="18"/>
      </w:rPr>
      <w:fldChar w:fldCharType="begin"/>
      <w:instrText xml:space="preserve"> PAGE \* arabic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hAnsi="Calibri"/>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Calibri" w:hAnsi="Calibri"/>
        <w:color w:val="999999"/>
        <w:sz w:val="16"/>
        <w:szCs w:val="16"/>
      </w:rPr>
      <w:t xml:space="preserve">So wird ein SozialFall berechnet · SDN.Leistung LMG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20" w:hanging="360"/>
      </w:pPr>
    </w:lvl>
  </w:abstractNum>
  <w:abstractNum w:abstractNumId="3" w15:restartNumberingAfterBreak="0">
    <w:multiLevelType w:val="hybridMultilevel"/>
    <w:lvl w:ilvl="0" w:tentative="1">
      <w:start w:val="1"/>
      <w:numFmt w:val="decimal"/>
      <w:lvlText w:val="%1."/>
      <w:lvlJc w:val="left"/>
      <w:pPr>
        <w:ind w:left="620" w:hanging="360"/>
      </w:pPr>
    </w:lvl>
  </w:abstractNum>
  <w:abstractNum w:abstractNumId="4" w15:restartNumberingAfterBreak="0">
    <w:multiLevelType w:val="hybridMultilevel"/>
    <w:lvl w:ilvl="0" w: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olor w:val="000000"/>
        <w:sz w:val="22"/>
        <w:szCs w:val="22"/>
        <w:lang w:val="de-DE" w:eastAsia="de-DE"/>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Arial" w:hAnsi="Arial"/>
      <w:b/>
      <w:bCs/>
      <w:color w:val="0E2A33"/>
      <w:sz w:val="32"/>
      <w:szCs w:val="32"/>
    </w:rPr>
  </w:style>
  <w:style w:type="paragraph" w:styleId="Heading2">
    <w:name w:val="Heading 2"/>
    <w:basedOn w:val="Normal"/>
    <w:next w:val="Normal"/>
    <w:qFormat/>
    <w:pPr>
      <w:spacing w:after="140" w:before="300" w:line="312"/>
      <w:outlineLvl w:val="1"/>
    </w:pPr>
    <w:rPr>
      <w:rFonts w:ascii="Arial" w:hAnsi="Arial"/>
      <w:b/>
      <w:bCs/>
      <w:color w:val="1B6B7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1fa8c580de9b1d14c0b2f7c4c3eb74bc46e4ce8e.png"/><Relationship Id="rId11" Type="http://schemas.openxmlformats.org/officeDocument/2006/relationships/image" Target="media/b943e1c91d1f9195afba5dbdffe15a176de0679c.png"/><Relationship Id="rId12" Type="http://schemas.openxmlformats.org/officeDocument/2006/relationships/image" Target="media/b4d4d01714768f3339aea58e4fc420dd551e1a96.png"/><Relationship Id="rId13" Type="http://schemas.openxmlformats.org/officeDocument/2006/relationships/image" Target="media/1d221effa132a0f3c244fcb09be64acfd3b83851.png"/><Relationship Id="rId14" Type="http://schemas.openxmlformats.org/officeDocument/2006/relationships/image" Target="media/930ba130a6880287062232105f859252708aea01.png"/><Relationship Id="rId15" Type="http://schemas.openxmlformats.org/officeDocument/2006/relationships/image" Target="media/c47356bf5db47f28ad5e3cb93eaaa8325537ba02.png"/><Relationship Id="rId16" Type="http://schemas.openxmlformats.org/officeDocument/2006/relationships/image" Target="media/f6e622a59633195b5fc08f4ce9d3289feff1643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wird ein SozialFall berechnet</dc:title>
  <dc:creator>SDN.Leistung LMG</dc:creator>
  <dc:description>Die Grundsicherungs-Berechnung (SGB XII) in SDN.Leistung — einfach erklärt mit Fluss- und Ablaufdiagrammen</dc:description>
  <cp:lastModifiedBy>Un-named</cp:lastModifiedBy>
  <cp:revision>1</cp:revision>
  <dcterms:created xsi:type="dcterms:W3CDTF">2026-10-13T08:14:58.188Z</dcterms:created>
  <dcterms:modified xsi:type="dcterms:W3CDTF">2026-10-13T08:14:58.188Z</dcterms:modified>
</cp:coreProperties>
</file>

<file path=docProps/custom.xml><?xml version="1.0" encoding="utf-8"?>
<Properties xmlns="http://schemas.openxmlformats.org/officeDocument/2006/custom-properties" xmlns:vt="http://schemas.openxmlformats.org/officeDocument/2006/docPropsVTypes"/>
</file>