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638"/>
      </w:tblGrid>
      <w:tr>
        <w:tc>
          <w:tcPr>
            <w:tcBorders>
              <w:top w:val="none"/>
              <w:left w:val="single" w:color="37DCF2" w:sz="12"/>
              <w:bottom w:val="none"/>
              <w:right w:val="none"/>
            </w:tcBorders>
            <w:shd w:fill="162235" w:val="clear"/>
            <w:tcMar>
              <w:top w:type="dxa" w:w="180"/>
              <w:left w:type="dxa" w:w="560"/>
              <w:bottom w:type="dxa" w:w="180"/>
              <w:right w:type="dxa" w:w="560"/>
            </w:tcMar>
          </w:tcPr>
          <w:p>
            <w:pPr>
              <w:spacing w:after="0" w:before="200"/>
            </w:pPr>
            <w:r>
              <w:rPr>
                <w:rFonts w:ascii="Calibri" w:hAnsi="Calibri"/>
                <w:b/>
                <w:bCs/>
                <w:color w:val="37DCF2"/>
                <w:spacing w:val="60"/>
                <w:sz w:val="20"/>
                <w:szCs w:val="20"/>
              </w:rPr>
              <w:t xml:space="preserve">TESTZERTIFIKAT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bCs/>
                <w:color w:val="FFFFFF"/>
                <w:sz w:val="40"/>
                <w:szCs w:val="40"/>
              </w:rPr>
              <w:t xml:space="preserve">Fachschicht SDN.Leistung LMG</w:t>
            </w:r>
          </w:p>
          <w:p>
            <w:pPr>
              <w:pBdr>
                <w:bottom w:val="single" w:color="37DCF2" w:sz="6" w:space="8"/>
              </w:pBdr>
              <w:spacing w:after="120"/>
            </w:pPr>
            <w:r>
              <w:rPr>
                <w:rFonts w:ascii="Calibri" w:hAnsi="Calibri"/>
                <w:color w:val="B0B8C0"/>
                <w:sz w:val="22"/>
                <w:szCs w:val="22"/>
              </w:rPr>
              <w:t xml:space="preserve">Leistungsmanagement Grundsicherung (SGB XII) — Berechnung, Bescheid und Auszahlung</w:t>
            </w:r>
          </w:p>
          <w:p>
            <w:pPr>
              <w:spacing w:after="30" w:before="100"/>
            </w:pPr>
            <w:r>
              <w:rPr>
                <w:rFonts w:ascii="Calibri" w:hAnsi="Calibri"/>
                <w:b/>
                <w:bCs/>
                <w:color w:val="0E2A33"/>
                <w:sz w:val="22"/>
                <w:szCs w:val="22"/>
              </w:rPr>
              <w:t xml:space="preserve">Gegenstand: </w:t>
            </w:r>
            <w:r>
              <w:rPr>
                <w:rFonts w:ascii="Calibri" w:hAnsi="Calibri"/>
                <w:color w:val="000000"/>
                <w:sz w:val="21"/>
                <w:szCs w:val="21"/>
              </w:rPr>
              <w:t xml:space="preserve">Berechnung, Bescheiderteilung und Auszahlungskette wurden in zehn Qualitätsschichten geprüft (inkl. Code-Reviews durch unterschiedliche KIs); Laufzahlen und LLM-Datum automatisch erhoben.</w:t>
            </w:r>
          </w:p>
          <w:p>
            <w:pPr>
              <w:spacing w:after="100" w:before="90"/>
            </w:pPr>
            <w:r>
              <w:rPr>
                <w:rFonts w:ascii="Calibri" w:hAnsi="Calibri"/>
                <w:b/>
                <w:bCs/>
                <w:color w:val="1E8E3E"/>
                <w:sz w:val="24"/>
                <w:szCs w:val="24"/>
              </w:rPr>
              <w:t xml:space="preserve">Prüfungsverdict: BESTANDEN — 0 offene Befunde über alle Schichten.</w:t>
            </w:r>
          </w:p>
          <w:p>
            <w:pPr>
              <w:spacing w:after="100"/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</w:rPr>
              <w:t xml:space="preserve">Geprüfte Qualitätsschichten</w:t>
            </w:r>
          </w:p>
          <w:tbl>
            <w:tblPr>
              <w:tblW w:type="pct" w:w="5000"/>
              <w:tblBorders>
                <w:top w:val="single" w:color="1B6B7A" w:sz="4"/>
                <w:left w:val="none"/>
                <w:bottom w:val="single" w:color="1B6B7A" w:sz="4"/>
                <w:right w:val="none"/>
                <w:insideH w:val="single" w:color="C8DDE2" w:sz="1"/>
                <w:insideV w:val="none"/>
              </w:tblBorders>
              <w:tblLayout w:type="fixed"/>
            </w:tblPr>
            <w:tblGrid>
              <w:gridCol w:w="578"/>
              <w:gridCol w:w="9060"/>
            </w:tblGrid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Unit-Tests der Fach- und Kernschicht — 249/249 grün (manuell gepflegt, Stand 2026-10-12)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Version 0.5.8 (Commit 6199fc3); mvn test — Zahl hier im Generator nach jedem Testlauf aktualisieren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Goldwerte — 9 von Hand gerechnete Referenzfälle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GoldWerteTest; Werte aus doc/regressionstests.md handgerechnet und eingefroren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Szenario-Regression — 10 Nutzer-Szenarien mit SQL-Endzustandsprüfung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SzenarioRegressionTest (mit TX_URL); Testfälle dokumentiert in doc/regressionstests.md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testsweet Positivfälle (Fachschicht) — 500/500 verifiziert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Automatisch erhoben am 2026-10-13 aus testsweet/logs/run-20261013-112039 (Lauf vom 2026-10-13)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testsweet Negativfälle (Fachschicht) — 500/500 verifiziert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Automatisch erhoben am 2026-10-13 aus testsweet/logs/run-20261013-111840 (Lauf vom 2026-10-13)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testsweet über die Weboberfläche (Selenium) — 60/60 + 60/60 verifiziert (manuell gepflegt)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Modus 2 mit echten Chrome-Fenstern gegen die SDN.Leistung-Oberfläche (Referenzläufe 2026-10-11/12)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testsweet Lasttest — 600/600 verifiziert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Automatisch erhoben am 2026-10-13 aus testsweet/logs/run-20261013-122937 (Lauf vom 2026-10-13)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testsweet Stresstest — 4000/4000 verifiziert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Automatisch erhoben am 2026-10-13 aus testsweet/logs/run-20261013-122957 (Lauf vom 2026-10-13)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LLM-Nachrechnung — 54/54 Rechenbloecke bestaetigt · 0 Abweichungen (GLM-5.3 — unabhaengige Zweitimplementierung der Rechenkette, 2026-10-13)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Geprüft: 49 Faelle einzeln nachgerechnet · Unterlagen: gesetzesgrundlagen-2026.md, llm-pruefauftrag.txt, Pruefmenge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3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bCs/>
                      <w:color w:val="1E8E3E"/>
                      <w:sz w:val="30"/>
                      <w:szCs w:val="30"/>
                    </w:rPr>
                    <w:t xml:space="preserve">✓</w:t>
                  </w:r>
                </w:p>
              </w:tc>
              <w:tc>
                <w:tcPr>
                  <w:tcW w:type="pct" w:w="4700"/>
                  <w:shd w:fill="E6F4EA" w:val="clear"/>
                  <w:tcMar>
                    <w:top w:type="dxa" w:w="40"/>
                    <w:left w:type="dxa" w:w="120"/>
                    <w:bottom w:type="dxa" w:w="40"/>
                    <w:right w:type="dxa" w:w="120"/>
                  </w:tcMar>
                </w:tcPr>
                <w:p>
                  <w:pPr>
                    <w:spacing w:after="40" w:line="276"/>
                  </w:pPr>
                  <w:r>
                    <w:rPr>
                      <w:rFonts w:ascii="Calibri" w:hAnsi="Calibri"/>
                      <w:b/>
                      <w:bCs/>
                      <w:color w:val="0E2A33"/>
                      <w:sz w:val="22"/>
                      <w:szCs w:val="22"/>
                    </w:rPr>
                    <w:t xml:space="preserve">Code-Reviews durch unterschiedliche KIs — wiederholt, gegengeprüft, behoben</w:t>
                  </w:r>
                </w:p>
                <w:p>
                  <w:pPr>
                    <w:spacing w:line="248"/>
                  </w:pPr>
                  <w:r>
                    <w:rPr>
                      <w:rFonts w:ascii="Calibri" w:hAnsi="Calibri"/>
                      <w:color w:val="5A6B73"/>
                      <w:sz w:val="18"/>
                      <w:szCs w:val="18"/>
                    </w:rPr>
                    <w:t xml:space="preserve">Allumfassendes Review 2026-10-12 (75 Befunde → alle behoben) + Gegenprüfungen + zweite Fremd-Härtung</w:t>
                  </w:r>
                </w:p>
              </w:tc>
            </w:tr>
          </w:tbl>
          <w:p>
            <w:pPr>
              <w:spacing w:after="20" w:before="120" w:line="252"/>
            </w:pPr>
            <w:r>
              <w:rPr>
                <w:rFonts w:ascii="Calibri" w:hAnsi="Calibri"/>
                <w:color w:val="B0B8C0"/>
                <w:sz w:val="17"/>
                <w:szCs w:val="17"/>
              </w:rPr>
              <w:t xml:space="preserve">Erhebungsstand (automatisch): erhoben am 2026-10-13 aus testsweet/logs (je Kategorie der umfassendste erfolgreiche Lauf). LLM-Nachrechnung: 2026-10-13 (llm-nachrechnung-2026-10-13-auto-1328.md, Ablageort doc/testzertifikat-werkzeug/). MD-Datenstand: 2026-10-13 (testsweet/logs/run-20261013-115159). Manuell gepflegt: mvn-Testzahl 249/249 (Stand 2026-10-12), Web-Modus-Referenzläufe.</w:t>
            </w:r>
          </w:p>
          <w:p>
            <w:pPr>
              <w:pBdr>
                <w:top w:val="single" w:color="C8DDE2" w:sz="2" w:space="8"/>
              </w:pBdr>
              <w:spacing w:before="140"/>
            </w:pPr>
            <w:r>
              <w:rPr>
                <w:rFonts w:ascii="Calibri" w:hAnsi="Calibri"/>
                <w:color w:val="5A6B73"/>
                <w:sz w:val="18"/>
                <w:szCs w:val="18"/>
              </w:rPr>
              <w:t xml:space="preserve">Version 0.5.8 (Commit 6199fc3) · Referenzjahr 2026 · Beträge gegen gesetze-im-internet.de verifiziert (doc/rechtsgrundlagen.md, 2026-10-10) · Ausgestellt am 2026-10-13</w:t>
            </w:r>
          </w:p>
          <w:p>
            <w:pPr>
              <w:spacing w:after="0" w:before="120"/>
              <w:jc w:val="left"/>
            </w:pPr>
            <w:r>
              <w:rPr>
                <w:rFonts w:ascii="Calibri" w:hAnsi="Calibri"/>
                <w:i/>
                <w:iCs/>
                <w:color w:val="5A6B73"/>
                <w:sz w:val="18"/>
                <w:szCs w:val="18"/>
              </w:rPr>
              <w:t xml:space="preserve">Fortsetzung auf Seite 2: Was jede Prüfschicht tut, wie sie arbeitet und wo ihr Ergebnis nachlesbar ist.</w:t>
            </w:r>
          </w:p>
        </w:tc>
      </w:tr>
    </w:tbl>
    <w:p>
      <w:pPr>
        <w:sectPr>
          <w:pgSz w:w="11906" w:h="16838" w:orient="portrait"/>
          <w:pgMar w:top="620" w:right="1134" w:bottom="520" w:left="1134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1B6B7A" w:sz="6" w:space="6"/>
        </w:pBdr>
        <w:spacing w:after="240" w:before="120" w:line="312"/>
      </w:pPr>
      <w:r>
        <w:rPr>
          <w:rFonts w:ascii="Arial" w:hAnsi="Arial"/>
          <w:b/>
          <w:bCs/>
          <w:color w:val="0E2A33"/>
          <w:sz w:val="32"/>
          <w:szCs w:val="32"/>
        </w:rPr>
        <w:t xml:space="preserve">Die zehn Qualitätsschichten im Einzelnen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Zehn Prüfungen mit bewusst unterschiedlicher Fehlerabdeckung: Formelfehler (Goldwerte, LLM-Nachrechnung), Zusammenspiel mit Datenbank und Parallelität (Regression, testsweet, Last/Stress), Bedienoberfläche (Modus 2), Transaktionssteuerung (Unit-Tests) und Schwächen, die Tests nicht sehen (Reviews durch unterschiedliche KIs).</w:t>
      </w:r>
    </w:p>
    <w:p>
      <w:pPr>
        <w:spacing w:after="120" w:before="0" w:line="312"/>
        <w:jc w:val="both"/>
      </w:pPr>
      <w:r>
        <w:rPr>
          <w:rFonts w:ascii="Calibri" w:hAnsi="Calibri"/>
          <w:b/>
          <w:bCs/>
          <w:i w:val="false"/>
          <w:iCs w:val="false"/>
          <w:color w:val="0E2A33"/>
          <w:sz w:val="22"/>
          <w:szCs w:val="22"/>
        </w:rPr>
        <w:t xml:space="preserve">Ehrlichkeitsprinzip: </w:t>
      </w: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testsweet-Zeilen und das LLM-Protokolldatum werden beim Erzeugen automatisch aus testsweet/logs bzw. dem Werkzeugordner erhoben. Die mvn-Testzahl und die Web-Modus-Referenzläufe sind als manuell gepflegt gekennzeichnet. Fehlt etwas oder ist die LLM-Nachrechnung älter als die Testdokumentation, erscheint ein gelbes Ausrufezeichen statt des grünen Häkchens und ein Hinweis — dann ist das Zertifikat noch nicht belastbar.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1. Unit-Tests der Fach- und Kernschicht — 249/249 grün (manuell gepflegt, Stand 2026-10-12)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Version 0.5.8 (Commit 6199fc3); mvn test — Zahl hier im Generator nach jedem Testlauf aktualisieren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gesamte Berechnungs- und Transaktionslogik ist ohne Fenstereingaben testbar: TxManager (Rollback auch bei OOM, Retry bei ORA-00054/60/08177 inkl. echtem Deadlock-Test), SagaEngine mit Journal und Wiederanlauf, TaskController mit Wachhund, jeden §-30-Zuschlag mit Deckel, die KdU-Dreiteilung, § 82-Kette mit Freibetragskappung, Vermögensanrechnung und -verbrauch, HTTP-Schicht (401/403/404/405/400-Matrix), JSON-Grenzen, Einsichtsprotokoll. Diese Zahl kann die Anwendung nicht selbst erheben (ein Testlauf dauert zu lange für den Knopfdruck) — sie ist im Generator markiert und nach jedem mvn test zu pflegen. Nachlesbar: Maven-Konsole; Testklassen unter src/test/java.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2. Goldwerte — 9 von Hand gerechnete Referenzfälle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GoldWerteTest; Werte aus doc/regressionstests.md handgerechnet und eingefroren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Gegenmaßnahme zum Zirkelschluss: Diese neun Soll-Beträge wurden unabhängig vom Code auf Papier gerechnet und als Test fixiert (u. a. Standardrente 1.053,00 €; Paar 1.662,00 €; Mehrbedarfsbündel 767,37 €; Familie 2.189,68 €; Erwerb mit gekapptem Freibetrag 554,50 €; Vermögen 363,00 €; §-30-Abs.-6-Deckel 188,94 €). Verbiegt jemand die Formel in Leistungsberechnung, fallen diese Tests auf, obwohl Erwartung und Fachschicht sonst denselben Code nutzen. Nachlesbar: src/test/java/.../GoldWerteTest.java.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3. Szenario-Regression — 10 Nutzer-Szenarien mit SQL-Endzustandsprüfung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SzenarioRegressionTest (mit TX_URL); Testfälle dokumentiert in doc/regressionstests.md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Zehn echte Nutzer-Durchgänge mit mehreren Sachbearbeitern (Erfassung, Vier-Augen-Freigabe, Doppelklick, Storno + korrigierte Neuauszahlung im selben Monat, Vermögens-, Erwerbs- und Mehrbedarfsfälle, Bescheid mit Snapshot, Konkurrenz auf derselben Maske, Kassenlauf, Historisierung). Verifiziert wird je Szenario der persistierte Endzustand per SQL direkt auf den Oracle-Tabellen: Beträge, Status, Sachbearbeiter-Zuordnungen, Journal-Chronologie. Nachlesbar: doc/regressionstests.md.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4. testsweet Positivfälle (Fachschicht) — 500/500 verifiziert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Automatisch erhoben am 2026-10-13 aus testsweet/logs/run-20261013-112039 (Lauf vom 2026-10-13)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 Mitarbeiter-Simulator lässt parallele Sachbearbeiter auf die Fachschicht los (SozialLeistungsService → TxManager → Oracle). Positiv-Topf: 10 kuratierte Arten + Kombinationsfälle (Haushaltsform, Stufen, Merkmale inkl. Entbindungsmonat, Einkommen, Vermögen, Weg: Bescheid/Freigabe/Doppelklick/Storno-Korrektur); Erwartung mit derselben Berechnung, Endzustand per SQL geprüft. Diese Zeile wird automatisch aus dem neuesten erfolgreichen Lauf erhoben — die je-Fall-Nachweise (PDF/MD mit Rechenwegen) liegen im genannten Laufordner.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5. testsweet Negativfälle (Fachschicht) — 500/500 verifiziert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Automatisch erhoben am 2026-10-13 aus testsweet/logs/run-20261013-111840 (Lauf vom 2026-10-13)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Erwartete Fachfehler als Szenario-Bestandteil: hohe Rente/Erwerb/Vermögen (KEIN_ANSPRUCH), zu kleines Budget, Doppelanordnung je Monat, Selbstfreigabe, Doppelfreigabe, Storno nach Kassenübergabe, ungültige IBAN/BIC, unsinnige Bescheid-Zeiträume, unbekannte IDs, Zahlung außerhalb des Bewilligungsbescheids, veralteter Maskenstand. Zusätzlich per SQL bewiesen: Die Datenbank bleibt unverändert. Automatisch aus dem neuesten erfolgreichen Lauf erhoben.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6. testsweet über die Weboberfläche (Selenium) — 60/60 + 60/60 verifiziert (manuell gepflegt)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Modus 2 mit echten Chrome-Fenstern gegen die SDN.Leistung-Oberfläche (Referenzläufe 2026-10-11/12)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Dasselbe Fachziel wie Modus 1, aber der Weg führt durch die echte Benutzeroberfläche: Anmeldung, Vorgang anlegen, Fall erfassen, Zahlungsmonat setzen, Vier-Augen-Freigabe durch einen Kollegen, Storno über die Admin-Rolle — je Schritt mit Screenshot. Negativ-Varianten beweisen die Abwehr auch auf UI-Seite (falsches Passwort, ungültige Bankdaten, Anordnung ohne Monat). Vollständige SQL-Gegenprüfung des DB-Endzustands inklusive Journal-Chronologie. Nachlesbar: doc/testsweet-handbuch.pdf, Laufordner unter testsweet/logs/.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7. testsweet Lasttest — 600/600 verifiziert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Automatisch erhoben am 2026-10-13 aus testsweet/logs/run-20261013-122937 (Lauf vom 2026-10-13)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Schlanke Durchläufe in hoher Stückzahl (Durchsatz, Sperrwartezeiten, keine Verifikationsfehler unter Dauerlast). Die Zeile wird automatisch aus dem neuesten erfolgreichen LAST-Lauf erhoben (lastreport.pdf/.md im Laufordner). Fehlt ein Lauf: Referenzlauf fahren, dann erscheint er hier automatisch.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8. testsweet Stresstest — 4000/4000 verifiziert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Automatisch erhoben am 2026-10-13 aus testsweet/logs/run-20261013-122957 (Lauf vom 2026-10-13)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Zwei Wellen über dieselben User mit Phasenbarriere: Welle 2 beweist den Lost-Update-Schutz (alle Fälle exakt Version 2) und korrekte Budgetführung unter Konkurrenz; SQL-Endprüfung über den Gesamtbestand. Automatisch aus dem neuesten erfolgreichen STRESS-Lauf erhoben.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9. LLM-Nachrechnung — 54/54 Rechenbloecke bestaetigt · 0 Abweichungen (GLM-5.3 — unabhaengige Zweitimplementierung der Rechenkette, 2026-10-13)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Geprüft: 49 Faelle einzeln nachgerechnet · Unterlagen: gesetzesgrundlagen-2026.md, llm-pruefauftrag.txt, Pruefmenge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Eine KI hat Fälle aus der maschinenlesbaren Testdokumentation unabhängig nachgerechnet — nur nach den mitgegebenen Gesetzestexten, nicht nach dem Code. Im Protokollkopf stehen Umfang, Methode und die mitgegebenen Dokumente; der Generator liest sie automatisch hier ein. Aktueller Stand: 49 Faelle einzeln nachgerechnet (TF 11-60, Kombinationfaelle; 54 Rechenbloecke) — je Person und je Bedarfsgemeinschaft jeder Zwischenwert selbst gerechnet (Decimal, HALF_UP je Zuschlag); 1117 Werte verglichen Abgedeckte Regel-Äste: Stufen 1,2,4,5,6 · Merkzeichen G in 24 Faellen · Schwangerschaft wirksam in 7 Faellen · Entbindungsmonat erfasst in 18 Faellen (entfallen im Zahlungsmonat in 11 Faellen) · Alleinerziehend in 17 Faellen · Warmwasser in 26 Faellen · Vermoegen&gt;0 in 22 Faellen · Storno-Korrektur (2 Bloecke) in 5 Faellen. WICHTIG — so wird diese Schicht erneuert: die testdokumentation.md (bei Bedarf auf eine Prüfmenge gekürzt, siehe pruefmenge-*.md) ZUSAMMEN mit gesetzesgrundlagen-2026.md und llm-pruefauftrag.txt einer KI geben; ihre Bestätigung als llm-nachrechnung-&lt;Datum&gt;.md hier ablegen (Kopfzeilen beibehalten). Der Generator nimmt automatisch das neueste Protokoll (Ablageort: doc/testzertifikat-werkzeug/) und warnt, wenn die Testdokumentation neuer ist als die Nachrechnung. Das Prüfpaket (Prüfmenge + Gesetzesgrundlagen + Prüfauftrag) lässt sich direkt aus der testsweet-GUI schnüren (Abschnitt 7 „LLM-Nachrechnung", Knopf „Prüfpaket erstellen") — dort sind auch Prompt und mitgegebene Dateien einsehbar.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10. Code-Reviews durch unterschiedliche KIs — wiederholt, gegengeprüft, behoben</w:t>
      </w:r>
    </w:p>
    <w:p>
      <w:pPr>
        <w:spacing w:after="100" w:before="0" w:line="312"/>
        <w:jc w:val="both"/>
      </w:pPr>
      <w:r>
        <w:rPr>
          <w:rFonts w:ascii="Calibri" w:hAnsi="Calibri"/>
          <w:b w:val="false"/>
          <w:bCs w:val="false"/>
          <w:i/>
          <w:iCs/>
          <w:color w:val="000000"/>
          <w:sz w:val="22"/>
          <w:szCs w:val="22"/>
        </w:rPr>
        <w:t xml:space="preserve">Allumfassendes Review 2026-10-12 (75 Befunde → alle behoben) + Gegenprüfungen + zweite Fremd-Härtung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Der Code wurde wiederholt von KI-Instanzen unabhängig gelesen und kritisiert — bewusst mit unterschiedlichen KIs, damit nicht dieselbe Blindstelle durchgeht: (1) allumfassendes Codereview nach strukturiertem Prüfauftrag (Prüffelder A–J, 48 Verdachtsspuren, 25 Testlücken; doc/codereview/codereviewPrompt.txt) mit 75 Befunden, alle bis v0.5.7 behoben; (2) Gegenprüfung der Fixes zu v0.5.8 (Nachbesserungsbericht); (3) weitere, andere KI härtete nach (Body-Cache, Audit-Redaktion, Saga-Korrelation, Bescheidmonat-Prüfung) — auch gegengeprüft, 249/249 Tests grün. Nachlesbar: Berichte unter doc/codereview/.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Wie das Zertifikat erneuert wird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Reihenfolge: </w:t>
      </w:r>
      <w:r>
        <w:rPr>
          <w:rFonts w:ascii="Calibri" w:hAnsi="Calibri"/>
          <w:b/>
          <w:bCs/>
          <w:i w:val="false"/>
          <w:iCs w:val="false"/>
          <w:color w:val="0E2A33"/>
          <w:sz w:val="22"/>
          <w:szCs w:val="22"/>
        </w:rPr>
        <w:t xml:space="preserve">(1)</w:t>
      </w: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Läufe fahren (testsweet-GUI oder start.bat) — der Generator findet die neuesten erfolgreichen Läufe je Kategorie automatisch. </w:t>
      </w:r>
      <w:r>
        <w:rPr>
          <w:rFonts w:ascii="Calibri" w:hAnsi="Calibri"/>
          <w:b/>
          <w:bCs/>
          <w:i w:val="false"/>
          <w:iCs w:val="false"/>
          <w:color w:val="0E2A33"/>
          <w:sz w:val="22"/>
          <w:szCs w:val="22"/>
        </w:rPr>
        <w:t xml:space="preserve">(2)</w:t>
      </w: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mvn test im Hauptprojekt; Testzahl und Stand oben im Generator (MVN_TESTS/MVN_STAND) aktualisieren. </w:t>
      </w:r>
      <w:r>
        <w:rPr>
          <w:rFonts w:ascii="Calibri" w:hAnsi="Calibri"/>
          <w:b/>
          <w:bCs/>
          <w:i w:val="false"/>
          <w:iCs w:val="false"/>
          <w:color w:val="0E2A33"/>
          <w:sz w:val="22"/>
          <w:szCs w:val="22"/>
        </w:rPr>
        <w:t xml:space="preserve">(3)</w:t>
      </w: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LLM-Nachrechnung erneuern: die neueste testdokumentation.md ZUSAMMEN mit gesetzesgrundlagen-2026.md und llm-pruefauftrag.txt aus diesem Ordner einer KI geben; ihre Bestätigung als llm-nachrechnung-&lt;Datum&gt;.md hier ablegen. </w:t>
      </w:r>
      <w:r>
        <w:rPr>
          <w:rFonts w:ascii="Calibri" w:hAnsi="Calibri"/>
          <w:b/>
          <w:bCs/>
          <w:i w:val="false"/>
          <w:iCs w:val="false"/>
          <w:color w:val="0E2A33"/>
          <w:sz w:val="22"/>
          <w:szCs w:val="22"/>
        </w:rPr>
        <w:t xml:space="preserve">(4)</w:t>
      </w: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Knopf „Testzertifikat erstellen“ in der GUI oder erstelle-zertifikat.bat ausführen. Warnungen bedeuten: vorher Schritt 1–3 nachziehen.</w:t>
      </w:r>
    </w:p>
    <w:p>
      <w:pPr>
        <w:pStyle w:val="Heading2"/>
        <w:keepNext/>
        <w:spacing w:after="120" w:before="300" w:line="312"/>
      </w:pPr>
      <w:r>
        <w:rPr>
          <w:rFonts w:ascii="Arial" w:hAnsi="Arial"/>
          <w:b/>
          <w:bCs/>
          <w:color w:val="1B6B7A"/>
          <w:sz w:val="25"/>
          <w:szCs w:val="25"/>
        </w:rPr>
        <w:t xml:space="preserve">Grenzen des Zertifikats</w:t>
      </w:r>
    </w:p>
    <w:p>
      <w:pPr>
        <w:spacing w:after="120" w:before="0" w:line="312"/>
        <w:jc w:val="both"/>
      </w:pPr>
      <w:r>
        <w:rPr>
          <w:rFonts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Die LLM-Nachrechnung ist eine Stichprobe je Regel-Ast, keine Vollprüfung aller Fälle; die vollständigen je-Fall-Rechenwege stehen in den Markdown-Berichten der Läufe und können jederzeit vollständig nachgerechnet werden. Bewusste Vereinfachungen des Fachrechts (Karenzzeit § 35, §§ 82 Abs. 4/5, § 43 Abs. 2, § 44 Abs. 2) sind in der Fachdokumentation als nicht modelliert ausgewiesen und kein Gegenstand dieses Zertifikats. Die Web-Modus- und mvn-Zahlen sind manuell gepflegt (gekennzeichnet).</w:t>
      </w:r>
    </w:p>
    <w:sectPr>
      <w:footerReference w:type="default" r:id="rId6"/>
      <w:type w:val="nextPage"/>
      <w:pgSz w:w="11906" w:h="16838" w:orient="portrait"/>
      <w:pgMar w:top="1200" w:right="1300" w:bottom="1200" w:left="1440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/>
        <w:color w:val="00000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Testzertifikat SDN.Leistung LMG</dc:title>
  <dc:creator>SDN.Leistung LMG</dc:creator>
  <cp:lastModifiedBy>Un-named</cp:lastModifiedBy>
  <cp:revision>1</cp:revision>
  <dcterms:created xsi:type="dcterms:W3CDTF">2026-10-13T11:28:41.833Z</dcterms:created>
  <dcterms:modified xsi:type="dcterms:W3CDTF">2026-10-13T11:28:41.833Z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