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20" w:before="2000"/>
      </w:pPr>
      <w:r>
        <w:rPr>
          <w:rFonts w:ascii="Times New Roman" w:eastAsia="Times New Roman"/>
          <w:b/>
          <w:bCs/>
          <w:color w:val="000000"/>
          <w:sz w:val="52"/>
          <w:szCs w:val="52"/>
        </w:rPr>
        <w:t xml:space="preserve">SDN Leistung LMG Benutzerhandbuch</w:t>
      </w:r>
    </w:p>
    <w:p>
      <w:pPr>
        <w:spacing w:after="220" w:line="312"/>
        <w:jc w:val="left"/>
      </w:pPr>
      <w:r>
        <w:rPr>
          <w:rFonts w:ascii="Times New Roman" w:eastAsia="Times New Roman"/>
          <w:b w:val="false"/>
          <w:bCs w:val="false"/>
          <w:i w:val="false"/>
          <w:iCs w:val="false"/>
          <w:color w:val="000000"/>
          <w:sz w:val="28"/>
          <w:szCs w:val="28"/>
        </w:rPr>
        <w:t xml:space="preserve">Leistungsmanagement Grundsicherung nach SGB XII</w:t>
      </w:r>
    </w:p>
    <w:p>
      <w:pPr>
        <w:spacing w:after="650" w:line="312"/>
        <w:jc w:val="left"/>
      </w:pPr>
      <w:r>
        <w:rPr>
          <w:rFonts w:ascii="Times New Roman" w:eastAsia="Times New Roman"/>
          <w:b w:val="false"/>
          <w:bCs w:val="false"/>
          <w:i w:val="false"/>
          <w:iCs w:val="false"/>
          <w:color w:val="000000"/>
          <w:sz w:val="25"/>
          <w:szCs w:val="25"/>
        </w:rPr>
        <w:t xml:space="preserve">Anwenderdokumentation und technische Dokumentation</w:t>
      </w:r>
    </w:p>
    <w:p>
      <w:pPr>
        <w:spacing w:after="150" w:line="312"/>
        <w:jc w:val="left"/>
      </w:pPr>
      <w:r>
        <w:rPr>
          <w:rFonts w:ascii="Times New Roman" w:eastAsia="Times New Roman"/>
          <w:b w:val="false"/>
          <w:bCs w:val="false"/>
          <w:i w:val="false"/>
          <w:iCs w:val="false"/>
          <w:color w:val="000000"/>
          <w:sz w:val="22"/>
          <w:szCs w:val="22"/>
        </w:rPr>
        <w:t xml:space="preserve">Version 0.5.8 · Stand: 13. Oktober 2026</w:t>
      </w:r>
    </w:p>
    <w:p>
      <w:pPr>
        <w:spacing w:after="150" w:line="312"/>
        <w:jc w:val="left"/>
      </w:pPr>
      <w:r>
        <w:rPr>
          <w:rFonts w:ascii="Times New Roman" w:eastAsia="Times New Roman"/>
          <w:b w:val="false"/>
          <w:bCs w:val="false"/>
          <w:i w:val="false"/>
          <w:iCs w:val="false"/>
          <w:color w:val="000000"/>
          <w:sz w:val="22"/>
          <w:szCs w:val="22"/>
        </w:rPr>
        <w:t xml:space="preserve">Modul: Leistungsmanagement Grundsicherung (SDN.Leistung LMG)</w:t>
      </w:r>
    </w:p>
    <w:p>
      <w:pPr>
        <w:spacing w:after="150" w:line="312"/>
        <w:jc w:val="left"/>
      </w:pPr>
      <w:r>
        <w:rPr>
          <w:rFonts w:ascii="Times New Roman" w:eastAsia="Times New Roman"/>
          <w:b w:val="false"/>
          <w:bCs w:val="false"/>
          <w:i w:val="false"/>
          <w:iCs w:val="false"/>
          <w:color w:val="000000"/>
          <w:sz w:val="22"/>
          <w:szCs w:val="22"/>
        </w:rPr>
        <w:t xml:space="preserve">Berechnungsmodell: SGB XII · Verwaltungsverfahren: SGB X</w:t>
      </w:r>
    </w:p>
    <w:p>
      <w:pPr>
        <w:spacing w:after="150" w:line="312"/>
        <w:jc w:val="left"/>
      </w:pPr>
      <w:r>
        <w:rPr>
          <w:rFonts w:ascii="Times New Roman" w:eastAsia="Times New Roman"/>
          <w:b w:val="false"/>
          <w:bCs w:val="false"/>
          <w:i w:val="false"/>
          <w:iCs w:val="false"/>
          <w:color w:val="000000"/>
          <w:sz w:val="22"/>
          <w:szCs w:val="22"/>
        </w:rPr>
        <w:t xml:space="preserve">Zielgruppen: Sachbearbeitung, Administration, Fachbetreuung</w:t>
      </w:r>
    </w:p>
    <w:p>
      <w:pPr>
        <w:spacing w:after="400" w:line="312"/>
        <w:jc w:val="left"/>
      </w:pPr>
      <w:r>
        <w:rPr>
          <w:rFonts w:ascii="Times New Roman" w:eastAsia="Times New Roman"/>
          <w:b w:val="false"/>
          <w:bCs w:val="false"/>
          <w:i w:val="false"/>
          <w:iCs w:val="false"/>
          <w:color w:val="000000"/>
          <w:sz w:val="22"/>
          <w:szCs w:val="22"/>
        </w:rPr>
        <w:t xml:space="preserve">Dieses Handbuch erklärt Fallbearbeitung, Bescheide, Zahlungen und Betrieb. Es beschreibt außerdem, wie testsweet Ergebnisse prüft und welche Nachweise ein Testzertifikat tatsächlich liefert.</w:t>
      </w:r>
    </w:p>
    <w:p>
      <w:pPr>
        <w:spacing w:after="120" w:line="312"/>
        <w:jc w:val="left"/>
      </w:pPr>
      <w:r>
        <w:rPr>
          <w:rFonts w:ascii="Times New Roman" w:eastAsia="Times New Roman"/>
          <w:b w:val="false"/>
          <w:bCs w:val="false"/>
          <w:i w:val="false"/>
          <w:iCs w:val="false"/>
          <w:color w:val="000000"/>
          <w:sz w:val="20"/>
          <w:szCs w:val="20"/>
        </w:rPr>
        <w:t xml:space="preserve">Herausgeber: SDN.Leistung Projektteam</w:t>
      </w:r>
    </w:p>
    <w:p>
      <w:pPr>
        <w:sectPr>
          <w:pgSz w:w="11906" w:h="16838" w:orient="portrait"/>
          <w:pgMar w:top="1440" w:right="1417" w:bottom="1440" w:left="1701" w:header="708" w:footer="708" w:gutter="0"/>
          <w:docGrid w:linePitch="360"/>
        </w:sectPr>
      </w:pPr>
    </w:p>
    <w:p>
      <w:pPr>
        <w:spacing w:after="300" w:before="200"/>
      </w:pPr>
      <w:r>
        <w:rPr>
          <w:rFonts w:ascii="Times New Roman" w:eastAsia="Times New Roman"/>
          <w:b/>
          <w:bCs/>
          <w:color w:val="000000"/>
          <w:sz w:val="30"/>
          <w:szCs w:val="30"/>
        </w:rPr>
        <w:t xml:space="preserve">Über dieses Handbuch</w:t>
      </w:r>
    </w:p>
    <w:p>
      <w:pPr>
        <w:spacing w:after="120" w:line="312"/>
        <w:jc w:val="left"/>
      </w:pPr>
      <w:r>
        <w:rPr>
          <w:rFonts w:ascii="Times New Roman" w:eastAsia="Times New Roman"/>
          <w:b w:val="false"/>
          <w:bCs w:val="false"/>
          <w:i w:val="false"/>
          <w:iCs w:val="false"/>
          <w:color w:val="000000"/>
          <w:sz w:val="22"/>
          <w:szCs w:val="22"/>
        </w:rPr>
        <w:t xml:space="preserve">Dieses Handbuch beschreibt die Fachanwendung SDN.Leistung Leistungsmanagement Grundsicherung in zwei Teilen: Teil I ist die Anwenderdokumentation für die sachbearbeitende Ebene — von der Anmeldung über die Fallbearbeitung bis zu Bescheid, Vier-Augen-Freigabe und Kassenlauf. Teil II ist die technische Dokumentation: Architektur, Transaktionssteuerung, Saga-Muster, Datenmodell, Sicherheit und Konfiguration.</w:t>
      </w:r>
    </w:p>
    <w:p>
      <w:pPr>
        <w:spacing w:after="120" w:line="312"/>
        <w:jc w:val="left"/>
      </w:pPr>
      <w:r>
        <w:rPr>
          <w:rFonts w:ascii="Times New Roman" w:eastAsia="Times New Roman"/>
          <w:b w:val="false"/>
          <w:bCs w:val="false"/>
          <w:i w:val="false"/>
          <w:iCs w:val="false"/>
          <w:color w:val="000000"/>
          <w:sz w:val="22"/>
          <w:szCs w:val="22"/>
        </w:rPr>
        <w:t xml:space="preserve">Dieses Handbuch beschreibt Version 0.5.8 einschließlich der Review-Nachbesserungen vom 13. Oktober 2026. Ältere Abbildungen bleiben als ausdrücklich gekennzeichnete Orientierung erhalten. Verbindlich für Bedienung und Grenzen ist der aktualisierte Text. Kapitel 21 erklärt testsweet, die GLM-Anbindung und die Belege des Testzertifikats.</w:t>
      </w:r>
    </w:p>
    <w:p>
      <w:pPr>
        <w:pageBreakBefore/>
        <w:spacing w:after="240" w:before="360"/>
      </w:pPr>
      <w:r>
        <w:rPr>
          <w:rFonts w:ascii="Times New Roman" w:eastAsia="Times New Roman"/>
          <w:b/>
          <w:bCs/>
          <w:color w:val="000000"/>
          <w:sz w:val="30"/>
          <w:szCs w:val="30"/>
        </w:rPr>
        <w:t xml:space="preserve">Inhaltsverzeichnis</w:t>
      </w:r>
    </w:p>
    <w:p>
      <w:pPr>
        <w:tabs>
          <w:tab w:val="right" w:pos="8788" w:leader="dot"/>
        </w:tabs>
        <w:spacing w:after="95" w:line="276"/>
      </w:pPr>
      <w:r>
        <w:rPr>
          <w:rFonts w:ascii="Times New Roman" w:eastAsia="Times New Roman"/>
          <w:sz w:val="22"/>
          <w:szCs w:val="22"/>
        </w:rPr>
        <w:t xml:space="preserve">1  Einleitung</w:t>
      </w:r>
      <w:r>
        <w:rPr>
          <w:rFonts w:ascii="Times New Roman" w:eastAsia="Times New Roman"/>
          <w:sz w:val="22"/>
          <w:szCs w:val="22"/>
        </w:rPr>
        <w:t xml:space="preserve">	2</w:t>
      </w:r>
    </w:p>
    <w:p>
      <w:pPr>
        <w:tabs>
          <w:tab w:val="right" w:pos="8788" w:leader="dot"/>
        </w:tabs>
        <w:spacing w:after="95" w:line="276"/>
      </w:pPr>
      <w:r>
        <w:rPr>
          <w:rFonts w:ascii="Times New Roman" w:eastAsia="Times New Roman"/>
          <w:sz w:val="22"/>
          <w:szCs w:val="22"/>
        </w:rPr>
        <w:t xml:space="preserve">2  Fachliche und rechtliche Grundlagen (SGB XII)</w:t>
      </w:r>
      <w:r>
        <w:rPr>
          <w:rFonts w:ascii="Times New Roman" w:eastAsia="Times New Roman"/>
          <w:sz w:val="22"/>
          <w:szCs w:val="22"/>
        </w:rPr>
        <w:t xml:space="preserve">	4</w:t>
      </w:r>
    </w:p>
    <w:p>
      <w:pPr>
        <w:tabs>
          <w:tab w:val="right" w:pos="8788" w:leader="dot"/>
        </w:tabs>
        <w:spacing w:after="95" w:line="276"/>
      </w:pPr>
      <w:r>
        <w:rPr>
          <w:rFonts w:ascii="Times New Roman" w:eastAsia="Times New Roman"/>
          <w:sz w:val="22"/>
          <w:szCs w:val="22"/>
        </w:rPr>
        <w:t xml:space="preserve">3  Anmeldung und Rollen</w:t>
      </w:r>
      <w:r>
        <w:rPr>
          <w:rFonts w:ascii="Times New Roman" w:eastAsia="Times New Roman"/>
          <w:sz w:val="22"/>
          <w:szCs w:val="22"/>
        </w:rPr>
        <w:t xml:space="preserve">	8</w:t>
      </w:r>
    </w:p>
    <w:p>
      <w:pPr>
        <w:tabs>
          <w:tab w:val="right" w:pos="8788" w:leader="dot"/>
        </w:tabs>
        <w:spacing w:after="95" w:line="276"/>
      </w:pPr>
      <w:r>
        <w:rPr>
          <w:rFonts w:ascii="Times New Roman" w:eastAsia="Times New Roman"/>
          <w:sz w:val="22"/>
          <w:szCs w:val="22"/>
        </w:rPr>
        <w:t xml:space="preserve">4  Die Fallübersicht</w:t>
      </w:r>
      <w:r>
        <w:rPr>
          <w:rFonts w:ascii="Times New Roman" w:eastAsia="Times New Roman"/>
          <w:sz w:val="22"/>
          <w:szCs w:val="22"/>
        </w:rPr>
        <w:t xml:space="preserve">	9</w:t>
      </w:r>
    </w:p>
    <w:p>
      <w:pPr>
        <w:tabs>
          <w:tab w:val="right" w:pos="8788" w:leader="dot"/>
        </w:tabs>
        <w:spacing w:after="95" w:line="276"/>
      </w:pPr>
      <w:r>
        <w:rPr>
          <w:rFonts w:ascii="Times New Roman" w:eastAsia="Times New Roman"/>
          <w:sz w:val="22"/>
          <w:szCs w:val="22"/>
        </w:rPr>
        <w:t xml:space="preserve">5  Vorgang bearbeiten</w:t>
      </w:r>
      <w:r>
        <w:rPr>
          <w:rFonts w:ascii="Times New Roman" w:eastAsia="Times New Roman"/>
          <w:sz w:val="22"/>
          <w:szCs w:val="22"/>
        </w:rPr>
        <w:t xml:space="preserve">	11</w:t>
      </w:r>
    </w:p>
    <w:p>
      <w:pPr>
        <w:tabs>
          <w:tab w:val="right" w:pos="8788" w:leader="dot"/>
        </w:tabs>
        <w:spacing w:after="95" w:line="276"/>
      </w:pPr>
      <w:r>
        <w:rPr>
          <w:rFonts w:ascii="Times New Roman" w:eastAsia="Times New Roman"/>
          <w:sz w:val="22"/>
          <w:szCs w:val="22"/>
        </w:rPr>
        <w:t xml:space="preserve">6  Zahlbarmachung: Auszahlung anordnen</w:t>
      </w:r>
      <w:r>
        <w:rPr>
          <w:rFonts w:ascii="Times New Roman" w:eastAsia="Times New Roman"/>
          <w:sz w:val="22"/>
          <w:szCs w:val="22"/>
        </w:rPr>
        <w:t xml:space="preserve">	13</w:t>
      </w:r>
    </w:p>
    <w:p>
      <w:pPr>
        <w:tabs>
          <w:tab w:val="right" w:pos="8788" w:leader="dot"/>
        </w:tabs>
        <w:spacing w:after="95" w:line="276"/>
      </w:pPr>
      <w:r>
        <w:rPr>
          <w:rFonts w:ascii="Times New Roman" w:eastAsia="Times New Roman"/>
          <w:sz w:val="22"/>
          <w:szCs w:val="22"/>
        </w:rPr>
        <w:t xml:space="preserve">7  Vier-Augen-Freigabe, Storno und Fehlerfälle</w:t>
      </w:r>
      <w:r>
        <w:rPr>
          <w:rFonts w:ascii="Times New Roman" w:eastAsia="Times New Roman"/>
          <w:sz w:val="22"/>
          <w:szCs w:val="22"/>
        </w:rPr>
        <w:t xml:space="preserve">	15</w:t>
      </w:r>
    </w:p>
    <w:p>
      <w:pPr>
        <w:tabs>
          <w:tab w:val="right" w:pos="8788" w:leader="dot"/>
        </w:tabs>
        <w:spacing w:after="95" w:line="276"/>
      </w:pPr>
      <w:r>
        <w:rPr>
          <w:rFonts w:ascii="Times New Roman" w:eastAsia="Times New Roman"/>
          <w:sz w:val="22"/>
          <w:szCs w:val="22"/>
        </w:rPr>
        <w:t xml:space="preserve">8  Bewilligungsbescheid</w:t>
      </w:r>
      <w:r>
        <w:rPr>
          <w:rFonts w:ascii="Times New Roman" w:eastAsia="Times New Roman"/>
          <w:sz w:val="22"/>
          <w:szCs w:val="22"/>
        </w:rPr>
        <w:t xml:space="preserve">	18</w:t>
      </w:r>
    </w:p>
    <w:p>
      <w:pPr>
        <w:tabs>
          <w:tab w:val="right" w:pos="8788" w:leader="dot"/>
        </w:tabs>
        <w:spacing w:after="95" w:line="276"/>
      </w:pPr>
      <w:r>
        <w:rPr>
          <w:rFonts w:ascii="Times New Roman" w:eastAsia="Times New Roman"/>
          <w:sz w:val="22"/>
          <w:szCs w:val="22"/>
        </w:rPr>
        <w:t xml:space="preserve">9  Das Buchungsjournal</w:t>
      </w:r>
      <w:r>
        <w:rPr>
          <w:rFonts w:ascii="Times New Roman" w:eastAsia="Times New Roman"/>
          <w:sz w:val="22"/>
          <w:szCs w:val="22"/>
        </w:rPr>
        <w:t xml:space="preserve">	19</w:t>
      </w:r>
    </w:p>
    <w:p>
      <w:pPr>
        <w:tabs>
          <w:tab w:val="right" w:pos="8788" w:leader="dot"/>
        </w:tabs>
        <w:spacing w:after="95" w:line="276"/>
      </w:pPr>
      <w:r>
        <w:rPr>
          <w:rFonts w:ascii="Times New Roman" w:eastAsia="Times New Roman"/>
          <w:sz w:val="22"/>
          <w:szCs w:val="22"/>
        </w:rPr>
        <w:t xml:space="preserve">10  Die Antrags-Saga aus Anwendersicht</w:t>
      </w:r>
      <w:r>
        <w:rPr>
          <w:rFonts w:ascii="Times New Roman" w:eastAsia="Times New Roman"/>
          <w:sz w:val="22"/>
          <w:szCs w:val="22"/>
        </w:rPr>
        <w:t xml:space="preserve">	20</w:t>
      </w:r>
    </w:p>
    <w:p>
      <w:pPr>
        <w:tabs>
          <w:tab w:val="right" w:pos="8788" w:leader="dot"/>
        </w:tabs>
        <w:spacing w:after="95" w:line="276"/>
      </w:pPr>
      <w:r>
        <w:rPr>
          <w:rFonts w:ascii="Times New Roman" w:eastAsia="Times New Roman"/>
          <w:sz w:val="22"/>
          <w:szCs w:val="22"/>
        </w:rPr>
        <w:t xml:space="preserve">11  Adminbereich und Betriebsfunktionen</w:t>
      </w:r>
      <w:r>
        <w:rPr>
          <w:rFonts w:ascii="Times New Roman" w:eastAsia="Times New Roman"/>
          <w:sz w:val="22"/>
          <w:szCs w:val="22"/>
        </w:rPr>
        <w:t xml:space="preserve">	22</w:t>
      </w:r>
    </w:p>
    <w:p>
      <w:pPr>
        <w:tabs>
          <w:tab w:val="right" w:pos="8788" w:leader="dot"/>
        </w:tabs>
        <w:spacing w:after="95" w:line="276"/>
      </w:pPr>
      <w:r>
        <w:rPr>
          <w:rFonts w:ascii="Times New Roman" w:eastAsia="Times New Roman"/>
          <w:sz w:val="22"/>
          <w:szCs w:val="22"/>
        </w:rPr>
        <w:t xml:space="preserve">12  Hinweise für den sicheren Betrieb der Sacharbeit</w:t>
      </w:r>
      <w:r>
        <w:rPr>
          <w:rFonts w:ascii="Times New Roman" w:eastAsia="Times New Roman"/>
          <w:sz w:val="22"/>
          <w:szCs w:val="22"/>
        </w:rPr>
        <w:t xml:space="preserve">	24</w:t>
      </w:r>
    </w:p>
    <w:p>
      <w:pPr>
        <w:tabs>
          <w:tab w:val="right" w:pos="8788" w:leader="dot"/>
        </w:tabs>
        <w:spacing w:after="95" w:line="276"/>
      </w:pPr>
      <w:r>
        <w:rPr>
          <w:rFonts w:ascii="Times New Roman" w:eastAsia="Times New Roman"/>
          <w:sz w:val="22"/>
          <w:szCs w:val="22"/>
        </w:rPr>
        <w:t xml:space="preserve">13  Architekturüberblick</w:t>
      </w:r>
      <w:r>
        <w:rPr>
          <w:rFonts w:ascii="Times New Roman" w:eastAsia="Times New Roman"/>
          <w:sz w:val="22"/>
          <w:szCs w:val="22"/>
        </w:rPr>
        <w:t xml:space="preserve">	27</w:t>
      </w:r>
    </w:p>
    <w:p>
      <w:pPr>
        <w:tabs>
          <w:tab w:val="right" w:pos="8788" w:leader="dot"/>
        </w:tabs>
        <w:spacing w:after="95" w:line="276"/>
      </w:pPr>
      <w:r>
        <w:rPr>
          <w:rFonts w:ascii="Times New Roman" w:eastAsia="Times New Roman"/>
          <w:sz w:val="22"/>
          <w:szCs w:val="22"/>
        </w:rPr>
        <w:t xml:space="preserve">14  Die Transaktionssteuerung im Detail</w:t>
      </w:r>
      <w:r>
        <w:rPr>
          <w:rFonts w:ascii="Times New Roman" w:eastAsia="Times New Roman"/>
          <w:sz w:val="22"/>
          <w:szCs w:val="22"/>
        </w:rPr>
        <w:t xml:space="preserve">	28</w:t>
      </w:r>
    </w:p>
    <w:p>
      <w:pPr>
        <w:tabs>
          <w:tab w:val="right" w:pos="8788" w:leader="dot"/>
        </w:tabs>
        <w:spacing w:after="95" w:line="276"/>
      </w:pPr>
      <w:r>
        <w:rPr>
          <w:rFonts w:ascii="Times New Roman" w:eastAsia="Times New Roman"/>
          <w:sz w:val="22"/>
          <w:szCs w:val="22"/>
        </w:rPr>
        <w:t xml:space="preserve">15  Saga-Muster, Journal und Wiederanlauf</w:t>
      </w:r>
      <w:r>
        <w:rPr>
          <w:rFonts w:ascii="Times New Roman" w:eastAsia="Times New Roman"/>
          <w:sz w:val="22"/>
          <w:szCs w:val="22"/>
        </w:rPr>
        <w:t xml:space="preserve">	31</w:t>
      </w:r>
    </w:p>
    <w:p>
      <w:pPr>
        <w:tabs>
          <w:tab w:val="right" w:pos="8788" w:leader="dot"/>
        </w:tabs>
        <w:spacing w:after="95" w:line="276"/>
      </w:pPr>
      <w:r>
        <w:rPr>
          <w:rFonts w:ascii="Times New Roman" w:eastAsia="Times New Roman"/>
          <w:sz w:val="22"/>
          <w:szCs w:val="22"/>
        </w:rPr>
        <w:t xml:space="preserve">16  Datenmodell und Persistenz</w:t>
      </w:r>
      <w:r>
        <w:rPr>
          <w:rFonts w:ascii="Times New Roman" w:eastAsia="Times New Roman"/>
          <w:sz w:val="22"/>
          <w:szCs w:val="22"/>
        </w:rPr>
        <w:t xml:space="preserve">	32</w:t>
      </w:r>
    </w:p>
    <w:p>
      <w:pPr>
        <w:tabs>
          <w:tab w:val="right" w:pos="8788" w:leader="dot"/>
        </w:tabs>
        <w:spacing w:after="95" w:line="276"/>
      </w:pPr>
      <w:r>
        <w:rPr>
          <w:rFonts w:ascii="Times New Roman" w:eastAsia="Times New Roman"/>
          <w:sz w:val="22"/>
          <w:szCs w:val="22"/>
        </w:rPr>
        <w:t xml:space="preserve">17  Der kritische Buchungsweg im Detail</w:t>
      </w:r>
      <w:r>
        <w:rPr>
          <w:rFonts w:ascii="Times New Roman" w:eastAsia="Times New Roman"/>
          <w:sz w:val="22"/>
          <w:szCs w:val="22"/>
        </w:rPr>
        <w:t xml:space="preserve">	34</w:t>
      </w:r>
    </w:p>
    <w:p>
      <w:pPr>
        <w:tabs>
          <w:tab w:val="right" w:pos="8788" w:leader="dot"/>
        </w:tabs>
        <w:spacing w:after="95" w:line="276"/>
      </w:pPr>
      <w:r>
        <w:rPr>
          <w:rFonts w:ascii="Times New Roman" w:eastAsia="Times New Roman"/>
          <w:sz w:val="22"/>
          <w:szCs w:val="22"/>
        </w:rPr>
        <w:t xml:space="preserve">18  Sicherheit: Anmeldung, Rollen und SEPA</w:t>
      </w:r>
      <w:r>
        <w:rPr>
          <w:rFonts w:ascii="Times New Roman" w:eastAsia="Times New Roman"/>
          <w:sz w:val="22"/>
          <w:szCs w:val="22"/>
        </w:rPr>
        <w:t xml:space="preserve">	35</w:t>
      </w:r>
    </w:p>
    <w:p>
      <w:pPr>
        <w:tabs>
          <w:tab w:val="right" w:pos="8788" w:leader="dot"/>
        </w:tabs>
        <w:spacing w:after="95" w:line="276"/>
      </w:pPr>
      <w:r>
        <w:rPr>
          <w:rFonts w:ascii="Times New Roman" w:eastAsia="Times New Roman"/>
          <w:sz w:val="22"/>
          <w:szCs w:val="22"/>
        </w:rPr>
        <w:t xml:space="preserve">19  Konfiguration, Start und Qualitätssicherung</w:t>
      </w:r>
      <w:r>
        <w:rPr>
          <w:rFonts w:ascii="Times New Roman" w:eastAsia="Times New Roman"/>
          <w:sz w:val="22"/>
          <w:szCs w:val="22"/>
        </w:rPr>
        <w:t xml:space="preserve">	36</w:t>
      </w:r>
    </w:p>
    <w:p>
      <w:pPr>
        <w:tabs>
          <w:tab w:val="right" w:pos="8788" w:leader="dot"/>
        </w:tabs>
        <w:spacing w:after="95" w:line="276"/>
      </w:pPr>
      <w:r>
        <w:rPr>
          <w:rFonts w:ascii="Times New Roman" w:eastAsia="Times New Roman"/>
          <w:sz w:val="22"/>
          <w:szCs w:val="22"/>
        </w:rPr>
        <w:t xml:space="preserve">20  API-Referenz</w:t>
      </w:r>
      <w:r>
        <w:rPr>
          <w:rFonts w:ascii="Times New Roman" w:eastAsia="Times New Roman"/>
          <w:sz w:val="22"/>
          <w:szCs w:val="22"/>
        </w:rPr>
        <w:t xml:space="preserve">	38</w:t>
      </w:r>
    </w:p>
    <w:p>
      <w:pPr>
        <w:tabs>
          <w:tab w:val="right" w:pos="8788" w:leader="dot"/>
        </w:tabs>
        <w:spacing w:after="95" w:line="276"/>
      </w:pPr>
      <w:r>
        <w:rPr>
          <w:rFonts w:ascii="Times New Roman" w:eastAsia="Times New Roman"/>
          <w:sz w:val="22"/>
          <w:szCs w:val="22"/>
        </w:rPr>
        <w:t xml:space="preserve">21  testsweet und das Testzertifikat</w:t>
      </w:r>
      <w:r>
        <w:rPr>
          <w:rFonts w:ascii="Times New Roman" w:eastAsia="Times New Roman"/>
          <w:sz w:val="22"/>
          <w:szCs w:val="22"/>
        </w:rPr>
        <w:t xml:space="preserve">	40</w:t>
      </w:r>
    </w:p>
    <w:p>
      <w:pPr>
        <w:tabs>
          <w:tab w:val="right" w:pos="8788" w:leader="dot"/>
        </w:tabs>
        <w:spacing w:after="95" w:line="276"/>
      </w:pPr>
      <w:r>
        <w:rPr>
          <w:rFonts w:ascii="Times New Roman" w:eastAsia="Times New Roman"/>
          <w:sz w:val="22"/>
          <w:szCs w:val="22"/>
        </w:rPr>
        <w:t xml:space="preserve">Glossar</w:t>
      </w:r>
      <w:r>
        <w:rPr>
          <w:rFonts w:ascii="Times New Roman" w:eastAsia="Times New Roman"/>
          <w:sz w:val="22"/>
          <w:szCs w:val="22"/>
        </w:rPr>
        <w:t xml:space="preserve">	44</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keepNext/>
        <w:spacing w:after="120" w:before="3200"/>
        <w:ind w:left="240"/>
        <w:jc w:val="left"/>
      </w:pPr>
      <w:r>
        <w:rPr>
          <w:rFonts w:ascii="Times New Roman" w:eastAsia="Times New Roman"/>
          <w:b/>
          <w:bCs/>
          <w:color w:val="000000"/>
          <w:sz w:val="26"/>
          <w:szCs w:val="26"/>
        </w:rPr>
        <w:t xml:space="preserve">TEIL I</w:t>
      </w:r>
    </w:p>
    <w:p>
      <w:pPr>
        <w:keepNext/>
        <w:spacing w:after="200" w:line="700" w:lineRule="atLeast"/>
        <w:ind w:left="240"/>
      </w:pPr>
      <w:r>
        <w:rPr>
          <w:rFonts w:ascii="Times New Roman" w:eastAsia="Times New Roman"/>
          <w:b/>
          <w:bCs/>
          <w:color w:val="000000"/>
          <w:sz w:val="52"/>
          <w:szCs w:val="52"/>
        </w:rPr>
        <w:t xml:space="preserve">Anwenderdokumentation</w:t>
      </w:r>
    </w:p>
    <w:p>
      <w:pPr>
        <w:ind w:left="240"/>
      </w:pPr>
      <w:r>
        <w:rPr>
          <w:rFonts w:ascii="Times New Roman" w:eastAsia="Times New Roman"/>
          <w:i/>
          <w:iCs/>
          <w:color w:val="404040"/>
          <w:sz w:val="24"/>
          <w:szCs w:val="24"/>
        </w:rPr>
        <w:t xml:space="preserve">Die Fachanwendung aus der Sicht der Sachbearbeitung: Anmeldung, Fallbearbeitung, Zahlbarmachung, Bescheid und Betrieb</w:t>
      </w:r>
      <w:r>
        <w:br w:type="page"/>
      </w:r>
    </w:p>
    <w:p>
      <w:pPr>
        <w:pStyle w:val="Heading1"/>
        <w:keepNext/>
        <w:spacing w:after="200" w:before="360" w:line="380" w:lineRule="atLeast"/>
      </w:pPr>
      <w:r>
        <w:rPr>
          <w:rFonts w:ascii="Times New Roman" w:eastAsia="Times New Roman"/>
          <w:b/>
          <w:bCs/>
          <w:color w:val="000000"/>
          <w:sz w:val="32"/>
          <w:szCs w:val="32"/>
        </w:rPr>
        <w:t xml:space="preserve">1  Einleitung</w:t>
      </w:r>
    </w:p>
    <w:p>
      <w:pPr>
        <w:pStyle w:val="Heading2"/>
        <w:keepNext/>
        <w:spacing w:after="140" w:before="280" w:line="340" w:lineRule="atLeast"/>
      </w:pPr>
      <w:r>
        <w:rPr>
          <w:rFonts w:ascii="Times New Roman" w:eastAsia="Times New Roman"/>
          <w:b/>
          <w:bCs/>
          <w:color w:val="000000"/>
          <w:sz w:val="27"/>
          <w:szCs w:val="27"/>
        </w:rPr>
        <w:t xml:space="preserve">1.1  Zweck dieses Handbuchs</w:t>
      </w:r>
    </w:p>
    <w:p>
      <w:pPr>
        <w:spacing w:after="120" w:line="312"/>
        <w:jc w:val="left"/>
      </w:pPr>
      <w:r>
        <w:rPr>
          <w:rFonts w:ascii="Times New Roman" w:eastAsia="Times New Roman"/>
          <w:b w:val="false"/>
          <w:bCs w:val="false"/>
          <w:i w:val="false"/>
          <w:iCs w:val="false"/>
          <w:color w:val="000000"/>
          <w:sz w:val="22"/>
          <w:szCs w:val="22"/>
        </w:rPr>
        <w:t xml:space="preserve">Dieses Benutzerhandbuch beschreibt die Fachanwendung SDN.Leistung Leistungsmanagement Grundsicherung (kurz: SDN.Leistung LMG) in allen Teilen, die für den Arbeitsalltag relevant sind. Es richtet sich in Teil I an Sachbearbeiterinnen und Sachbearbeiter sowie Administratorinnen und Administratoren der Sozialverwaltung, die mit dem Modul Grundsicherungsleistungen im Alter und bei Erwerbsminderung nach dem Zwölften Buch Sozialgesetzbuch (SGB XII) bearbeiten. Teil II wendet sich an technisch interessierte Leserinnen und Leser: Er erklärt die darunterliegende eigene Transaktionssteuerung, ihre Bausteine und die Art und Weise, wie die Fachfunktionen darauf realisiert sind.</w:t>
      </w:r>
    </w:p>
    <w:p>
      <w:pPr>
        <w:spacing w:after="120" w:line="312"/>
        <w:jc w:val="left"/>
      </w:pPr>
      <w:r>
        <w:rPr>
          <w:rFonts w:ascii="Times New Roman" w:eastAsia="Times New Roman"/>
          <w:b w:val="false"/>
          <w:bCs w:val="false"/>
          <w:i w:val="false"/>
          <w:iCs w:val="false"/>
          <w:color w:val="000000"/>
          <w:sz w:val="22"/>
          <w:szCs w:val="22"/>
        </w:rPr>
        <w:t xml:space="preserve">Das Handbuch verbindet beide Perspektiven bewusst in einem Dokument: Wer Leistungen sachbearbeitet, versteht nach der Lektüre von Teil I, welche fachlichen Regeln das System durchsetzt und warum Meldungen wie „KONKURRENZ“ oder „KEIN_ANSPRUCH“ auftreten. Wer die Anwendung betreibt oder weiterentwickelt, findet in Teil II die Begründung der technischen Entscheidungen bis hinunter zu den Datenbank-Tabellen und den Fehlerbehandlungsstrategien.</w:t>
      </w:r>
    </w:p>
    <w:p>
      <w:pPr>
        <w:pStyle w:val="Heading2"/>
        <w:keepNext/>
        <w:spacing w:after="140" w:before="280" w:line="340" w:lineRule="atLeast"/>
      </w:pPr>
      <w:r>
        <w:rPr>
          <w:rFonts w:ascii="Times New Roman" w:eastAsia="Times New Roman"/>
          <w:b/>
          <w:bCs/>
          <w:color w:val="000000"/>
          <w:sz w:val="27"/>
          <w:szCs w:val="27"/>
        </w:rPr>
        <w:t xml:space="preserve">1.2  Das System in einem Satz</w:t>
      </w:r>
    </w:p>
    <w:p>
      <w:pPr>
        <w:spacing w:after="120" w:line="312"/>
        <w:jc w:val="left"/>
      </w:pPr>
      <w:r>
        <w:rPr>
          <w:rFonts w:ascii="Times New Roman" w:eastAsia="Times New Roman"/>
          <w:b w:val="false"/>
          <w:bCs w:val="false"/>
          <w:i w:val="false"/>
          <w:iCs w:val="false"/>
          <w:color w:val="000000"/>
          <w:sz w:val="22"/>
          <w:szCs w:val="22"/>
        </w:rPr>
        <w:t xml:space="preserve">SDN.Leistung LMG ist eine Web-Anwendung, mit der Bedarfsgemeinschaften erfasst, der monatliche Leistungsanspruch nach SGB XII rechnerisch ermittelt, der Anspruch durch einen Bewilligungsbescheid nach § 44 SGB XII verbindlich gemacht und die Auszahlung mit Vier-Augen-Kontrolle, revisionssicherem Journal und Kassenübergabe durch eine explizite Adminaktion angeordnet wird. Alle schreibenden Vorgänge laufen über eine eigens entwickelte Transaktionssteuerung, die die Datenbank-Transaktionen von Oracle steuert und absichert.</w:t>
      </w:r>
    </w:p>
    <w:p>
      <w:pPr>
        <w:keepNext/>
        <w:spacing w:after="60" w:before="160"/>
        <w:jc w:val="center"/>
      </w:pPr>
      <w:r>
        <w:drawing>
          <wp:inline distT="0" distB="0" distL="0" distR="0">
            <wp:extent cx="53530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53050" cy="3524250"/>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 — Bausteine und Schichten der Lösung — vom Browser bis zur Oracle-Datenbank. Diagrammstand 13. Oktober 2026.</w:t>
      </w:r>
    </w:p>
    <w:p>
      <w:pPr>
        <w:pStyle w:val="Heading2"/>
        <w:keepNext/>
        <w:spacing w:after="140" w:before="280" w:line="340" w:lineRule="atLeast"/>
      </w:pPr>
      <w:r>
        <w:rPr>
          <w:rFonts w:ascii="Times New Roman" w:eastAsia="Times New Roman"/>
          <w:b/>
          <w:bCs/>
          <w:color w:val="000000"/>
          <w:sz w:val="27"/>
          <w:szCs w:val="27"/>
        </w:rPr>
        <w:t xml:space="preserve">1.3  Zielgruppen und Lesepfad</w:t>
      </w:r>
    </w:p>
    <w:p>
      <w:pPr>
        <w:keepNext/>
        <w:spacing w:after="80" w:before="160"/>
      </w:pPr>
      <w:r>
        <w:rPr>
          <w:rFonts w:ascii="Times New Roman" w:eastAsia="Times New Roman"/>
          <w:b/>
          <w:bCs/>
          <w:color w:val="404040"/>
          <w:sz w:val="20"/>
          <w:szCs w:val="20"/>
        </w:rPr>
        <w:t xml:space="preserve">Tabelle 1 — Zielgruppen und empfohlene Lesepfade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461"/>
        <w:gridCol w:w="2636"/>
        <w:gridCol w:w="3691"/>
      </w:tblGrid>
      <w:tr>
        <w:trPr>
          <w:cantSplit/>
          <w:tblHeader/>
        </w:trPr>
        <w:tc>
          <w:tcPr>
            <w:tcW w:type="dxa" w:w="2461"/>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Zielgruppe</w:t>
            </w:r>
          </w:p>
        </w:tc>
        <w:tc>
          <w:tcPr>
            <w:tcW w:type="dxa" w:w="2636"/>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Relevante Kapitel</w:t>
            </w:r>
          </w:p>
        </w:tc>
        <w:tc>
          <w:tcPr>
            <w:tcW w:type="dxa" w:w="3691"/>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Ziel des Lesens</w:t>
            </w:r>
          </w:p>
        </w:tc>
      </w:tr>
      <w:tr>
        <w:trPr>
          <w:cantSplit/>
        </w:trPr>
        <w:tc>
          <w:tcPr>
            <w:tcW w:type="dxa" w:w="246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Sachbearbeiter/in Grundsicherung</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Kapitel 2 bis 9 und 12</w:t>
            </w:r>
          </w:p>
        </w:tc>
        <w:tc>
          <w:tcPr>
            <w:tcW w:type="dxa" w:w="369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Vorgänge sicher bearbeiten, Fehlermeldungen einordnen</w:t>
            </w:r>
          </w:p>
        </w:tc>
      </w:tr>
      <w:tr>
        <w:trPr>
          <w:cantSplit/>
        </w:trPr>
        <w:tc>
          <w:tcPr>
            <w:tcW w:type="dxa" w:w="246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Teamleitung / Administrator</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Kapitel 3, 7, 10 bis 12, 19</w:t>
            </w:r>
          </w:p>
        </w:tc>
        <w:tc>
          <w:tcPr>
            <w:tcW w:type="dxa" w:w="369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Rollen, Freigaben, Kassenlauf und Wiederanlauf beherrschen</w:t>
            </w:r>
          </w:p>
        </w:tc>
      </w:tr>
      <w:tr>
        <w:trPr>
          <w:cantSplit/>
        </w:trPr>
        <w:tc>
          <w:tcPr>
            <w:tcW w:type="dxa" w:w="246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Technische Beratung / Entwicklung</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Teil II (Kapitel 13 bis 20)</w:t>
            </w:r>
          </w:p>
        </w:tc>
        <w:tc>
          <w:tcPr>
            <w:tcW w:type="dxa" w:w="369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Architektur, Transaktionssteuerung und Datenmodell verstehen</w:t>
            </w:r>
          </w:p>
        </w:tc>
      </w:tr>
      <w:tr>
        <w:trPr>
          <w:cantSplit/>
        </w:trPr>
        <w:tc>
          <w:tcPr>
            <w:tcW w:type="dxa" w:w="246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Betrieb / IT-Verwaltung</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Kapitel 11 und 19</w:t>
            </w:r>
          </w:p>
        </w:tc>
        <w:tc>
          <w:tcPr>
            <w:tcW w:type="dxa" w:w="369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Konfiguration, Start, Monitoring und Wiederanlauf</w:t>
            </w:r>
          </w:p>
        </w:tc>
      </w:tr>
    </w:tbl>
    <w:p>
      <w:pPr>
        <w:pStyle w:val="Heading2"/>
        <w:keepNext/>
        <w:spacing w:after="140" w:before="280" w:line="340" w:lineRule="atLeast"/>
      </w:pPr>
      <w:r>
        <w:rPr>
          <w:rFonts w:ascii="Times New Roman" w:eastAsia="Times New Roman"/>
          <w:b/>
          <w:bCs/>
          <w:color w:val="000000"/>
          <w:sz w:val="27"/>
          <w:szCs w:val="27"/>
        </w:rPr>
        <w:t xml:space="preserve">1.4  Konventionen dieses Handbuchs</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Fachbegriffe wie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oder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werden genau so geschrieben, wie sie auch in der Oberfläche und im Datenmodell erscheinen — Bedarfsgemeinschaft ist der Vorgang, SozialFall der Leistungsberechtigte innerhalb dieses Vorgangs.</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Oberflächenelemente stehen in Anführungszeichen, z. B. Schaltfläche „Auszahlung anordnen“ oder Karte „Zahlbarmachung“.</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Technische Bezeichner (Tabellen, Klassen, Endpunkte) werden wörtlich wiedergegeben, z. B. TX_SAGA, TxManager, POST /api/auszahlung.</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Gesetzeszitate beziehen sich auf SGB XII, sofern nicht ausdrücklich SGB X genannt ist.</w:t>
      </w:r>
    </w:p>
    <w:p>
      <w:pPr>
        <w:spacing w:after="120" w:line="312"/>
        <w:jc w:val="left"/>
      </w:pPr>
      <w:r>
        <w:rPr>
          <w:rFonts w:ascii="Times New Roman" w:eastAsia="Times New Roman"/>
          <w:b w:val="false"/>
          <w:bCs w:val="false"/>
          <w:i w:val="false"/>
          <w:iCs w:val="false"/>
          <w:color w:val="000000"/>
          <w:sz w:val="22"/>
          <w:szCs w:val="22"/>
        </w:rPr>
        <w:t xml:space="preserve">Alle Beträge, Prozentsätze und Fristen in diesem Handbuch entsprechen dem </w:t>
      </w:r>
      <w:r>
        <w:rPr>
          <w:rFonts w:ascii="Times New Roman" w:eastAsia="Times New Roman"/>
          <w:b/>
          <w:bCs/>
          <w:i w:val="false"/>
          <w:iCs w:val="false"/>
          <w:color w:val="000000"/>
          <w:sz w:val="22"/>
          <w:szCs w:val="22"/>
        </w:rPr>
        <w:t xml:space="preserve">Referenzjahr 2026</w:t>
      </w:r>
      <w:r>
        <w:rPr>
          <w:rFonts w:ascii="Times New Roman" w:eastAsia="Times New Roman"/>
          <w:b w:val="false"/>
          <w:bCs w:val="false"/>
          <w:i w:val="false"/>
          <w:iCs w:val="false"/>
          <w:color w:val="000000"/>
          <w:sz w:val="22"/>
          <w:szCs w:val="22"/>
        </w:rPr>
        <w:t xml:space="preserve"> und dem Stand der Software-Version 0.5.8 einschließlich Review-Nachbesserungen vom 13. Oktober 2026.</w:t>
      </w:r>
    </w:p>
    <w:p>
      <w:pPr>
        <w:pStyle w:val="Heading2"/>
        <w:keepNext/>
        <w:spacing w:after="140" w:before="280" w:line="340" w:lineRule="atLeast"/>
      </w:pPr>
      <w:r>
        <w:rPr>
          <w:rFonts w:ascii="Times New Roman" w:eastAsia="Times New Roman"/>
          <w:b/>
          <w:bCs/>
          <w:color w:val="000000"/>
          <w:sz w:val="27"/>
          <w:szCs w:val="27"/>
        </w:rPr>
        <w:t xml:space="preserve">1.5  Demo-Zugänge</w:t>
      </w:r>
    </w:p>
    <w:p>
      <w:pPr>
        <w:spacing w:after="120" w:line="312"/>
        <w:jc w:val="left"/>
      </w:pPr>
      <w:r>
        <w:rPr>
          <w:rFonts w:ascii="Times New Roman" w:eastAsia="Times New Roman"/>
          <w:b w:val="false"/>
          <w:bCs w:val="false"/>
          <w:i w:val="false"/>
          <w:iCs w:val="false"/>
          <w:color w:val="000000"/>
          <w:sz w:val="22"/>
          <w:szCs w:val="22"/>
        </w:rPr>
        <w:t xml:space="preserve">Die Auslieferung enthält drei vorkonfigurierte Demo-Konten (Kapitel 3). Für eine Produktivnutzung werden die Konten über die Umgebungsvariable LMG_BENUTZER beziehungsweise den Konfigurationsschlüssel des Servers gesetzt (Kapitel 19).</w:t>
      </w:r>
    </w:p>
    <w:p>
      <w:pPr>
        <w:keepNext/>
        <w:spacing w:after="80" w:before="160"/>
      </w:pPr>
      <w:r>
        <w:rPr>
          <w:rFonts w:ascii="Times New Roman" w:eastAsia="Times New Roman"/>
          <w:b/>
          <w:bCs/>
          <w:color w:val="404040"/>
          <w:sz w:val="20"/>
          <w:szCs w:val="20"/>
        </w:rPr>
        <w:t xml:space="preserve">Tabelle 2 — Vorkonfigurierte Demo-Konten</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1406"/>
        <w:gridCol w:w="1230"/>
        <w:gridCol w:w="1933"/>
        <w:gridCol w:w="4218"/>
      </w:tblGrid>
      <w:tr>
        <w:trPr>
          <w:cantSplit/>
          <w:tblHeader/>
        </w:trPr>
        <w:tc>
          <w:tcPr>
            <w:tcW w:type="dxa" w:w="1406"/>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Kennung</w:t>
            </w:r>
          </w:p>
        </w:tc>
        <w:tc>
          <w:tcPr>
            <w:tcW w:type="dxa" w:w="1230"/>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Passwort</w:t>
            </w:r>
          </w:p>
        </w:tc>
        <w:tc>
          <w:tcPr>
            <w:tcW w:type="dxa" w:w="193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Rolle</w:t>
            </w:r>
          </w:p>
        </w:tc>
        <w:tc>
          <w:tcPr>
            <w:tcW w:type="dxa" w:w="4218"/>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Typische Aufgaben</w:t>
            </w:r>
          </w:p>
        </w:tc>
      </w:tr>
      <w:tr>
        <w:trPr>
          <w:cantSplit/>
        </w:trPr>
        <w:tc>
          <w:tcPr>
            <w:tcW w:type="dxa" w:w="140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admin-01</w:t>
            </w:r>
          </w:p>
        </w:tc>
        <w:tc>
          <w:tcPr>
            <w:tcW w:type="dxa" w:w="123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w:t>
            </w:r>
          </w:p>
        </w:tc>
        <w:tc>
          <w:tcPr>
            <w:tcW w:type="dxa" w:w="421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Systemstatus, Kassenlauf, Storno bereit-Buchungen, Wiederanlauf</w:t>
            </w:r>
          </w:p>
        </w:tc>
      </w:tr>
      <w:tr>
        <w:trPr>
          <w:cantSplit/>
        </w:trPr>
        <w:tc>
          <w:tcPr>
            <w:tcW w:type="dxa" w:w="140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sb-01</w:t>
            </w:r>
          </w:p>
        </w:tc>
        <w:tc>
          <w:tcPr>
            <w:tcW w:type="dxa" w:w="123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sb-01</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sachbearbeiter</w:t>
            </w:r>
          </w:p>
        </w:tc>
        <w:tc>
          <w:tcPr>
            <w:tcW w:type="dxa" w:w="421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Vorgänge bearbeiten, Auszahlungen anordnen, Freigaben</w:t>
            </w:r>
          </w:p>
        </w:tc>
      </w:tr>
      <w:tr>
        <w:trPr>
          <w:cantSplit/>
        </w:trPr>
        <w:tc>
          <w:tcPr>
            <w:tcW w:type="dxa" w:w="140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sb-02</w:t>
            </w:r>
          </w:p>
        </w:tc>
        <w:tc>
          <w:tcPr>
            <w:tcW w:type="dxa" w:w="123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sb-02</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sachbearbeiter</w:t>
            </w:r>
          </w:p>
        </w:tc>
        <w:tc>
          <w:tcPr>
            <w:tcW w:type="dxa" w:w="421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wie sb-01 — zweite Kennung für das Vier-Augen-Prinzip</w:t>
            </w:r>
          </w:p>
        </w:tc>
      </w:tr>
    </w:tbl>
    <w:p>
      <w:pPr>
        <w:pStyle w:val="Heading1"/>
        <w:keepNext/>
        <w:spacing w:after="200" w:before="360" w:line="380" w:lineRule="atLeast"/>
      </w:pPr>
      <w:r>
        <w:rPr>
          <w:rFonts w:ascii="Times New Roman" w:eastAsia="Times New Roman"/>
          <w:b/>
          <w:bCs/>
          <w:color w:val="000000"/>
          <w:sz w:val="32"/>
          <w:szCs w:val="32"/>
        </w:rPr>
        <w:t xml:space="preserve">2  Fachliche und rechtliche Grundlagen (SGB XII)</w:t>
      </w:r>
    </w:p>
    <w:p>
      <w:pPr>
        <w:pStyle w:val="Heading2"/>
        <w:keepNext/>
        <w:spacing w:after="140" w:before="280" w:line="340" w:lineRule="atLeast"/>
      </w:pPr>
      <w:r>
        <w:rPr>
          <w:rFonts w:ascii="Times New Roman" w:eastAsia="Times New Roman"/>
          <w:b/>
          <w:bCs/>
          <w:color w:val="000000"/>
          <w:sz w:val="27"/>
          <w:szCs w:val="27"/>
        </w:rPr>
        <w:t xml:space="preserve">2.1  Leistungen der Grundsicherung im Alter und bei Erwerbsminderung</w:t>
      </w:r>
    </w:p>
    <w:p>
      <w:pPr>
        <w:spacing w:after="120" w:line="312"/>
        <w:jc w:val="left"/>
      </w:pPr>
      <w:r>
        <w:rPr>
          <w:rFonts w:ascii="Times New Roman" w:eastAsia="Times New Roman"/>
          <w:b w:val="false"/>
          <w:bCs w:val="false"/>
          <w:i w:val="false"/>
          <w:iCs w:val="false"/>
          <w:color w:val="000000"/>
          <w:sz w:val="22"/>
          <w:szCs w:val="22"/>
        </w:rPr>
        <w:t xml:space="preserve">Die Grundsicherung im Alter und bei Erwerbsminderung ist in den §§ 41 bis 46b SGB XII geregelt. Sie steht Personen zu, die die Altersgrenze erreicht haben oder dauerhaft voll erwerbsgemindert sind und ihren notwendigen Lebensunterhalt nicht aus eigenen Mitteln und Einkünften bestreiten können. Der Anspruch umfasst den Regelbedarf zum Leben, die Kosten der Unterkunft und Heizung sowie Mehrbedarfe in besonderen Lebenslagen; Einkommen und Vermögen werden nach §§ 82 und 90 SGB XII angerechnet.</w:t>
      </w:r>
    </w:p>
    <w:p>
      <w:pPr>
        <w:spacing w:after="120" w:line="312"/>
        <w:jc w:val="left"/>
      </w:pPr>
      <w:r>
        <w:rPr>
          <w:rFonts w:ascii="Times New Roman" w:eastAsia="Times New Roman"/>
          <w:b w:val="false"/>
          <w:bCs w:val="false"/>
          <w:i w:val="false"/>
          <w:iCs w:val="false"/>
          <w:color w:val="000000"/>
          <w:sz w:val="22"/>
          <w:szCs w:val="22"/>
        </w:rPr>
        <w:t xml:space="preserve">SDN.Leistung LMG bildet genau diese Prüfung rechnerisch ab: Die Anwendung ermittelt je Leistungsberechtigtem (SozialFall) den Bedarf, summiert ihn auf die Bedarfsgemeinschaft, rechnet das zu berücksichtigende Einkommen gegen und weist den verbleibenden Zahlbetrag aus. Die rechtliche Verbindlichkeit erhält das Ergebnis durch den Bewilligungsbescheid nach § 44 SGB XII (Kapitel 8).</w:t>
      </w:r>
    </w:p>
    <w:p>
      <w:pPr>
        <w:pStyle w:val="Heading2"/>
        <w:keepNext/>
        <w:spacing w:after="140" w:before="280" w:line="340" w:lineRule="atLeast"/>
      </w:pPr>
      <w:r>
        <w:rPr>
          <w:rFonts w:ascii="Times New Roman" w:eastAsia="Times New Roman"/>
          <w:b/>
          <w:bCs/>
          <w:color w:val="000000"/>
          <w:sz w:val="27"/>
          <w:szCs w:val="27"/>
        </w:rPr>
        <w:t xml:space="preserve">2.2  Regelbedarfe und Mehrbedarfe</w:t>
      </w:r>
    </w:p>
    <w:p>
      <w:pPr>
        <w:spacing w:after="120" w:line="312"/>
        <w:jc w:val="left"/>
      </w:pPr>
      <w:r>
        <w:rPr>
          <w:rFonts w:ascii="Times New Roman" w:eastAsia="Times New Roman"/>
          <w:b w:val="false"/>
          <w:bCs w:val="false"/>
          <w:i w:val="false"/>
          <w:iCs w:val="false"/>
          <w:color w:val="000000"/>
          <w:sz w:val="22"/>
          <w:szCs w:val="22"/>
        </w:rPr>
        <w:t xml:space="preserve">Der Regelbedarf deckt den Lebensunterhalt mit Nahrung, Kleidung, Körperpflege, Hausrat, Haushaltsenergie (ohne Heizung) und persönlichen Bedürfnissen des Tages. Er ist nach Regelbedarfsstufen (RBS) gestaffelt, die sich nach dem Personenkreis richten. Die Stufen stehen je Jahr in der Satztabelle der Datenbank (Start 2026: alle sechs Stufen hinterlegt); zum 1. Januar wird der neue Stand als neue Tabellenzeile gepflegt — der Jahreswechsel erfordert keine Programmänderung:</w:t>
      </w:r>
    </w:p>
    <w:p>
      <w:pPr>
        <w:keepNext/>
        <w:spacing w:after="80" w:before="160"/>
      </w:pPr>
      <w:r>
        <w:rPr>
          <w:rFonts w:ascii="Times New Roman" w:eastAsia="Times New Roman"/>
          <w:b/>
          <w:bCs/>
          <w:color w:val="404040"/>
          <w:sz w:val="20"/>
          <w:szCs w:val="20"/>
        </w:rPr>
        <w:t xml:space="preserve">Tabelle 3 — Regelbedarfsstufen 2026 (hinterlegte Werte der Anwendung)</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1055"/>
        <w:gridCol w:w="1758"/>
        <w:gridCol w:w="5976"/>
      </w:tblGrid>
      <w:tr>
        <w:trPr>
          <w:cantSplit/>
          <w:tblHeader/>
        </w:trPr>
        <w:tc>
          <w:tcPr>
            <w:tcW w:type="dxa" w:w="105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Stufe</w:t>
            </w:r>
          </w:p>
        </w:tc>
        <w:tc>
          <w:tcPr>
            <w:tcW w:type="dxa" w:w="1758"/>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Betrag 2026</w:t>
            </w:r>
          </w:p>
        </w:tc>
        <w:tc>
          <w:tcPr>
            <w:tcW w:type="dxa" w:w="5976"/>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Typischer Personenkreis</w:t>
            </w:r>
          </w:p>
        </w:tc>
      </w:tr>
      <w:tr>
        <w:trPr>
          <w:cantSplit/>
        </w:trPr>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RBS 1</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563,00 EUR</w:t>
            </w:r>
          </w:p>
        </w:tc>
        <w:tc>
          <w:tcPr>
            <w:tcW w:type="dxa" w:w="597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alleinstehende volljährige Personen (Hauptfall)</w:t>
            </w:r>
          </w:p>
        </w:tc>
      </w:tr>
      <w:tr>
        <w:trPr>
          <w:cantSplit/>
        </w:trPr>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RBS 2</w:t>
            </w:r>
          </w:p>
        </w:tc>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506,00 EUR</w:t>
            </w:r>
          </w:p>
        </w:tc>
        <w:tc>
          <w:tcPr>
            <w:tcW w:type="dxa" w:w="597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Ehegatten/Lebenspartner in Bedarfsgemeinschaft</w:t>
            </w:r>
          </w:p>
        </w:tc>
      </w:tr>
      <w:tr>
        <w:trPr>
          <w:cantSplit/>
        </w:trPr>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RBS 3</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451,00 EUR</w:t>
            </w:r>
          </w:p>
        </w:tc>
        <w:tc>
          <w:tcPr>
            <w:tcW w:type="dxa" w:w="597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volljährige Personen ohne eigenen Haushalt (sonstige BG-Mitglieder)</w:t>
            </w:r>
          </w:p>
        </w:tc>
      </w:tr>
      <w:tr>
        <w:trPr>
          <w:cantSplit/>
        </w:trPr>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RBS 4</w:t>
            </w:r>
          </w:p>
        </w:tc>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471,00 EUR</w:t>
            </w:r>
          </w:p>
        </w:tc>
        <w:tc>
          <w:tcPr>
            <w:tcW w:type="dxa" w:w="597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Jugendliche von 14 bis 17 Jahren</w:t>
            </w:r>
          </w:p>
        </w:tc>
      </w:tr>
      <w:tr>
        <w:trPr>
          <w:cantSplit/>
        </w:trPr>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RBS 5</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390,00 EUR</w:t>
            </w:r>
          </w:p>
        </w:tc>
        <w:tc>
          <w:tcPr>
            <w:tcW w:type="dxa" w:w="597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Kinder von 6 bis 13 Jahren</w:t>
            </w:r>
          </w:p>
        </w:tc>
      </w:tr>
      <w:tr>
        <w:trPr>
          <w:cantSplit/>
        </w:trPr>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RBS 6</w:t>
            </w:r>
          </w:p>
        </w:tc>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357,00 EUR</w:t>
            </w:r>
          </w:p>
        </w:tc>
        <w:tc>
          <w:tcPr>
            <w:tcW w:type="dxa" w:w="597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Kinder bis 5 Jahre</w:t>
            </w:r>
          </w:p>
        </w:tc>
      </w:tr>
    </w:tbl>
    <w:p>
      <w:pPr>
        <w:spacing w:after="120" w:line="312"/>
        <w:jc w:val="left"/>
      </w:pPr>
      <w:r>
        <w:rPr>
          <w:rFonts w:ascii="Times New Roman" w:eastAsia="Times New Roman"/>
          <w:b w:val="false"/>
          <w:bCs w:val="false"/>
          <w:i w:val="false"/>
          <w:iCs w:val="false"/>
          <w:color w:val="000000"/>
          <w:sz w:val="22"/>
          <w:szCs w:val="22"/>
        </w:rPr>
        <w:t xml:space="preserve">Zu dem Regelbedarf treten Mehrbedarfe nach § 30 SGB XII. Die Anwendung unterstützt die automatisierbaren Fallgruppen: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Merkzeichen G (§ 30 Abs. 1 SGB XII): </w:t>
      </w:r>
      <w:r>
        <w:rPr>
          <w:rFonts w:ascii="Times New Roman" w:eastAsia="Times New Roman"/>
          <w:b w:val="false"/>
          <w:bCs w:val="false"/>
          <w:i w:val="false"/>
          <w:iCs w:val="false"/>
          <w:color w:val="000000"/>
          <w:sz w:val="22"/>
          <w:szCs w:val="22"/>
        </w:rPr>
        <w:t xml:space="preserve">17 % des Regelbedarfs für behinderungsbedingte Mehrkosten bei gehinderter Fortbewegung — bei RBS 1 genau 95,71 EUR, bei RBS 2 genau 86,02 EUR.</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Schwangerschaft (§ 30 Abs. 2 SGB XII): </w:t>
      </w:r>
      <w:r>
        <w:rPr>
          <w:rFonts w:ascii="Times New Roman" w:eastAsia="Times New Roman"/>
          <w:b w:val="false"/>
          <w:bCs w:val="false"/>
          <w:i w:val="false"/>
          <w:iCs w:val="false"/>
          <w:color w:val="000000"/>
          <w:sz w:val="22"/>
          <w:szCs w:val="22"/>
        </w:rPr>
        <w:t xml:space="preserve">17 % des Regelbedarfs ab der 13. Schwangerschaftswoche. Das Feld „Entbindungsmonat“ (Format JJJJ-MM, optional) beendet den Mehrbedarf fachlich: Ab dem Folgemonat entfällt nur dieser Zuschlag automatisch, der Grundanspruch läuft weiter. Mehrmonatige Bescheide weisen die Monatsbeträge entsprechend aus; bei der Auszahlung wird je Bezugsmonat mit dem dann geltenden Schwangerschaftsstand gerechnet. Bleibt das Feld leer, liegt die Einhaltung des Endzeitpunkts in der Verantwortung der Sachbearbeitung (Wiedervorlage nutzen).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Alleinerziehende (§ 30 Abs. 3 SGB XII): </w:t>
      </w:r>
      <w:r>
        <w:rPr>
          <w:rFonts w:ascii="Times New Roman" w:eastAsia="Times New Roman"/>
          <w:b w:val="false"/>
          <w:bCs w:val="false"/>
          <w:i w:val="false"/>
          <w:iCs w:val="false"/>
          <w:color w:val="000000"/>
          <w:sz w:val="22"/>
          <w:szCs w:val="22"/>
        </w:rPr>
        <w:t xml:space="preserve">Das implementierte Modell verwendet RBS 1 als Grundlage: 36 % bei mindestens einem Kind unter sieben oder zwei bis drei Kindern unter 16, sonst 12 % je minderjährigem Kind, höchstens 60 %. Spezielle Überschneidungen beider Varianten sind fachlich noch zu klären; dieser Text beschreibt den Code und keine abschließende Rechtsauslegung.</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Obergrenze (§ 30 Abs. 6 SGB XII): </w:t>
      </w:r>
      <w:r>
        <w:rPr>
          <w:rFonts w:ascii="Times New Roman" w:eastAsia="Times New Roman"/>
          <w:b w:val="false"/>
          <w:bCs w:val="false"/>
          <w:i w:val="false"/>
          <w:iCs w:val="false"/>
          <w:color w:val="000000"/>
          <w:sz w:val="22"/>
          <w:szCs w:val="22"/>
        </w:rPr>
        <w:t xml:space="preserve">Die Summe der implementierten Mehrbedarfe nach Absätzen 1 bis 5 ist auf den maßgeblichen Regelbedarf begrenzt. Der Warmwasser-Mehrbedarf nach Absatz 7 wird zusätzlich berücksichtigt. Geldwerte werden mit zwei Dezimalstellen kaufmännisch gerundet.</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Dezentrale Warmwassererzeugung (§ 30 Abs. 7 SGB XII): </w:t>
      </w:r>
      <w:r>
        <w:rPr>
          <w:rFonts w:ascii="Times New Roman" w:eastAsia="Times New Roman"/>
          <w:b w:val="false"/>
          <w:bCs w:val="false"/>
          <w:i w:val="false"/>
          <w:iCs w:val="false"/>
          <w:color w:val="000000"/>
          <w:sz w:val="22"/>
          <w:szCs w:val="22"/>
        </w:rPr>
        <w:t xml:space="preserve">stufenabhängig 2,3 % (RBS 1/2), 1,4 % (RBS 4), 1,2 % (RBS 5) oder 0,8 % (RBS 6) des Regelbedarfs, wenn Warmwasser nicht zentral bereitgestellt wird — bei RBS 1 genau 12,95 EUR, bei RBS 6 genau 2,86 EUR; für RBS 3 sieht das Gesetz keinen Satz vor.</w:t>
      </w:r>
    </w:p>
    <w:p>
      <w:pPr>
        <w:spacing w:after="180" w:line="312"/>
        <w:jc w:val="left"/>
      </w:pPr>
      <w:r>
        <w:rPr>
          <w:rFonts w:ascii="Times New Roman" w:eastAsia="Times New Roman"/>
          <w:b/>
          <w:bCs/>
          <w:i w:val="false"/>
          <w:iCs w:val="false"/>
          <w:color w:val="000000"/>
          <w:sz w:val="22"/>
          <w:szCs w:val="22"/>
        </w:rPr>
        <w:t xml:space="preserve">Fachliche Sorgfalt. </w:t>
      </w:r>
      <w:r>
        <w:rPr>
          <w:rFonts w:ascii="Times New Roman" w:eastAsia="Times New Roman"/>
          <w:b w:val="false"/>
          <w:bCs w:val="false"/>
          <w:i w:val="false"/>
          <w:iCs w:val="false"/>
          <w:color w:val="000000"/>
          <w:sz w:val="22"/>
          <w:szCs w:val="22"/>
        </w:rPr>
        <w:t xml:space="preserve">Die Anwendung berechnet G-, Schwangerschafts- und Warmwasser-Mehrbedarf anhand der erfassten Merkmale; den Alleinerziehenden-Mehrbedarf lösen die eingegebenen Kinderzahlen aus. Die Prüfung, ob ein Merkzeichen nachweislich vorliegt oder Warmwasser tatsächlich dezentral erzeugt wird, bleibt Aufgabe der Sachbearbeitung. Die rechnerische Prüfung ersetzt keine Prüfung der rechtlichen Voraussetzungen und Nachweise.</w:t>
      </w:r>
    </w:p>
    <w:p>
      <w:pPr>
        <w:pStyle w:val="Heading2"/>
        <w:keepNext/>
        <w:spacing w:after="140" w:before="280" w:line="340" w:lineRule="atLeast"/>
      </w:pPr>
      <w:r>
        <w:rPr>
          <w:rFonts w:ascii="Times New Roman" w:eastAsia="Times New Roman"/>
          <w:b/>
          <w:bCs/>
          <w:color w:val="000000"/>
          <w:sz w:val="27"/>
          <w:szCs w:val="27"/>
        </w:rPr>
        <w:t xml:space="preserve">2.3  Kosten der Unterkunft und Heizung</w:t>
      </w:r>
    </w:p>
    <w:p>
      <w:pPr>
        <w:spacing w:after="120" w:line="312"/>
        <w:jc w:val="left"/>
      </w:pPr>
      <w:r>
        <w:rPr>
          <w:rFonts w:ascii="Times New Roman" w:eastAsia="Times New Roman"/>
          <w:b w:val="false"/>
          <w:bCs w:val="false"/>
          <w:i w:val="false"/>
          <w:iCs w:val="false"/>
          <w:color w:val="000000"/>
          <w:sz w:val="22"/>
          <w:szCs w:val="22"/>
        </w:rPr>
        <w:t xml:space="preserve">Die Kosten der Unterkunft (KdU) nach § 35 SGB XII werden nach der „Dreiteilung“ erfasst: anerkannte Kaltmiete, kalte Betriebskosten und Heizkosten. Die Anwendung erfasst alle drei Beträge je SozialFall und summiert sie bedarfsgemeinschaftsweit. Die Angemessenheit wird nur über eine konfigurierbare Obergrenze je Bedarfsgemeinschaft geprüft (§ 35 Abs. 7 SGB XII); darüber hinausgehende Kosten werden nicht anerkannt. Karenzzeit und Absenkungsfrist sind nicht abgebildet und bleiben der Fachprüfung vorbehalten.</w:t>
      </w:r>
    </w:p>
    <w:p>
      <w:pPr>
        <w:pStyle w:val="Heading2"/>
        <w:keepNext/>
        <w:spacing w:after="140" w:before="280" w:line="340" w:lineRule="atLeast"/>
      </w:pPr>
      <w:r>
        <w:rPr>
          <w:rFonts w:ascii="Times New Roman" w:eastAsia="Times New Roman"/>
          <w:b/>
          <w:bCs/>
          <w:color w:val="000000"/>
          <w:sz w:val="27"/>
          <w:szCs w:val="27"/>
        </w:rPr>
        <w:t xml:space="preserve">2.4  Einkommensbereinigung nach § 82 SGB XII</w:t>
      </w:r>
    </w:p>
    <w:p>
      <w:pPr>
        <w:spacing w:after="120" w:line="312"/>
        <w:jc w:val="left"/>
      </w:pPr>
      <w:r>
        <w:rPr>
          <w:rFonts w:ascii="Times New Roman" w:eastAsia="Times New Roman"/>
          <w:b w:val="false"/>
          <w:bCs w:val="false"/>
          <w:i w:val="false"/>
          <w:iCs w:val="false"/>
          <w:color w:val="000000"/>
          <w:sz w:val="22"/>
          <w:szCs w:val="22"/>
        </w:rPr>
        <w:t xml:space="preserve">Dem Bedarf wird das Einkommen gegen gerechnet. Die Anwendung behandelt die beiden typischen Einkommensarten der Zielgruppe unterschiedlich: Renteneinkünfte werden voll angerechnet; aus brutto Erwerbseinkommen wird ein Erwerbsfreibetrag abgezogen, der dem Gesetzestext von § 82 Abs. 3 SGB XII folgt: 30 % des Brutto-Erwerbseinkommens, begrenzt auf die Hälfte der Regelbedarfsstufe 1 — im Referenzjahr also höchstens 281,50 EUR. Beispiel: Wer 1.500,00 EUR brutto verdient, behält 281,50 EUR anrechnungsfrei; wer 800,00 EUR verdient, behält 30 % davon, also 240,00 EUR, weil der Betrag unter der Kappungsgrenze liegt.</w:t>
      </w:r>
    </w:p>
    <w:p>
      <w:pPr>
        <w:spacing w:after="120" w:line="312"/>
        <w:jc w:val="left"/>
      </w:pPr>
      <w:r>
        <w:rPr>
          <w:rFonts w:ascii="Times New Roman" w:eastAsia="Times New Roman"/>
          <w:b w:val="false"/>
          <w:bCs w:val="false"/>
          <w:i w:val="false"/>
          <w:iCs w:val="false"/>
          <w:color w:val="000000"/>
          <w:sz w:val="22"/>
          <w:szCs w:val="22"/>
        </w:rPr>
        <w:t xml:space="preserve">Der Zahlbetrag ergibt sich als Gesamtbedarf minus anrechenbarem Einkommen und noch einzusetzendem Vermögen. Ist das Ergebnis null oder negativ, besteht kein Leistungsanspruch — die Anwendung meldet in diesem Fall KEIN_ANSPRUCH und lässt keine Auszahlung zu (Abbildung 11).</w:t>
      </w:r>
    </w:p>
    <w:p>
      <w:pPr>
        <w:keepNext/>
        <w:spacing w:after="60" w:before="160"/>
        <w:jc w:val="center"/>
      </w:pPr>
      <w:r>
        <w:drawing>
          <wp:inline distT="0" distB="0" distL="0" distR="0">
            <wp:extent cx="53530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53050" cy="298132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2 — Berechnungsfluss von Regelbedarf, Mehrbedarf, KdU und Einkommen zum Zahlbetrag. Diagrammstand 13. Oktober 2026.</w:t>
      </w:r>
    </w:p>
    <w:p>
      <w:pPr>
        <w:pStyle w:val="Heading2"/>
        <w:keepNext/>
        <w:spacing w:after="140" w:before="280" w:line="340" w:lineRule="atLeast"/>
      </w:pPr>
      <w:r>
        <w:rPr>
          <w:rFonts w:ascii="Times New Roman" w:eastAsia="Times New Roman"/>
          <w:b/>
          <w:bCs/>
          <w:color w:val="000000"/>
          <w:sz w:val="27"/>
          <w:szCs w:val="27"/>
        </w:rPr>
        <w:t xml:space="preserve">2.5  Der Vorgang: Bedarfsgemeinschaft und SozialFall</w:t>
      </w:r>
    </w:p>
    <w:p>
      <w:pPr>
        <w:spacing w:after="120" w:line="312"/>
        <w:jc w:val="left"/>
      </w:pPr>
      <w:r>
        <w:rPr>
          <w:rFonts w:ascii="Times New Roman" w:eastAsia="Times New Roman"/>
          <w:b w:val="false"/>
          <w:bCs w:val="false"/>
          <w:i w:val="false"/>
          <w:iCs w:val="false"/>
          <w:color w:val="000000"/>
          <w:sz w:val="22"/>
          <w:szCs w:val="22"/>
        </w:rPr>
        <w:t xml:space="preserve">Die Anwendung arbeitet mit zwei zentralen Fachbegriffen: Die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ist der Vorgang — sie trägt ein eindeutiges Aktenzeichen, eine Hauptperson, ein Restbudget für die laufende Bewilligung und die SEPA-Bankverbindung. 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ist ein einzelner Leistungsberechtigter innerhalb der Bedarfsgemeinschaft mit seiner Regelbedarfsstufe, seinen Mehrbedarf-Merkzeichen, seinen Unterkunftskosten und seinem Einkommen. Ein Paar in einer gemeinsamen Wohnung ist ein Vorgang mit zwei SozialFällen; der Zahlbetrag wird über beide Fälle summiert und auf die Bedarfsgemeinschaft ausgezahlt.</w:t>
      </w:r>
    </w:p>
    <w:p>
      <w:pPr>
        <w:spacing w:after="180" w:line="312"/>
        <w:jc w:val="left"/>
      </w:pPr>
      <w:r>
        <w:rPr>
          <w:rFonts w:ascii="Times New Roman" w:eastAsia="Times New Roman"/>
          <w:b/>
          <w:bCs/>
          <w:i w:val="false"/>
          <w:iCs w:val="false"/>
          <w:color w:val="000000"/>
          <w:sz w:val="22"/>
          <w:szCs w:val="22"/>
        </w:rPr>
        <w:t xml:space="preserve">Namenskonvention. </w:t>
      </w:r>
      <w:r>
        <w:rPr>
          <w:rFonts w:ascii="Times New Roman" w:eastAsia="Times New Roman"/>
          <w:b w:val="false"/>
          <w:bCs w:val="false"/>
          <w:i w:val="false"/>
          <w:iCs w:val="false"/>
          <w:color w:val="000000"/>
          <w:sz w:val="22"/>
          <w:szCs w:val="22"/>
        </w:rPr>
        <w:t xml:space="preserve">Die Begriffe Bedarfsgemeinschaft und SozialFall durchdringen Oberfläche, Datenmodell und Dokumentation einheitlich (Tabelle SOZIAL_FALL). Wer aus anderen Fachverfahren „Leistungsfall“ oder „BG“ gewohnt ist, findet beides wieder: „BG“ steht in Aktenzeichen wie BG-2026-0001.</w:t>
      </w:r>
    </w:p>
    <w:p>
      <w:pPr>
        <w:pStyle w:val="Heading2"/>
        <w:keepNext/>
        <w:spacing w:after="140" w:before="280" w:line="340" w:lineRule="atLeast"/>
      </w:pPr>
      <w:r>
        <w:rPr>
          <w:rFonts w:ascii="Times New Roman" w:eastAsia="Times New Roman"/>
          <w:b/>
          <w:bCs/>
          <w:color w:val="000000"/>
          <w:sz w:val="27"/>
          <w:szCs w:val="27"/>
        </w:rPr>
        <w:t xml:space="preserve">2.6  Absetzbeträge und Vermögensfortschreibung</w:t>
      </w:r>
    </w:p>
    <w:p>
      <w:pPr>
        <w:spacing w:after="120" w:line="312"/>
        <w:jc w:val="left"/>
      </w:pPr>
      <w:r>
        <w:rPr>
          <w:rFonts w:ascii="Times New Roman" w:eastAsia="Times New Roman"/>
          <w:b w:val="false"/>
          <w:bCs w:val="false"/>
          <w:i w:val="false"/>
          <w:iCs w:val="false"/>
          <w:color w:val="000000"/>
          <w:sz w:val="22"/>
          <w:szCs w:val="22"/>
        </w:rPr>
        <w:t xml:space="preserve">Vom Einkommen werden nach dem implementierten Modell zusätzlich Steuern, Pflichtbeiträge, Versicherungen und Arbeitsmittel abgesetzt; das anrechenbare Einkommen wird nicht negativ. Das Schonvermögen beträgt im Modell 10.000 EUR je volljähriger Person und 500 EUR je weiterer unterhaltener Person. Ein Haushalt ohne Erwachsene erhält den Grundbetrag einmal. Der darüber liegende Vermögensanteil mindert zunächst den Zahlbetrag und wird bei der tatsächlichen Auszahlung dokumentiert verbraucht. Ab dem Folgemonat steht dieses bereits verbrauchte Vermögen nicht erneut zur Anrechnung. Ein Storno stellt genau den dokumentierten Einsatz wieder her.</w:t>
      </w:r>
    </w:p>
    <w:p>
      <w:pPr>
        <w:pStyle w:val="Heading1"/>
        <w:keepNext/>
        <w:spacing w:after="200" w:before="360" w:line="380" w:lineRule="atLeast"/>
      </w:pPr>
      <w:r>
        <w:rPr>
          <w:rFonts w:ascii="Times New Roman" w:eastAsia="Times New Roman"/>
          <w:b/>
          <w:bCs/>
          <w:color w:val="000000"/>
          <w:sz w:val="32"/>
          <w:szCs w:val="32"/>
        </w:rPr>
        <w:t xml:space="preserve">3  Anmeldung und Rollen</w:t>
      </w:r>
    </w:p>
    <w:p>
      <w:pPr>
        <w:pStyle w:val="Heading2"/>
        <w:keepNext/>
        <w:spacing w:after="140" w:before="280" w:line="340" w:lineRule="atLeast"/>
      </w:pPr>
      <w:r>
        <w:rPr>
          <w:rFonts w:ascii="Times New Roman" w:eastAsia="Times New Roman"/>
          <w:b/>
          <w:bCs/>
          <w:color w:val="000000"/>
          <w:sz w:val="27"/>
          <w:szCs w:val="27"/>
        </w:rPr>
        <w:t xml:space="preserve">3.1  Anmelden</w:t>
      </w:r>
    </w:p>
    <w:p>
      <w:pPr>
        <w:spacing w:after="120" w:line="312"/>
        <w:jc w:val="left"/>
      </w:pPr>
      <w:r>
        <w:rPr>
          <w:rFonts w:ascii="Times New Roman" w:eastAsia="Times New Roman"/>
          <w:b w:val="false"/>
          <w:bCs w:val="false"/>
          <w:i w:val="false"/>
          <w:iCs w:val="false"/>
          <w:color w:val="000000"/>
          <w:sz w:val="22"/>
          <w:szCs w:val="22"/>
        </w:rPr>
        <w:t xml:space="preserve">Die Oberfläche zeigt vor der ersten Aktion eine Anmeldemaske. Anmelden mit der Behörden-Kennung und dem zugehörigen Passwort; die Schaltfläche „Anmelden“ bestätigt. Nach erfolgreicher Anmeldung zeigt die Seitenleiste unten die angemeldete Kennung mit der Rolle, zum Beispiel „Angemeldet: admin-01 (Admin)“.</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3 — Anmeldemaske der SDN.Leistung-Oberfläche. Historischer Screenshot zur Orientierung; aktueller Ablauf siehe Text.</w:t>
      </w:r>
    </w:p>
    <w:p>
      <w:pPr>
        <w:spacing w:after="120" w:line="312"/>
        <w:jc w:val="left"/>
      </w:pPr>
      <w:r>
        <w:rPr>
          <w:rFonts w:ascii="Times New Roman" w:eastAsia="Times New Roman"/>
          <w:b w:val="false"/>
          <w:bCs w:val="false"/>
          <w:i w:val="false"/>
          <w:iCs w:val="false"/>
          <w:color w:val="000000"/>
          <w:sz w:val="22"/>
          <w:szCs w:val="22"/>
        </w:rPr>
        <w:t xml:space="preserve">Technisch stellt die Anmeldung ein Sitzungs-Token aus, das der Browser zu jeder weiteren Anfrage mitsendet. Sitzungen liegen im Speicher des Servers: Nach einem Server-Neustart ist eine neue Anmeldung erforderlich. Das ist bewusst so gebaut — für den echten Betrieb gehört an diese Stelle ein Verzeichnisdienst (LDAP/Active Directory) hinter HTTPS, das Handbuch von Teil II (Kapitel 18) beschreibt die serverseitige Prüfung im Detail.</w:t>
      </w:r>
    </w:p>
    <w:p>
      <w:pPr>
        <w:pStyle w:val="Heading2"/>
        <w:keepNext/>
        <w:spacing w:after="140" w:before="280" w:line="340" w:lineRule="atLeast"/>
      </w:pPr>
      <w:r>
        <w:rPr>
          <w:rFonts w:ascii="Times New Roman" w:eastAsia="Times New Roman"/>
          <w:b/>
          <w:bCs/>
          <w:color w:val="000000"/>
          <w:sz w:val="27"/>
          <w:szCs w:val="27"/>
        </w:rPr>
        <w:t xml:space="preserve">3.2  Rollen und Rechte</w:t>
      </w:r>
    </w:p>
    <w:p>
      <w:pPr>
        <w:spacing w:after="120" w:line="312"/>
        <w:jc w:val="left"/>
      </w:pPr>
      <w:r>
        <w:rPr>
          <w:rFonts w:ascii="Times New Roman" w:eastAsia="Times New Roman"/>
          <w:b w:val="false"/>
          <w:bCs w:val="false"/>
          <w:i w:val="false"/>
          <w:iCs w:val="false"/>
          <w:color w:val="000000"/>
          <w:sz w:val="22"/>
          <w:szCs w:val="22"/>
        </w:rPr>
        <w:t xml:space="preserve">Die Anwendung kennt zwei Rollen. Die Rechteprüfung findet ausschließlich auf dem Server statt — die Oberfläche blendet Funktionen lediglich aus, ein Umgehen über die Schnittstelle ist dadurch wirkungslos:</w:t>
      </w:r>
    </w:p>
    <w:p>
      <w:pPr>
        <w:keepNext/>
        <w:spacing w:after="80" w:before="160"/>
      </w:pPr>
      <w:r>
        <w:rPr>
          <w:rFonts w:ascii="Times New Roman" w:eastAsia="Times New Roman"/>
          <w:b/>
          <w:bCs/>
          <w:color w:val="404040"/>
          <w:sz w:val="20"/>
          <w:szCs w:val="20"/>
        </w:rPr>
        <w:t xml:space="preserve">Tabelle 4 — Rollen und Berechtigungen im Überblick</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4921"/>
        <w:gridCol w:w="1758"/>
        <w:gridCol w:w="2109"/>
      </w:tblGrid>
      <w:tr>
        <w:trPr>
          <w:cantSplit/>
          <w:tblHeader/>
        </w:trPr>
        <w:tc>
          <w:tcPr>
            <w:tcW w:type="dxa" w:w="4921"/>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Funktion</w:t>
            </w:r>
          </w:p>
        </w:tc>
        <w:tc>
          <w:tcPr>
            <w:tcW w:type="dxa" w:w="1758"/>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sachbearbeiter</w:t>
            </w:r>
          </w:p>
        </w:tc>
        <w:tc>
          <w:tcPr>
            <w:tcW w:type="dxa" w:w="2109"/>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admin</w:t>
            </w:r>
          </w:p>
        </w:tc>
      </w:tr>
      <w:tr>
        <w:trPr>
          <w:cantSplit/>
        </w:trPr>
        <w:tc>
          <w:tcPr>
            <w:tcW w:type="dxa" w:w="492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Fallübersicht, Vorgänge öffnen und speichern</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dxa" w:w="492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SozialFälle anlegen und ändern</w:t>
            </w:r>
          </w:p>
        </w:tc>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dxa" w:w="492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Auszahlung anordnen (Zahlbarmachung)</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dxa" w:w="492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Zahlung freigeben (Vier-Augen, als zweite Person)</w:t>
            </w:r>
          </w:p>
        </w:tc>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 (Admin-Sonderrolle erlaubt Selbstfreigabe)</w:t>
            </w:r>
          </w:p>
        </w:tc>
      </w:tr>
      <w:tr>
        <w:trPr>
          <w:cantSplit/>
        </w:trPr>
        <w:tc>
          <w:tcPr>
            <w:tcW w:type="dxa" w:w="492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Buchungsjournal einsehen</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dxa" w:w="492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Systemstatus (Adminbereich) einsehen</w:t>
            </w:r>
          </w:p>
        </w:tc>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nein (403)</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dxa" w:w="492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Kassenlauf ausführen</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nein (403)</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dxa" w:w="492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Storno ANGELEGT oder BEREIT</w:t>
            </w:r>
          </w:p>
        </w:tc>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nein (403)</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dxa" w:w="492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Saga-Wiederanlauf anstoßen</w:t>
            </w:r>
          </w:p>
        </w:tc>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nein (403)</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ja</w:t>
            </w:r>
          </w:p>
        </w:tc>
      </w:tr>
    </w:tbl>
    <w:p>
      <w:pPr>
        <w:spacing w:after="120" w:line="312"/>
        <w:jc w:val="left"/>
      </w:pPr>
      <w:r>
        <w:rPr>
          <w:rFonts w:ascii="Times New Roman" w:eastAsia="Times New Roman"/>
          <w:b/>
          <w:bCs/>
          <w:i w:val="false"/>
          <w:iCs w:val="false"/>
          <w:color w:val="000000"/>
          <w:sz w:val="22"/>
          <w:szCs w:val="22"/>
        </w:rPr>
        <w:t xml:space="preserve">Wichtig für die Praxis: </w:t>
      </w:r>
      <w:r>
        <w:rPr>
          <w:rFonts w:ascii="Times New Roman" w:eastAsia="Times New Roman"/>
          <w:b w:val="false"/>
          <w:bCs w:val="false"/>
          <w:i w:val="false"/>
          <w:iCs w:val="false"/>
          <w:color w:val="000000"/>
          <w:sz w:val="22"/>
          <w:szCs w:val="22"/>
        </w:rPr>
        <w:t xml:space="preserve">die Sachbearbeiter-Kennung, die im Buchungsjournal erscheint, kommt ausschließlich aus der Anmeldung. Eine Kennung im Anfragekörper wird ignoriert — jedes Journal-Ereignis ist damit der angemeldeten Person zugeordnet.</w:t>
      </w:r>
    </w:p>
    <w:p>
      <w:pPr>
        <w:pStyle w:val="Heading2"/>
        <w:keepNext/>
        <w:spacing w:after="140" w:before="280" w:line="340" w:lineRule="atLeast"/>
      </w:pPr>
      <w:r>
        <w:rPr>
          <w:rFonts w:ascii="Times New Roman" w:eastAsia="Times New Roman"/>
          <w:b/>
          <w:bCs/>
          <w:color w:val="000000"/>
          <w:sz w:val="27"/>
          <w:szCs w:val="27"/>
        </w:rPr>
        <w:t xml:space="preserve">3.3  Abmelden und Sitzungsende</w:t>
      </w:r>
    </w:p>
    <w:p>
      <w:pPr>
        <w:spacing w:after="120" w:line="312"/>
        <w:jc w:val="left"/>
      </w:pPr>
      <w:r>
        <w:rPr>
          <w:rFonts w:ascii="Times New Roman" w:eastAsia="Times New Roman"/>
          <w:b w:val="false"/>
          <w:bCs w:val="false"/>
          <w:i w:val="false"/>
          <w:iCs w:val="false"/>
          <w:color w:val="000000"/>
          <w:sz w:val="22"/>
          <w:szCs w:val="22"/>
        </w:rPr>
        <w:t xml:space="preserve">Über „Abmelden“ in der Seitenleiste endet die Sitzung; das Token wird serverseitig verworfen. Weil Sitzungen im Speicher liegen, enden sie auch beim Neustart des Servers. In beiden Fällen zeigt die Oberfläche beim nächsten Aufruf wieder die Anmeldemaske.</w:t>
      </w:r>
    </w:p>
    <w:p>
      <w:pPr>
        <w:pStyle w:val="Heading1"/>
        <w:keepNext/>
        <w:spacing w:after="200" w:before="360" w:line="380" w:lineRule="atLeast"/>
      </w:pPr>
      <w:r>
        <w:rPr>
          <w:rFonts w:ascii="Times New Roman" w:eastAsia="Times New Roman"/>
          <w:b/>
          <w:bCs/>
          <w:color w:val="000000"/>
          <w:sz w:val="32"/>
          <w:szCs w:val="32"/>
        </w:rPr>
        <w:t xml:space="preserve">4  Die Fallübersicht</w:t>
      </w:r>
    </w:p>
    <w:p>
      <w:pPr>
        <w:pStyle w:val="Heading2"/>
        <w:keepNext/>
        <w:spacing w:after="140" w:before="280" w:line="340" w:lineRule="atLeast"/>
      </w:pPr>
      <w:r>
        <w:rPr>
          <w:rFonts w:ascii="Times New Roman" w:eastAsia="Times New Roman"/>
          <w:b/>
          <w:bCs/>
          <w:color w:val="000000"/>
          <w:sz w:val="27"/>
          <w:szCs w:val="27"/>
        </w:rPr>
        <w:t xml:space="preserve">4.1  Aufbau der Übersicht</w:t>
      </w:r>
    </w:p>
    <w:p>
      <w:pPr>
        <w:spacing w:after="120" w:line="312"/>
        <w:jc w:val="left"/>
      </w:pPr>
      <w:r>
        <w:rPr>
          <w:rFonts w:ascii="Times New Roman" w:eastAsia="Times New Roman"/>
          <w:b w:val="false"/>
          <w:bCs w:val="false"/>
          <w:i w:val="false"/>
          <w:iCs w:val="false"/>
          <w:color w:val="000000"/>
          <w:sz w:val="22"/>
          <w:szCs w:val="22"/>
        </w:rPr>
        <w:t xml:space="preserve">Nach der Anmeldung landet man in der Fallübersicht. Sie kombiniert vier Kennzahlen-Karten mit der Vorgangstabelle:</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Aktive Vorgänge: </w:t>
      </w:r>
      <w:r>
        <w:rPr>
          <w:rFonts w:ascii="Times New Roman" w:eastAsia="Times New Roman"/>
          <w:b w:val="false"/>
          <w:bCs w:val="false"/>
          <w:i w:val="false"/>
          <w:iCs w:val="false"/>
          <w:color w:val="000000"/>
          <w:sz w:val="22"/>
          <w:szCs w:val="22"/>
        </w:rPr>
        <w:t xml:space="preserve">Anzahl der Bedarfsgemeinschaften im Status „aktiv“ (historisierte zählen nicht).</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Zahlbetrag-Vorschau (Summe): </w:t>
      </w:r>
      <w:r>
        <w:rPr>
          <w:rFonts w:ascii="Times New Roman" w:eastAsia="Times New Roman"/>
          <w:b w:val="false"/>
          <w:bCs w:val="false"/>
          <w:i w:val="false"/>
          <w:iCs w:val="false"/>
          <w:color w:val="000000"/>
          <w:sz w:val="22"/>
          <w:szCs w:val="22"/>
        </w:rPr>
        <w:t xml:space="preserve">Summe der aktuell berechneten Zahlbeträge aller aktiven Vorgänge — die unmittelbare Monatslast-Vorschau.</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Zahlungen bereit (30 Tage): </w:t>
      </w:r>
      <w:r>
        <w:rPr>
          <w:rFonts w:ascii="Times New Roman" w:eastAsia="Times New Roman"/>
          <w:b w:val="false"/>
          <w:bCs w:val="false"/>
          <w:i w:val="false"/>
          <w:iCs w:val="false"/>
          <w:color w:val="000000"/>
          <w:sz w:val="22"/>
          <w:szCs w:val="22"/>
        </w:rPr>
        <w:t xml:space="preserve">Anzahl und Umfang der Zahlungen im Status BEREIT, die beim nächsten Kassenlauf übergeben werden.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Fristen / Wiedervorlage: </w:t>
      </w:r>
      <w:r>
        <w:rPr>
          <w:rFonts w:ascii="Times New Roman" w:eastAsia="Times New Roman"/>
          <w:b w:val="false"/>
          <w:bCs w:val="false"/>
          <w:i w:val="false"/>
          <w:iCs w:val="false"/>
          <w:color w:val="000000"/>
          <w:sz w:val="22"/>
          <w:szCs w:val="22"/>
        </w:rPr>
        <w:t xml:space="preserve">Anzahl der Vorgänge, deren Wiedervorlagedatum erreicht ist oder bevorsteht.</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4 — Fallübersicht mit Kennzahlen-Karten, Suchfeld und Vorgangstabelle. Historischer Screenshot zur Orientierung; aktueller Ablauf siehe Text.</w:t>
      </w:r>
    </w:p>
    <w:p>
      <w:pPr>
        <w:spacing w:after="120" w:line="312"/>
        <w:jc w:val="left"/>
      </w:pPr>
      <w:r>
        <w:rPr>
          <w:rFonts w:ascii="Times New Roman" w:eastAsia="Times New Roman"/>
          <w:b w:val="false"/>
          <w:bCs w:val="false"/>
          <w:i w:val="false"/>
          <w:iCs w:val="false"/>
          <w:color w:val="000000"/>
          <w:sz w:val="22"/>
          <w:szCs w:val="22"/>
        </w:rPr>
        <w:t xml:space="preserve">Die Vorgangstabelle listet Aktenzeichen, Hauptperson, Status (Chip „aktiv“ oder „historisiert“), Restbudget, Zahlbetrag-Vorschau und Wiedervorlagedatum. Mit „Öffnen“ gelangt man in die Vorgangsmaske (Kapitel 5). Das Suchfeld rechts oben filtert inkrementell nach Aktenzeichen oder Name — bereits beim Tippen.</w:t>
      </w:r>
    </w:p>
    <w:p>
      <w:pPr>
        <w:pStyle w:val="Heading2"/>
        <w:keepNext/>
        <w:spacing w:after="140" w:before="280" w:line="340" w:lineRule="atLeast"/>
      </w:pPr>
      <w:r>
        <w:rPr>
          <w:rFonts w:ascii="Times New Roman" w:eastAsia="Times New Roman"/>
          <w:b/>
          <w:bCs/>
          <w:color w:val="000000"/>
          <w:sz w:val="27"/>
          <w:szCs w:val="27"/>
        </w:rPr>
        <w:t xml:space="preserve">4.2  Neuen Vorgang anlegen</w:t>
      </w:r>
    </w:p>
    <w:p>
      <w:pPr>
        <w:spacing w:after="120" w:line="312"/>
        <w:jc w:val="left"/>
      </w:pPr>
      <w:r>
        <w:rPr>
          <w:rFonts w:ascii="Times New Roman" w:eastAsia="Times New Roman"/>
          <w:b w:val="false"/>
          <w:bCs w:val="false"/>
          <w:i w:val="false"/>
          <w:iCs w:val="false"/>
          <w:color w:val="000000"/>
          <w:sz w:val="22"/>
          <w:szCs w:val="22"/>
        </w:rPr>
        <w:t xml:space="preserve">Über die Schaltfläche „+ Neuer Vorgang“ klappt die Anlagemaske auf. Pflichtangaben sind ein eindeutiges Aktenzeichen und der Name der Hauptperson; empfohlen sind Startbudget, Wiedervorlage und die SEPA-Bankverbindung (IBAN, BIC, Kontoinhaber), die als Standard für spätere Auszahlungen dient.</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5 — Anlagemaske „Neuen Vorgang anlegen“ über der Fallübersicht. Historischer Screenshot zur Orientierung; aktueller Ablauf siehe Text.</w:t>
      </w:r>
    </w:p>
    <w:p>
      <w:pPr>
        <w:spacing w:after="120" w:line="312"/>
        <w:jc w:val="left"/>
      </w:pPr>
      <w:r>
        <w:rPr>
          <w:rFonts w:ascii="Times New Roman" w:eastAsia="Times New Roman"/>
          <w:b/>
          <w:bCs/>
          <w:i w:val="false"/>
          <w:iCs w:val="false"/>
          <w:color w:val="000000"/>
          <w:sz w:val="22"/>
          <w:szCs w:val="22"/>
        </w:rPr>
        <w:t xml:space="preserve">Zu beachten: </w:t>
      </w:r>
      <w:r>
        <w:rPr>
          <w:rFonts w:ascii="Times New Roman" w:eastAsia="Times New Roman"/>
          <w:b w:val="false"/>
          <w:bCs w:val="false"/>
          <w:i w:val="false"/>
          <w:iCs w:val="false"/>
          <w:color w:val="000000"/>
          <w:sz w:val="22"/>
          <w:szCs w:val="22"/>
        </w:rPr>
        <w:t xml:space="preserve">das Aktenzeichen wird auf Eindeutigkeit geprüft — ein Doppeldatum bricht mit dem fachlichen Hinweis VALIDATION ab (die Datenbank erzwingt die Eindeutigkeit über einen UNIQUE-Schlüssel). Das Startbudget begrenzt die Auszahlungen der laufenden Bewilligung: Bei jeder Anordnung mindert das System es, bei Storno bucht es zurück. Wer das Budget auf 0 lässt, kann zunächst keine Auszahlungen anordnen (BUDGET_ERSCHOEPFT).</w:t>
      </w:r>
    </w:p>
    <w:p>
      <w:pPr>
        <w:spacing w:after="120" w:line="312"/>
        <w:jc w:val="left"/>
      </w:pPr>
      <w:r>
        <w:rPr>
          <w:rFonts w:ascii="Times New Roman" w:eastAsia="Times New Roman"/>
          <w:b w:val="false"/>
          <w:bCs w:val="false"/>
          <w:i w:val="false"/>
          <w:iCs w:val="false"/>
          <w:color w:val="000000"/>
          <w:sz w:val="22"/>
          <w:szCs w:val="22"/>
        </w:rPr>
        <w:t xml:space="preserve">Nach dem Anlegen öffnet sich die Vorgangsmaske; der erste SozialFall lässt sich direkt im Bereich „SozialFälle bearbeiten“ hinzufügen. Beide Aktionen erscheinen sofort revisionssicher im Buchungsjournal.</w:t>
      </w:r>
    </w:p>
    <w:p>
      <w:pPr>
        <w:pStyle w:val="Heading1"/>
        <w:keepNext/>
        <w:spacing w:after="200" w:before="360" w:line="380" w:lineRule="atLeast"/>
      </w:pPr>
      <w:r>
        <w:rPr>
          <w:rFonts w:ascii="Times New Roman" w:eastAsia="Times New Roman"/>
          <w:b/>
          <w:bCs/>
          <w:color w:val="000000"/>
          <w:sz w:val="32"/>
          <w:szCs w:val="32"/>
        </w:rPr>
        <w:t xml:space="preserve">5  Vorgang bearbeiten</w:t>
      </w:r>
    </w:p>
    <w:p>
      <w:pPr>
        <w:pStyle w:val="Heading2"/>
        <w:keepNext/>
        <w:spacing w:after="140" w:before="280" w:line="340" w:lineRule="atLeast"/>
      </w:pPr>
      <w:r>
        <w:rPr>
          <w:rFonts w:ascii="Times New Roman" w:eastAsia="Times New Roman"/>
          <w:b/>
          <w:bCs/>
          <w:color w:val="000000"/>
          <w:sz w:val="27"/>
          <w:szCs w:val="27"/>
        </w:rPr>
        <w:t xml:space="preserve">5.1  Aufbau der Vorgangsmaske</w:t>
      </w:r>
    </w:p>
    <w:p>
      <w:pPr>
        <w:spacing w:after="120" w:line="312"/>
        <w:jc w:val="left"/>
      </w:pPr>
      <w:r>
        <w:rPr>
          <w:rFonts w:ascii="Times New Roman" w:eastAsia="Times New Roman"/>
          <w:b w:val="false"/>
          <w:bCs w:val="false"/>
          <w:i w:val="false"/>
          <w:iCs w:val="false"/>
          <w:color w:val="000000"/>
          <w:sz w:val="22"/>
          <w:szCs w:val="22"/>
        </w:rPr>
        <w:t xml:space="preserve">Die Vorgangsmaske bündelt alles zu einem Vorgang: oben die Bedarfsermittlung, darunter die editierbaren SozialFall-Masken, dann Zahlbarmachung, Bewilligungsbescheid und Zahlungshistorie; rechts stehen der Vorgangskopf und das Journal des Vorgangs.</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6 — Vorgangsmaske mit Bedarfsermittlung, SozialFall-Maske, Zahlbarmachung, Vorgangskopf und Journal. Historischer Screenshot zur Orientierung; aktueller Ablauf siehe Text.</w:t>
      </w:r>
    </w:p>
    <w:p>
      <w:pPr>
        <w:pStyle w:val="Heading2"/>
        <w:keepNext/>
        <w:spacing w:after="140" w:before="280" w:line="340" w:lineRule="atLeast"/>
      </w:pPr>
      <w:r>
        <w:rPr>
          <w:rFonts w:ascii="Times New Roman" w:eastAsia="Times New Roman"/>
          <w:b/>
          <w:bCs/>
          <w:color w:val="000000"/>
          <w:sz w:val="27"/>
          <w:szCs w:val="27"/>
        </w:rPr>
        <w:t xml:space="preserve">5.2  Bedarfsermittlung lesen</w:t>
      </w:r>
    </w:p>
    <w:p>
      <w:pPr>
        <w:spacing w:after="120" w:line="312"/>
        <w:jc w:val="left"/>
      </w:pPr>
      <w:r>
        <w:rPr>
          <w:rFonts w:ascii="Times New Roman" w:eastAsia="Times New Roman"/>
          <w:b w:val="false"/>
          <w:bCs w:val="false"/>
          <w:i w:val="false"/>
          <w:iCs w:val="false"/>
          <w:color w:val="000000"/>
          <w:sz w:val="22"/>
          <w:szCs w:val="22"/>
        </w:rPr>
        <w:t xml:space="preserve">Der Bereich „Bedarfsermittlung (SGB XII)“ ist rein lesend. Die Tabelle zeigt je SozialFall den Regelbedarf, die Mehrbedarfe (mit Aufschlüsselung als Hinweistext), die Kosten der Unterkunft, den Gesamtbedarf, den Erwerbsfreibetrag, das anrechenbare Einkommen und den Zahlbetrag des Falls. Der Ergebnisstreifen darunter fasst zusammen: Gesamtbedarf, anrechenbares Einkommen und Auszahlungsbetrag der ganzen Bedarfsgemeinschaft. Jede Änderung an einem SozialFall aktualisiert diese Werte unmittelbar.</w:t>
      </w:r>
    </w:p>
    <w:p>
      <w:pPr>
        <w:spacing w:after="120" w:line="312"/>
        <w:jc w:val="left"/>
      </w:pPr>
      <w:r>
        <w:rPr>
          <w:rFonts w:ascii="Times New Roman" w:eastAsia="Times New Roman"/>
          <w:b/>
          <w:bCs/>
          <w:i w:val="false"/>
          <w:iCs w:val="false"/>
          <w:color w:val="000000"/>
          <w:sz w:val="22"/>
          <w:szCs w:val="22"/>
        </w:rPr>
        <w:t xml:space="preserve">Ein negativer Auszahlungsbetrag ist keine Fehlfunktion, sondern das fachliche Signal „Einkommen übersteigt den Bedarf“: </w:t>
      </w:r>
      <w:r>
        <w:rPr>
          <w:rFonts w:ascii="Times New Roman" w:eastAsia="Times New Roman"/>
          <w:b w:val="false"/>
          <w:bCs w:val="false"/>
          <w:i w:val="false"/>
          <w:iCs w:val="false"/>
          <w:color w:val="000000"/>
          <w:sz w:val="22"/>
          <w:szCs w:val="22"/>
        </w:rPr>
        <w:t xml:space="preserve">die Auszahlungsanordnung wird dann abgewiesen (Kapitel 7, Abbildung 11).</w:t>
      </w:r>
    </w:p>
    <w:p>
      <w:pPr>
        <w:pStyle w:val="Heading2"/>
        <w:keepNext/>
        <w:spacing w:after="140" w:before="280" w:line="340" w:lineRule="atLeast"/>
      </w:pPr>
      <w:r>
        <w:rPr>
          <w:rFonts w:ascii="Times New Roman" w:eastAsia="Times New Roman"/>
          <w:b/>
          <w:bCs/>
          <w:color w:val="000000"/>
          <w:sz w:val="27"/>
          <w:szCs w:val="27"/>
        </w:rPr>
        <w:t xml:space="preserve">5.3  SozialFall anlegen und ändern</w:t>
      </w:r>
    </w:p>
    <w:p>
      <w:pPr>
        <w:spacing w:after="120" w:line="312"/>
        <w:jc w:val="left"/>
      </w:pPr>
      <w:r>
        <w:rPr>
          <w:rFonts w:ascii="Times New Roman" w:eastAsia="Times New Roman"/>
          <w:b w:val="false"/>
          <w:bCs w:val="false"/>
          <w:i w:val="false"/>
          <w:iCs w:val="false"/>
          <w:color w:val="000000"/>
          <w:sz w:val="22"/>
          <w:szCs w:val="22"/>
        </w:rPr>
        <w:t xml:space="preserve">Über „+ Weiteren SozialFall anlegen“ erhält der Vorgang einen weiteren Leistungsberechtigten — typisch für Paare. Die Fallmaske enthält Regelbedarfsstufe (Stufen 1 bis 6), die drei KdU-Komponenten, Renten- und Erwerbseinkommen sowie Merkzeichen G, Schwangerschaft ab der 13. SSW mit optionalem Entbindungsmonat, dezentrale Warmwassererzeugung, drei Kinderanzahlen für Alleinerziehende sowie Steuern, Pflichtbeiträge, Versicherungen und Arbeitsmittel als Absetzbeträge. „Speichern“ schreibt die Änderung mit einer Journalzeile fort.</w:t>
      </w:r>
    </w:p>
    <w:p>
      <w:pPr>
        <w:spacing w:after="120" w:line="312"/>
        <w:jc w:val="left"/>
      </w:pPr>
      <w:r>
        <w:rPr>
          <w:rFonts w:ascii="Times New Roman" w:eastAsia="Times New Roman"/>
          <w:b/>
          <w:bCs/>
          <w:i w:val="false"/>
          <w:iCs w:val="false"/>
          <w:color w:val="000000"/>
          <w:sz w:val="22"/>
          <w:szCs w:val="22"/>
        </w:rPr>
        <w:t xml:space="preserve">Sperrschutz beim Speichern: </w:t>
      </w:r>
      <w:r>
        <w:rPr>
          <w:rFonts w:ascii="Times New Roman" w:eastAsia="Times New Roman"/>
          <w:b w:val="false"/>
          <w:bCs w:val="false"/>
          <w:i w:val="false"/>
          <w:iCs w:val="false"/>
          <w:color w:val="000000"/>
          <w:sz w:val="22"/>
          <w:szCs w:val="22"/>
        </w:rPr>
        <w:t xml:space="preserve">jede Fallmaske trägt eine Versionsnummer. Speichern zwei Bearbeiter gleichzeitig, gewinnt der erste; der zweite erhält die Meldung „Änderung durch anderen Bearbeiter“ (Fachcode KONKURRENZ), und die Maske lädt den neuen Stand automatisch neu. Es kann also nie jemand unabsichtlich die Änderung eines Kollegen überschreiben (kein „Lost Update“). Einfach erneut bearbeiten und wieder speichern.</w:t>
      </w:r>
    </w:p>
    <w:p>
      <w:pPr>
        <w:pStyle w:val="Heading2"/>
        <w:keepNext/>
        <w:spacing w:after="140" w:before="280" w:line="340" w:lineRule="atLeast"/>
      </w:pPr>
      <w:r>
        <w:rPr>
          <w:rFonts w:ascii="Times New Roman" w:eastAsia="Times New Roman"/>
          <w:b/>
          <w:bCs/>
          <w:color w:val="000000"/>
          <w:sz w:val="27"/>
          <w:szCs w:val="27"/>
        </w:rPr>
        <w:t xml:space="preserve">5.4  Vorgangskopf: Status, Wiedervorlage, Bankverbindung</w:t>
      </w:r>
    </w:p>
    <w:p>
      <w:pPr>
        <w:spacing w:after="120" w:line="312"/>
        <w:jc w:val="left"/>
      </w:pPr>
      <w:r>
        <w:rPr>
          <w:rFonts w:ascii="Times New Roman" w:eastAsia="Times New Roman"/>
          <w:b w:val="false"/>
          <w:bCs w:val="false"/>
          <w:i w:val="false"/>
          <w:iCs w:val="false"/>
          <w:color w:val="000000"/>
          <w:sz w:val="22"/>
          <w:szCs w:val="22"/>
        </w:rPr>
        <w:t xml:space="preserve">Im Vorgangskopf stehen Aktenzeichen, Hauptperson, Restbudget und Version als Leseinfos; änderbar sind Status, Wiedervorlagedatum, Vermögen und die Standard-Bankverbindung. Der Statuswechsel von „aktiv“ auf „historisiert“ schließt den Vorgang: Historisierte Vorgänge akzeptieren keine neuen Auszahlungen mehr, bleiben aber samt Journal lesbar. Die Standard-Bankverbindung greift, wenn eine Auszahlung ohne abweichende Empfängerangabe angeordnet wird — sie sollte daher stets gepflegt sein (Kapitel 8 zeigt den Bescheid mit dieser Verbindung).</w:t>
      </w:r>
    </w:p>
    <w:p>
      <w:pPr>
        <w:spacing w:after="120" w:line="312"/>
        <w:jc w:val="left"/>
      </w:pPr>
      <w:r>
        <w:rPr>
          <w:rFonts w:ascii="Times New Roman" w:eastAsia="Times New Roman"/>
          <w:b w:val="false"/>
          <w:bCs w:val="false"/>
          <w:i w:val="false"/>
          <w:iCs w:val="false"/>
          <w:color w:val="000000"/>
          <w:sz w:val="22"/>
          <w:szCs w:val="22"/>
        </w:rPr>
        <w:t xml:space="preserve">Das Wiedervorlagedatum steuert das Fristen-Widget der Fallübersicht — übliche Nutzung ist die Wiederholungsbearbeitung zum Bewilligungsende oder eine Rückfrage-Frist.</w:t>
      </w:r>
    </w:p>
    <w:p>
      <w:pPr>
        <w:pStyle w:val="Heading1"/>
        <w:keepNext/>
        <w:spacing w:after="200" w:before="360" w:line="380" w:lineRule="atLeast"/>
      </w:pPr>
      <w:r>
        <w:rPr>
          <w:rFonts w:ascii="Times New Roman" w:eastAsia="Times New Roman"/>
          <w:b/>
          <w:bCs/>
          <w:color w:val="000000"/>
          <w:sz w:val="32"/>
          <w:szCs w:val="32"/>
        </w:rPr>
        <w:t xml:space="preserve">6  Zahlbarmachung: Auszahlung anordnen</w:t>
      </w:r>
    </w:p>
    <w:p>
      <w:pPr>
        <w:pStyle w:val="Heading2"/>
        <w:keepNext/>
        <w:spacing w:after="140" w:before="280" w:line="340" w:lineRule="atLeast"/>
      </w:pPr>
      <w:r>
        <w:rPr>
          <w:rFonts w:ascii="Times New Roman" w:eastAsia="Times New Roman"/>
          <w:b/>
          <w:bCs/>
          <w:color w:val="000000"/>
          <w:sz w:val="27"/>
          <w:szCs w:val="27"/>
        </w:rPr>
        <w:t xml:space="preserve">6.1  Die Maske</w:t>
      </w:r>
    </w:p>
    <w:p>
      <w:pPr>
        <w:spacing w:after="120" w:line="312"/>
        <w:jc w:val="left"/>
      </w:pPr>
      <w:r>
        <w:rPr>
          <w:rFonts w:ascii="Times New Roman" w:eastAsia="Times New Roman"/>
          <w:b w:val="false"/>
          <w:bCs w:val="false"/>
          <w:i w:val="false"/>
          <w:iCs w:val="false"/>
          <w:color w:val="000000"/>
          <w:sz w:val="22"/>
          <w:szCs w:val="22"/>
        </w:rPr>
        <w:t xml:space="preserve">Der Bereich „Zahlbarmachung“ der Vorgangsmaske ordnet die Auszahlung an: Empfänger/Kontoinhaber, IBAN, BIC und Zahlungsmonat (Monat des Anspruchs, nicht des Zahlungslaufs). Vorbefüllt sind der Hauptperson-Name und der laufende Monat.</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7 — Historische Zahlbarmachungsmaske mit Bescheid und Zahlungshistorie; die damalige Vier-Augen-Checkbox ist entfallen. Historischer Screenshot zur Orientierung; aktueller Ablauf siehe Text.</w:t>
      </w:r>
    </w:p>
    <w:p>
      <w:pPr>
        <w:pStyle w:val="Heading2"/>
        <w:keepNext/>
        <w:spacing w:after="140" w:before="280" w:line="340" w:lineRule="atLeast"/>
      </w:pPr>
      <w:r>
        <w:rPr>
          <w:rFonts w:ascii="Times New Roman" w:eastAsia="Times New Roman"/>
          <w:b/>
          <w:bCs/>
          <w:color w:val="000000"/>
          <w:sz w:val="27"/>
          <w:szCs w:val="27"/>
        </w:rPr>
        <w:t xml:space="preserve">6.2  Was beim Anordnen passiert</w:t>
      </w:r>
    </w:p>
    <w:p>
      <w:pPr>
        <w:spacing w:after="120" w:line="312"/>
        <w:jc w:val="left"/>
      </w:pPr>
      <w:r>
        <w:rPr>
          <w:rFonts w:ascii="Times New Roman" w:eastAsia="Times New Roman"/>
          <w:b w:val="false"/>
          <w:bCs w:val="false"/>
          <w:i w:val="false"/>
          <w:iCs w:val="false"/>
          <w:color w:val="000000"/>
          <w:sz w:val="22"/>
          <w:szCs w:val="22"/>
        </w:rPr>
        <w:t xml:space="preserve">Hinter der Schaltfläche „Auszahlung anordnen“ läuft eine einzige kurze Datenbank-Transaktion ab, die mehrere Schutzmechanismen in festen Reihenfolge kombiniert (Teil II, Kapitel 17, zeigt die technische Seite):</w:t>
      </w:r>
    </w:p>
    <w:p>
      <w:pPr>
        <w:spacing w:after="60" w:line="312"/>
        <w:ind w:left="360" w:hanging="360"/>
        <w:jc w:val="left"/>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Die Vorgangsnummer der Zahlung ist eindeutig. Wird dieselbe Anordnung ein zweites Mal geschickt (Doppelklick, Wiederholung), antwortet das System mit „Bereits gebucht“ und bucht nichts erneut. Ausnahme: Wurde die Zahlung zwischenzeitlich storniert, wird die Wiederholung abgewiesen — nach einem Storno ist eine neue Anordnung mit neuer Vorgangsnummer erforderlich.</w:t>
      </w:r>
    </w:p>
    <w:p>
      <w:pPr>
        <w:spacing w:after="60" w:line="312"/>
        <w:ind w:left="360" w:hanging="360"/>
        <w:jc w:val="left"/>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Sperre: </w:t>
      </w:r>
      <w:r>
        <w:rPr>
          <w:rFonts w:ascii="Times New Roman" w:eastAsia="Times New Roman"/>
          <w:b w:val="false"/>
          <w:bCs w:val="false"/>
          <w:color w:val="000000"/>
          <w:sz w:val="22"/>
          <w:szCs w:val="22"/>
        </w:rPr>
        <w:t xml:space="preserve">Der Vorgang wird für die Dauer der Buchung exklusiv gesperrt; parallele Anordnungen zweier Sachbearbeiter laufen nacheinander ab.</w:t>
      </w:r>
    </w:p>
    <w:p>
      <w:pPr>
        <w:spacing w:after="60" w:line="312"/>
        <w:ind w:left="360" w:hanging="360"/>
        <w:jc w:val="left"/>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Anspruchsprüfung: </w:t>
      </w:r>
      <w:r>
        <w:rPr>
          <w:rFonts w:ascii="Times New Roman" w:eastAsia="Times New Roman"/>
          <w:b w:val="false"/>
          <w:bCs w:val="false"/>
          <w:color w:val="000000"/>
          <w:sz w:val="22"/>
          <w:szCs w:val="22"/>
        </w:rPr>
        <w:t xml:space="preserve">Der Zahlbetrag wird frisch berechnet. Er muss größer null sein (sonst KEIN_ANSPRUCH) und darf das Restbudget nicht übersteigen (sonst BUDGET_ERSCHOEPFT).</w:t>
      </w:r>
    </w:p>
    <w:p>
      <w:pPr>
        <w:spacing w:after="60" w:line="312"/>
        <w:ind w:left="360" w:hanging="360"/>
        <w:jc w:val="left"/>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Bescheiddeckung: </w:t>
      </w:r>
      <w:r>
        <w:rPr>
          <w:rFonts w:ascii="Times New Roman" w:eastAsia="Times New Roman"/>
          <w:b w:val="false"/>
          <w:bCs w:val="false"/>
          <w:color w:val="000000"/>
          <w:sz w:val="22"/>
          <w:szCs w:val="22"/>
        </w:rPr>
        <w:t xml:space="preserve">Sobald der Vorgang mindestens einen Bescheid besitzt, muss genau ein erteilter Bescheid den Zahlungsmonat abdecken. Der frisch berechnete Betrag muss dem gespeicherten Bewilligungsbetrag dieses Monats entsprechen. Fehlende Deckung, mehrdeutige Deckung, beschädigte Snapshots und Betragsabweichungen werden abgewiesen. Ohne jeden Bescheid bleibt der direkte Demo-Buchungsweg zulässig. Ein vollständiges Änderungsbescheid-Verfahren ist noch nicht umgesetzt.</w:t>
      </w:r>
    </w:p>
    <w:p>
      <w:pPr>
        <w:spacing w:after="60" w:line="312"/>
        <w:ind w:left="360" w:hanging="360"/>
        <w:jc w:val="left"/>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SEPA-Prüfung: </w:t>
      </w:r>
      <w:r>
        <w:rPr>
          <w:rFonts w:ascii="Times New Roman" w:eastAsia="Times New Roman"/>
          <w:b w:val="false"/>
          <w:bCs w:val="false"/>
          <w:color w:val="000000"/>
          <w:sz w:val="22"/>
          <w:szCs w:val="22"/>
        </w:rPr>
        <w:t xml:space="preserve">Eine vorhandene IBAN wird nach ISO 13616 einschließlich Modulo-97-Prüfziffer geprüft, eine vorhandene BIC nach ISO 9362. Ungültige Angaben brechen mit VALIDATION ab. Leere Bankdaten bleiben im Demo-Modell zulässig; ein echter SEPA-Export ist nicht implementiert.</w:t>
      </w:r>
    </w:p>
    <w:p>
      <w:pPr>
        <w:spacing w:after="60" w:line="312"/>
        <w:ind w:left="360" w:hanging="360"/>
        <w:jc w:val="left"/>
      </w:pPr>
      <w:r>
        <w:rPr>
          <w:rFonts w:ascii="Times New Roman" w:eastAsia="Times New Roman"/>
          <w:b/>
          <w:bCs/>
          <w:color w:val="529286"/>
          <w:sz w:val="22"/>
          <w:szCs w:val="22"/>
        </w:rPr>
        <w:t xml:space="preserve">6.  </w:t>
      </w:r>
      <w:r>
        <w:rPr>
          <w:rFonts w:ascii="Times New Roman" w:eastAsia="Times New Roman"/>
          <w:b/>
          <w:bCs/>
          <w:color w:val="000000"/>
          <w:sz w:val="22"/>
          <w:szCs w:val="22"/>
        </w:rPr>
        <w:t xml:space="preserve">Buchung: </w:t>
      </w:r>
      <w:r>
        <w:rPr>
          <w:rFonts w:ascii="Times New Roman" w:eastAsia="Times New Roman"/>
          <w:b w:val="false"/>
          <w:bCs w:val="false"/>
          <w:color w:val="000000"/>
          <w:sz w:val="22"/>
          <w:szCs w:val="22"/>
        </w:rPr>
        <w:t xml:space="preserve">Die Zahlung entsteht immer im Status ANGELEGT und wartet auf die Vier-Augen-Freigabe, das Restbudget mindert sich, und der Journaleintrag entsteht unter der eigenen Kennung.</w:t>
      </w:r>
    </w:p>
    <w:p>
      <w:pPr>
        <w:pStyle w:val="Heading2"/>
        <w:keepNext/>
        <w:spacing w:after="140" w:before="280" w:line="340" w:lineRule="atLeast"/>
      </w:pPr>
      <w:r>
        <w:rPr>
          <w:rFonts w:ascii="Times New Roman" w:eastAsia="Times New Roman"/>
          <w:b/>
          <w:bCs/>
          <w:color w:val="000000"/>
          <w:sz w:val="27"/>
          <w:szCs w:val="27"/>
        </w:rPr>
        <w:t xml:space="preserve">6.3  Vier-Augen immer aktiv</w:t>
      </w:r>
    </w:p>
    <w:p>
      <w:pPr>
        <w:spacing w:after="120" w:line="312"/>
        <w:jc w:val="left"/>
      </w:pPr>
      <w:r>
        <w:rPr>
          <w:rFonts w:ascii="Times New Roman" w:eastAsia="Times New Roman"/>
          <w:b w:val="false"/>
          <w:bCs w:val="false"/>
          <w:i w:val="false"/>
          <w:iCs w:val="false"/>
          <w:color w:val="000000"/>
          <w:sz w:val="22"/>
          <w:szCs w:val="22"/>
        </w:rPr>
        <w:t xml:space="preserve">Der Freigabeschritt ist serverseitig erzwungen: Jede Zahlung entsteht im Status ANGELEGT und muss ausdrücklich freigegeben werden, bevor der Kassenlauf sie übergeben kann. Für Sachbearbeiter ist eine zweite Kennung erforderlich. Die Rolle admin darf als Sonderberechtigung die eigene Zahlung in einem getrennten Freigabeschritt bestätigen (Kapitel 7.1).</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8 — Bestätigungsdialog nach der Anordnung — Status „angelegt“, neues Restbudget. Historischer Screenshot zur Orientierung; aktueller Ablauf siehe Text.</w:t>
      </w:r>
    </w:p>
    <w:p>
      <w:pPr>
        <w:pStyle w:val="Heading1"/>
        <w:keepNext/>
        <w:spacing w:after="200" w:before="360" w:line="380" w:lineRule="atLeast"/>
      </w:pPr>
      <w:r>
        <w:rPr>
          <w:rFonts w:ascii="Times New Roman" w:eastAsia="Times New Roman"/>
          <w:b/>
          <w:bCs/>
          <w:color w:val="000000"/>
          <w:sz w:val="32"/>
          <w:szCs w:val="32"/>
        </w:rPr>
        <w:t xml:space="preserve">7  Vier-Augen-Freigabe, Storno und Fehlerfälle</w:t>
      </w:r>
    </w:p>
    <w:p>
      <w:pPr>
        <w:pStyle w:val="Heading2"/>
        <w:keepNext/>
        <w:spacing w:after="140" w:before="280" w:line="340" w:lineRule="atLeast"/>
      </w:pPr>
      <w:r>
        <w:rPr>
          <w:rFonts w:ascii="Times New Roman" w:eastAsia="Times New Roman"/>
          <w:b/>
          <w:bCs/>
          <w:color w:val="000000"/>
          <w:sz w:val="27"/>
          <w:szCs w:val="27"/>
        </w:rPr>
        <w:t xml:space="preserve">7.1  Der Freigabe-Schritt</w:t>
      </w:r>
    </w:p>
    <w:p>
      <w:pPr>
        <w:spacing w:after="120" w:line="312"/>
        <w:jc w:val="left"/>
      </w:pPr>
      <w:r>
        <w:rPr>
          <w:rFonts w:ascii="Times New Roman" w:eastAsia="Times New Roman"/>
          <w:b w:val="false"/>
          <w:bCs w:val="false"/>
          <w:i w:val="false"/>
          <w:iCs w:val="false"/>
          <w:color w:val="000000"/>
          <w:sz w:val="22"/>
          <w:szCs w:val="22"/>
        </w:rPr>
        <w:t xml:space="preserve">Eine Zahlung entsteht im Status ANGELEGT. Bei der Freigabe prüft der Server Zahlungsstatus, Aktivität des Vorgangs und die berechtigte zweite Kennung. Der Betrag und das Budget wurden bereits bei der Anordnung festgeschrieben; eine vollständige fachliche Neuberechnung ist kein Bestandteil der Freigabe. Nach erfolgreicher Freigabe steht die Zahlung im Status BEREIT für den Kassenlauf.</w:t>
      </w:r>
    </w:p>
    <w:p>
      <w:pPr>
        <w:spacing w:after="120" w:line="312"/>
        <w:jc w:val="left"/>
      </w:pPr>
      <w:r>
        <w:rPr>
          <w:rFonts w:ascii="Times New Roman" w:eastAsia="Times New Roman"/>
          <w:b/>
          <w:bCs/>
          <w:i w:val="false"/>
          <w:iCs w:val="false"/>
          <w:color w:val="000000"/>
          <w:sz w:val="22"/>
          <w:szCs w:val="22"/>
        </w:rPr>
        <w:t xml:space="preserve">Selbstfreigabe für Sachbearbeiter ist ausgeschlossen: </w:t>
      </w:r>
      <w:r>
        <w:rPr>
          <w:rFonts w:ascii="Times New Roman" w:eastAsia="Times New Roman"/>
          <w:b w:val="false"/>
          <w:bCs w:val="false"/>
          <w:i w:val="false"/>
          <w:iCs w:val="false"/>
          <w:color w:val="000000"/>
          <w:sz w:val="22"/>
          <w:szCs w:val="22"/>
        </w:rPr>
        <w:t xml:space="preserve">Wer eine Zahlung selbst erfasst hat, kann sie nicht selbst freigeben — das System antwortet mit „Vier-Augen-Prinzip verletzt: Erfasser und Freigebender dürfen nicht identisch sein“ (Abbildung 9). Die Freigabe gehört für Sachbearbeiter einer zweiten Kennung. Die Rolle admin besitzt eine ausdrücklich implementierte Sonderberechtigung zur Selbstfreigabe; für die Arbeitsorganisation werden trotzdem getrennte Personen empfohlen.</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9 — Abwehr der Selbstfreigabe — der Erfasser kann seine eigene Zahlung nicht freigeben. Historischer Screenshot zur Orientierung; aktueller Ablauf siehe Text.</w:t>
      </w:r>
    </w:p>
    <w:p>
      <w:pPr>
        <w:spacing w:after="120" w:line="312"/>
        <w:jc w:val="left"/>
      </w:pPr>
      <w:r>
        <w:rPr>
          <w:rFonts w:ascii="Times New Roman" w:eastAsia="Times New Roman"/>
          <w:b w:val="false"/>
          <w:bCs w:val="false"/>
          <w:i w:val="false"/>
          <w:iCs w:val="false"/>
          <w:color w:val="000000"/>
          <w:sz w:val="22"/>
          <w:szCs w:val="22"/>
        </w:rPr>
        <w:t xml:space="preserve">Abbildung 10 zeigt dieselbe Zahlung aus der Sicht der zweiten Person (sb-01): Die Freigabe wird nach der Sicherheitsabfrage vollzogen, der Status-Chip wechselt auf „bereit“, die Spalte „Freigegeben“ trägt die Kennung des Freigebenden, und das Journal vermerkt die Freigabe als „rechnerisch festgestellt“.</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10 — Freigabe durch die zweite Person — Status „bereit“, Journal-Eintrag mit „rechnerisch festgestellt“. Historischer Screenshot zur Orientierung; aktueller Ablauf siehe Text.</w:t>
      </w:r>
    </w:p>
    <w:p>
      <w:pPr>
        <w:pStyle w:val="Heading2"/>
        <w:keepNext/>
        <w:spacing w:after="140" w:before="280" w:line="340" w:lineRule="atLeast"/>
      </w:pPr>
      <w:r>
        <w:rPr>
          <w:rFonts w:ascii="Times New Roman" w:eastAsia="Times New Roman"/>
          <w:b/>
          <w:bCs/>
          <w:color w:val="000000"/>
          <w:sz w:val="27"/>
          <w:szCs w:val="27"/>
        </w:rPr>
        <w:t xml:space="preserve">7.2  Storno</w:t>
      </w:r>
    </w:p>
    <w:p>
      <w:pPr>
        <w:spacing w:after="120" w:line="312"/>
        <w:jc w:val="left"/>
      </w:pPr>
      <w:r>
        <w:rPr>
          <w:rFonts w:ascii="Times New Roman" w:eastAsia="Times New Roman"/>
          <w:b w:val="false"/>
          <w:bCs w:val="false"/>
          <w:i w:val="false"/>
          <w:iCs w:val="false"/>
          <w:color w:val="000000"/>
          <w:sz w:val="22"/>
          <w:szCs w:val="22"/>
        </w:rPr>
        <w:t xml:space="preserve">Stornieren dürfen über die Webschnittstelle ausschließlich Administratoren, sowohl bei ANGELEGT als auch bei BEREIT. UEBERGEBEN-Zahlungen sind über diesen Weg nicht stornierbar. Ein Storno setzt die Zahlung auf STORNIERT, bucht den Betrag auf das Restbudget zurück und stellt einen bei dieser Zahlung dokumentierten Vermögenseinsatz wieder her. Alle Änderungen und der Journaleintrag erfolgen in einer Transaktion. Eine erneute Anordnung benötigt eine neue Vorgangsnummer.</w:t>
      </w:r>
    </w:p>
    <w:p>
      <w:pPr>
        <w:pStyle w:val="Heading2"/>
        <w:keepNext/>
        <w:spacing w:after="140" w:before="280" w:line="340" w:lineRule="atLeast"/>
      </w:pPr>
      <w:r>
        <w:rPr>
          <w:rFonts w:ascii="Times New Roman" w:eastAsia="Times New Roman"/>
          <w:b/>
          <w:bCs/>
          <w:color w:val="000000"/>
          <w:sz w:val="27"/>
          <w:szCs w:val="27"/>
        </w:rPr>
        <w:t xml:space="preserve">7.3  Typische Fehlermeldungen beim Anordnen</w:t>
      </w:r>
    </w:p>
    <w:p>
      <w:pPr>
        <w:spacing w:after="120" w:line="312"/>
        <w:jc w:val="left"/>
      </w:pPr>
      <w:r>
        <w:rPr>
          <w:rFonts w:ascii="Times New Roman" w:eastAsia="Times New Roman"/>
          <w:b w:val="false"/>
          <w:bCs w:val="false"/>
          <w:i w:val="false"/>
          <w:iCs w:val="false"/>
          <w:color w:val="000000"/>
          <w:sz w:val="22"/>
          <w:szCs w:val="22"/>
        </w:rPr>
        <w:t xml:space="preserve">Die Anwendung formuliert fachliche Abweisungen verständlich und nennt im Dialog stets den Grund. Die beiden häufigsten Fälle bei der Anordnung sind:</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KEIN_ANSPRUCH: </w:t>
      </w:r>
      <w:r>
        <w:rPr>
          <w:rFonts w:ascii="Times New Roman" w:eastAsia="Times New Roman"/>
          <w:b w:val="false"/>
          <w:bCs w:val="false"/>
          <w:i w:val="false"/>
          <w:iCs w:val="false"/>
          <w:color w:val="000000"/>
          <w:sz w:val="22"/>
          <w:szCs w:val="22"/>
        </w:rPr>
        <w:t xml:space="preserve">Das anrechenbare Einkommen übersteigt den Gesamtbedarf — der Zahlbetrag ist null oder negativ. Prüfen Sie Einkommens- und Bedarfsangaben; bei rechtmäßiger Rechnung besteht keine Leistung zu bewilligen.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BUDGET_ERSCHOEPFT: </w:t>
      </w:r>
      <w:r>
        <w:rPr>
          <w:rFonts w:ascii="Times New Roman" w:eastAsia="Times New Roman"/>
          <w:b w:val="false"/>
          <w:bCs w:val="false"/>
          <w:i w:val="false"/>
          <w:iCs w:val="false"/>
          <w:color w:val="000000"/>
          <w:sz w:val="22"/>
          <w:szCs w:val="22"/>
        </w:rPr>
        <w:t xml:space="preserve">Der Zahlbetrag übersteigt das Restbudget des Vorgangs. Restbudget und bisherigen Zahlungsbestand prüfen. Eine notwendige Budgetkorrektur mit der zuständigen Administration fachlich klären; die bestehende Vorgangsmaske bietet kein Feld zum Anheben des Startbudgets. Nur tatsächlich fehlerhafte Zahlungen stornieren.</w:t>
      </w:r>
    </w:p>
    <w:p>
      <w:pPr>
        <w:keepNext/>
        <w:spacing w:after="120" w:line="312"/>
        <w:jc w:val="left"/>
      </w:pPr>
      <w:r>
        <w:rPr>
          <w:rFonts w:ascii="Times New Roman" w:eastAsia="Times New Roman"/>
          <w:b w:val="false"/>
          <w:bCs w:val="false"/>
          <w:i w:val="false"/>
          <w:iCs w:val="false"/>
          <w:color w:val="000000"/>
          <w:sz w:val="22"/>
          <w:szCs w:val="22"/>
        </w:rPr>
        <w:t xml:space="preserve">Abbildung 11 zeigt die Abweisung am Demovorgang BG-2026-0003 (Yilmaz, Cem): Die Bedarfsermittlung weist einen negativen Auszahlungsbetrag von −195,50 EUR aus, der Dialog begründet die Abweisung mit dem negativen Zahlbetrag — gebucht wurde in diesem Fall nichts:</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11 — Fachliche Abweisung KEIN_ANSPRUCH — das anrechenbare Einkommen übersteigt den Gesamtbedarf. Historischer Screenshot zur Orientierung; aktueller Ablauf siehe Text.</w:t>
      </w:r>
    </w:p>
    <w:p>
      <w:pPr>
        <w:spacing w:after="120" w:line="312"/>
        <w:jc w:val="left"/>
      </w:pPr>
      <w:r>
        <w:rPr>
          <w:rFonts w:ascii="Times New Roman" w:eastAsia="Times New Roman"/>
          <w:b w:val="false"/>
          <w:bCs w:val="false"/>
          <w:i w:val="false"/>
          <w:iCs w:val="false"/>
          <w:color w:val="000000"/>
          <w:sz w:val="22"/>
          <w:szCs w:val="22"/>
        </w:rPr>
        <w:t xml:space="preserve">Die vollständige Liste aller Fachcodes mit Bedeutung und typischer Lösung steht in Kapitel 12.3.</w:t>
      </w:r>
    </w:p>
    <w:p>
      <w:pPr>
        <w:pStyle w:val="Heading1"/>
        <w:keepNext/>
        <w:spacing w:after="200" w:before="360" w:line="380" w:lineRule="atLeast"/>
      </w:pPr>
      <w:r>
        <w:rPr>
          <w:rFonts w:ascii="Times New Roman" w:eastAsia="Times New Roman"/>
          <w:b/>
          <w:bCs/>
          <w:color w:val="000000"/>
          <w:sz w:val="32"/>
          <w:szCs w:val="32"/>
        </w:rPr>
        <w:t xml:space="preserve">8  Bewilligungsbescheid</w:t>
      </w:r>
    </w:p>
    <w:p>
      <w:pPr>
        <w:pStyle w:val="Heading2"/>
        <w:keepNext/>
        <w:spacing w:after="140" w:before="280" w:line="340" w:lineRule="atLeast"/>
      </w:pPr>
      <w:r>
        <w:rPr>
          <w:rFonts w:ascii="Times New Roman" w:eastAsia="Times New Roman"/>
          <w:b/>
          <w:bCs/>
          <w:color w:val="000000"/>
          <w:sz w:val="27"/>
          <w:szCs w:val="27"/>
        </w:rPr>
        <w:t xml:space="preserve">8.1  Bescheid erteilen</w:t>
      </w:r>
    </w:p>
    <w:p>
      <w:pPr>
        <w:spacing w:after="120" w:line="312"/>
        <w:jc w:val="left"/>
      </w:pPr>
      <w:r>
        <w:rPr>
          <w:rFonts w:ascii="Times New Roman" w:eastAsia="Times New Roman"/>
          <w:b w:val="false"/>
          <w:bCs w:val="false"/>
          <w:i w:val="false"/>
          <w:iCs w:val="false"/>
          <w:color w:val="000000"/>
          <w:sz w:val="22"/>
          <w:szCs w:val="22"/>
        </w:rPr>
        <w:t xml:space="preserve">Im Bereich „Bewilligungsbescheid“ wird ein Zeitraum von höchstens zwölf Monaten einschließlich Anfangsmonat festgelegt. Die Vorbefüllung reicht vom laufenden Monat bis zum elften Folgemonat. Die Nummer lautet BESCH-&lt;Aktenzeichen&gt;-&lt;Jahr&gt;-&lt;ID&gt;. Der Bescheid speichert einen versionierten Berechnungs-Snapshot mit den Monatsbeträgen. Darin werden bekannte Satzwechsel, das Ende des Schwangerschaftsmehrbedarfs und die Verbrauchsfortschreibung des Vermögens berücksichtigt. Ein neuer aktiver Bescheid mit überlappendem Zeitraum wird abgewiesen; vorhandene Bescheide werden dabei nicht stillschweigend aufgehoben.</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12 — Erteilter Bewilligungsbescheid mit Nummer, Zeitraum und monatlichem Zahlbetrag. Historischer Screenshot zur Orientierung; aktueller Ablauf siehe Text.</w:t>
      </w:r>
    </w:p>
    <w:p>
      <w:pPr>
        <w:pStyle w:val="Heading2"/>
        <w:keepNext/>
        <w:spacing w:after="140" w:before="280" w:line="340" w:lineRule="atLeast"/>
      </w:pPr>
      <w:r>
        <w:rPr>
          <w:rFonts w:ascii="Times New Roman" w:eastAsia="Times New Roman"/>
          <w:b/>
          <w:bCs/>
          <w:color w:val="000000"/>
          <w:sz w:val="27"/>
          <w:szCs w:val="27"/>
        </w:rPr>
        <w:t xml:space="preserve">8.2  Aufbau und Druck des Bescheids</w:t>
      </w:r>
    </w:p>
    <w:p>
      <w:pPr>
        <w:spacing w:after="120" w:line="312"/>
        <w:jc w:val="left"/>
      </w:pPr>
      <w:r>
        <w:rPr>
          <w:rFonts w:ascii="Times New Roman" w:eastAsia="Times New Roman"/>
          <w:b w:val="false"/>
          <w:bCs w:val="false"/>
          <w:i w:val="false"/>
          <w:iCs w:val="false"/>
          <w:color w:val="000000"/>
          <w:sz w:val="22"/>
          <w:szCs w:val="22"/>
        </w:rPr>
        <w:t xml:space="preserve">Die Druckansicht enthält den Verfügungssatz mit Zeitraum und Betrag, die Berechnung, eine Begründung nach § 35 SGB X und eine Rechtsbehelfsbelehrung nach § 36 SGB X. § 37 SGB X regelt die Bekanntgabe; er ist nicht die Rechtsgrundlage der Leistungsberechnung. Nachdrucke verwenden den gespeicherten Berechnungsstand und keine aktuelle Neuberechnung. Gültige ältere Snapshots der Version 1 bleiben lesbar. Beschädigte Snapshots führen zu einem sichtbaren Fehler und werden nicht durch Nullbeträge ersetzt. Bei Altbescheiden ohne Snapshot ist der dokumentierte Altformat-Fallback gesondert zu beachten.</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13 — Amtliche Druckansicht des Bewilligungsbescheids — Briefkopf, Verfügungssatz, Berechnung, Begründung, Rechtsbehelfsbelehrung. Historischer Screenshot zur Orientierung; aktueller Ablauf siehe Text.</w:t>
      </w:r>
    </w:p>
    <w:p>
      <w:pPr>
        <w:spacing w:after="120" w:line="312"/>
        <w:jc w:val="left"/>
      </w:pPr>
      <w:r>
        <w:rPr>
          <w:rFonts w:ascii="Times New Roman" w:eastAsia="Times New Roman"/>
          <w:b w:val="false"/>
          <w:bCs w:val="false"/>
          <w:i w:val="false"/>
          <w:iCs w:val="false"/>
          <w:color w:val="000000"/>
          <w:sz w:val="22"/>
          <w:szCs w:val="22"/>
        </w:rPr>
        <w:t xml:space="preserve">Über „Amtlichen Bescheid drucken (PDF)“ öffnet sich die Druckansicht in einem eigenen Browserfenster; der Druckdialog des Browsers erzeugt daraus das PDF für die Akte. Vor dem Öffnen holt die Oberfläche automatisch ein nur 60 Sekunden gültiges Einmal-Token für den Druck — das Sitzungs-Token selbst erscheint nicht in der Adresse des Druckfensters. Die Maske und der Druckpfad zeigen den neuesten Bescheid des Vorgangs unabhängig von dessen Status; Aufhebung (etwa durch eine Saga-Kompensation, Kapitel 10) setzt den Status auf AUFGEHOBEN.</w:t>
      </w:r>
    </w:p>
    <w:p>
      <w:pPr>
        <w:pStyle w:val="Heading1"/>
        <w:keepNext/>
        <w:spacing w:after="200" w:before="360" w:line="380" w:lineRule="atLeast"/>
      </w:pPr>
      <w:r>
        <w:rPr>
          <w:rFonts w:ascii="Times New Roman" w:eastAsia="Times New Roman"/>
          <w:b/>
          <w:bCs/>
          <w:color w:val="000000"/>
          <w:sz w:val="32"/>
          <w:szCs w:val="32"/>
        </w:rPr>
        <w:t xml:space="preserve">9  Das Buchungsjournal</w:t>
      </w:r>
    </w:p>
    <w:p>
      <w:pPr>
        <w:spacing w:after="120" w:line="312"/>
        <w:jc w:val="left"/>
      </w:pPr>
      <w:r>
        <w:rPr>
          <w:rFonts w:ascii="Times New Roman" w:eastAsia="Times New Roman"/>
          <w:b w:val="false"/>
          <w:bCs w:val="false"/>
          <w:i w:val="false"/>
          <w:iCs w:val="false"/>
          <w:color w:val="000000"/>
          <w:sz w:val="22"/>
          <w:szCs w:val="22"/>
        </w:rPr>
        <w:t xml:space="preserve">Das Buchungsjournal ist das revisionssichere Gedächtnis der Anwendung. Jede fachlich relevante Aktion erzeugt einen unveränderlichen Eintrag mit Zeitpunkt, Vorgangsbezug, Klartext der Aktion und der zuständigen Sachbearbeiter-Kennung aus der Anmeldung. Webänderungen werden der angemeldeten Kennung zugeordnet. Der VERSION-Trigger erzeugt keinen eigenen Journaleintrag; technische Systemaktionen können eigene Kennungen verwenden.</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14 — Buchungsjournal mit zeitreversibler Ereignisliste — Kassenläufe, Anordnungen, Freigaben, Bescheide. Historischer Screenshot zur Orientierung; aktueller Ablauf siehe Text.</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Überlebt Historisierung: </w:t>
      </w:r>
      <w:r>
        <w:rPr>
          <w:rFonts w:ascii="Times New Roman" w:eastAsia="Times New Roman"/>
          <w:b w:val="false"/>
          <w:bCs w:val="false"/>
          <w:i w:val="false"/>
          <w:iCs w:val="false"/>
          <w:color w:val="000000"/>
          <w:sz w:val="22"/>
          <w:szCs w:val="22"/>
        </w:rPr>
        <w:t xml:space="preserve">das Journal referenziert Vorgänge logisch (ohne Fremdschlüssel-Abhängigkeit). Auch ein gelöschter oder historisierter Vorgang lässt seine Geschichte weiterlesen.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Vier-Augen sichtbar: </w:t>
      </w:r>
      <w:r>
        <w:rPr>
          <w:rFonts w:ascii="Times New Roman" w:eastAsia="Times New Roman"/>
          <w:b w:val="false"/>
          <w:bCs w:val="false"/>
          <w:i w:val="false"/>
          <w:iCs w:val="false"/>
          <w:color w:val="000000"/>
          <w:sz w:val="22"/>
          <w:szCs w:val="22"/>
        </w:rPr>
        <w:t xml:space="preserve">Erfassung und Freigabe erscheinen als getrennte Einträge. Im regulären Vier-Augen-Weg sind die Kennungen verschieden; eine Admin-Selbstfreigabe bleibt unter derselben Kennung erkennbar.</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Kassenlauf-Sammelsatz: </w:t>
      </w:r>
      <w:r>
        <w:rPr>
          <w:rFonts w:ascii="Times New Roman" w:eastAsia="Times New Roman"/>
          <w:b w:val="false"/>
          <w:bCs w:val="false"/>
          <w:i w:val="false"/>
          <w:iCs w:val="false"/>
          <w:color w:val="000000"/>
          <w:sz w:val="22"/>
          <w:szCs w:val="22"/>
        </w:rPr>
        <w:t xml:space="preserve">der Kassenlauf schreibt eine einzige Zeile mit Anzahl und Summe (z. B. „Kassenlauf: 4 Zahlungen über 3.117,71 EUR übergeben“).</w:t>
      </w:r>
    </w:p>
    <w:p>
      <w:pPr>
        <w:spacing w:after="120" w:line="312"/>
        <w:jc w:val="left"/>
      </w:pPr>
      <w:r>
        <w:rPr>
          <w:rFonts w:ascii="Times New Roman" w:eastAsia="Times New Roman"/>
          <w:b w:val="false"/>
          <w:bCs w:val="false"/>
          <w:i w:val="false"/>
          <w:iCs w:val="false"/>
          <w:color w:val="000000"/>
          <w:sz w:val="22"/>
          <w:szCs w:val="22"/>
        </w:rPr>
        <w:t xml:space="preserve">Zusätzlich zeigt die Vorgangsmaske rechts unten das „Journal (Vorgang)“ — dieselbe Historie gefiltert auf den geöffneten Vorgang.</w:t>
      </w:r>
    </w:p>
    <w:p>
      <w:pPr>
        <w:pStyle w:val="Heading1"/>
        <w:keepNext/>
        <w:spacing w:after="200" w:before="360" w:line="380" w:lineRule="atLeast"/>
      </w:pPr>
      <w:r>
        <w:rPr>
          <w:rFonts w:ascii="Times New Roman" w:eastAsia="Times New Roman"/>
          <w:b/>
          <w:bCs/>
          <w:color w:val="000000"/>
          <w:sz w:val="32"/>
          <w:szCs w:val="32"/>
        </w:rPr>
        <w:t xml:space="preserve">10  Die Antrags-Saga aus Anwendersicht</w:t>
      </w:r>
    </w:p>
    <w:p>
      <w:pPr>
        <w:pStyle w:val="Heading2"/>
        <w:keepNext/>
        <w:spacing w:after="140" w:before="280" w:line="340" w:lineRule="atLeast"/>
      </w:pPr>
      <w:r>
        <w:rPr>
          <w:rFonts w:ascii="Times New Roman" w:eastAsia="Times New Roman"/>
          <w:b/>
          <w:bCs/>
          <w:color w:val="000000"/>
          <w:sz w:val="27"/>
          <w:szCs w:val="27"/>
        </w:rPr>
        <w:t xml:space="preserve">10.1  Wozu eine Saga gut ist</w:t>
      </w:r>
    </w:p>
    <w:p>
      <w:pPr>
        <w:spacing w:after="120" w:line="312"/>
        <w:jc w:val="left"/>
      </w:pPr>
      <w:r>
        <w:rPr>
          <w:rFonts w:ascii="Times New Roman" w:eastAsia="Times New Roman"/>
          <w:b w:val="false"/>
          <w:bCs w:val="false"/>
          <w:i w:val="false"/>
          <w:iCs w:val="false"/>
          <w:color w:val="000000"/>
          <w:sz w:val="22"/>
          <w:szCs w:val="22"/>
        </w:rPr>
        <w:t xml:space="preserve">Der komplette Antragseingang — Vorgang erfassen, Bedarfsprüfung, Bescheid erteilen, Erstauszahlung anweisen — besteht aus vier aufeinander aufbauenden, getrennt committeten Schritten. Für diesen Ablauf verwendet die Anwendung mehrere kurze Transaktionen anstelle einer langen Sperrdauer. Genau dafür ist die Saga da: Jeder Schritt ist eine eigene kurze Transaktion und wird im Saga-Journal festgehalten; scheitert ein Schritt, laufen die bereits abgeschlossenen Schritte rückwärts zurück (Kompensation). Scheitert auch die Kompensation, bleibt eine fehlgeschlagene Saga im Journal sichtbar und benötigt Wiederanlauf beziehungsweise Ursachenanalyse.</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15 — Maske „End-to-End-Antrag als Saga ausführen“ mit den vier Transaktionsschritten. Historischer Screenshot zur Orientierung; aktueller Ablauf siehe Text.</w:t>
      </w:r>
    </w:p>
    <w:p>
      <w:pPr>
        <w:pStyle w:val="Heading2"/>
        <w:keepNext/>
        <w:spacing w:after="140" w:before="280" w:line="340" w:lineRule="atLeast"/>
      </w:pPr>
      <w:r>
        <w:rPr>
          <w:rFonts w:ascii="Times New Roman" w:eastAsia="Times New Roman"/>
          <w:b/>
          <w:bCs/>
          <w:color w:val="000000"/>
          <w:sz w:val="27"/>
          <w:szCs w:val="27"/>
        </w:rPr>
        <w:t xml:space="preserve">10.2  Ablauf und Ergebnis</w:t>
      </w:r>
    </w:p>
    <w:p>
      <w:pPr>
        <w:spacing w:after="120" w:line="312"/>
        <w:jc w:val="left"/>
      </w:pPr>
      <w:r>
        <w:rPr>
          <w:rFonts w:ascii="Times New Roman" w:eastAsia="Times New Roman"/>
          <w:b w:val="false"/>
          <w:bCs w:val="false"/>
          <w:i w:val="false"/>
          <w:iCs w:val="false"/>
          <w:color w:val="000000"/>
          <w:sz w:val="22"/>
          <w:szCs w:val="22"/>
        </w:rPr>
        <w:t xml:space="preserve">Die Maske „⚡ Antrags-Saga (E2E)“ in der Fallübersicht führt den vierstufigen Ablauf mit einen Klick aus: Vorgang erfassen (Bedarfsgemeinschaft plus erster SozialFall), Bedarfsprüfung (bricht bei fehlendem Anspruch ab), Bescheid erteilen und Erstauszahlung anweisen. Der Erfolgsdialog zeigt die Saga-ID; der neue Vorgang erscheint anschließend in der Fallübersicht.</w:t>
      </w:r>
    </w:p>
    <w:p>
      <w:pPr>
        <w:keepNext/>
        <w:spacing w:after="60" w:before="160"/>
        <w:jc w:val="center"/>
      </w:pPr>
      <w:r>
        <w:drawing>
          <wp:inline distT="0" distB="0" distL="0" distR="0">
            <wp:extent cx="5353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53050" cy="2628900"/>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16 — Ablauf der Antrags-Saga mit den vier Schritten und ihren Kompensationen. Diagrammstand 13. Oktober 2026.</w:t>
      </w:r>
    </w:p>
    <w:p>
      <w:pPr>
        <w:spacing w:after="120" w:line="312"/>
        <w:jc w:val="left"/>
      </w:pPr>
      <w:r>
        <w:rPr>
          <w:rFonts w:ascii="Times New Roman" w:eastAsia="Times New Roman"/>
          <w:b/>
          <w:bCs/>
          <w:i w:val="false"/>
          <w:iCs w:val="false"/>
          <w:color w:val="000000"/>
          <w:sz w:val="22"/>
          <w:szCs w:val="22"/>
        </w:rPr>
        <w:t xml:space="preserve">Bei fehlendem Anspruch (Zahlbetrag ≤ 0) bricht Schritt 2 ab: </w:t>
      </w:r>
      <w:r>
        <w:rPr>
          <w:rFonts w:ascii="Times New Roman" w:eastAsia="Times New Roman"/>
          <w:b w:val="false"/>
          <w:bCs w:val="false"/>
          <w:i w:val="false"/>
          <w:iCs w:val="false"/>
          <w:color w:val="000000"/>
          <w:sz w:val="22"/>
          <w:szCs w:val="22"/>
        </w:rPr>
        <w:t xml:space="preserve">die Saga kompensiert automatisch rückwärts — ein angelegter Bescheid wird aufgehoben, ein von dieser Saga angelegter Vorgang historisiert, die Erstauszahlung storniert. Die Fehlermeldung weist auf die erfolgte Rückwärtskompensation hin; im Journal ist die ganze Geschichte nachlesbar. Die Historie bleibt für die Diagnose erhalten; ein Kompensationsfehler darf nicht als erfolgreicher Antrag behandelt werden.</w:t>
      </w:r>
    </w:p>
    <w:p>
      <w:pPr>
        <w:spacing w:after="180" w:line="312"/>
        <w:jc w:val="left"/>
      </w:pPr>
      <w:r>
        <w:rPr>
          <w:rFonts w:ascii="Times New Roman" w:eastAsia="Times New Roman"/>
          <w:b/>
          <w:bCs/>
          <w:i w:val="false"/>
          <w:iCs w:val="false"/>
          <w:color w:val="000000"/>
          <w:sz w:val="22"/>
          <w:szCs w:val="22"/>
        </w:rPr>
        <w:t xml:space="preserve">Halbfertige Sagas nach einem Absturz. </w:t>
      </w:r>
      <w:r>
        <w:rPr>
          <w:rFonts w:ascii="Times New Roman" w:eastAsia="Times New Roman"/>
          <w:b w:val="false"/>
          <w:bCs w:val="false"/>
          <w:i w:val="false"/>
          <w:iCs w:val="false"/>
          <w:color w:val="000000"/>
          <w:sz w:val="22"/>
          <w:szCs w:val="22"/>
        </w:rPr>
        <w:t xml:space="preserve">Stürzt der Server mitten in einer Saga ab, bleibt das Journal unverändert bestehen. Beim nächsten Start führt das System automatisch einen Wiederanlauf durch; zusätzlich steht im Adminbereich die Schaltfläche „Wiederanlauf ausführen“ bereit. Der Wiederanlauf beansprucht jede Saga exklusiv; laufende Sagas anderer Instanzen werden übersprungen. Fehler werden protokolliert und müssen untersucht werden (Kapitel 15).</w:t>
      </w:r>
    </w:p>
    <w:p>
      <w:pPr>
        <w:pStyle w:val="Heading1"/>
        <w:keepNext/>
        <w:spacing w:after="200" w:before="360" w:line="380" w:lineRule="atLeast"/>
      </w:pPr>
      <w:r>
        <w:rPr>
          <w:rFonts w:ascii="Times New Roman" w:eastAsia="Times New Roman"/>
          <w:b/>
          <w:bCs/>
          <w:color w:val="000000"/>
          <w:sz w:val="32"/>
          <w:szCs w:val="32"/>
        </w:rPr>
        <w:t xml:space="preserve">11  Adminbereich und Betriebsfunktionen</w:t>
      </w:r>
    </w:p>
    <w:p>
      <w:pPr>
        <w:pStyle w:val="Heading2"/>
        <w:keepNext/>
        <w:spacing w:after="140" w:before="280" w:line="340" w:lineRule="atLeast"/>
      </w:pPr>
      <w:r>
        <w:rPr>
          <w:rFonts w:ascii="Times New Roman" w:eastAsia="Times New Roman"/>
          <w:b/>
          <w:bCs/>
          <w:color w:val="000000"/>
          <w:sz w:val="27"/>
          <w:szCs w:val="27"/>
        </w:rPr>
        <w:t xml:space="preserve">11.1  Systemstatus</w:t>
      </w:r>
    </w:p>
    <w:p>
      <w:pPr>
        <w:spacing w:after="120" w:line="312"/>
        <w:jc w:val="left"/>
      </w:pPr>
      <w:r>
        <w:rPr>
          <w:rFonts w:ascii="Times New Roman" w:eastAsia="Times New Roman"/>
          <w:b w:val="false"/>
          <w:bCs w:val="false"/>
          <w:i w:val="false"/>
          <w:iCs w:val="false"/>
          <w:color w:val="000000"/>
          <w:sz w:val="22"/>
          <w:szCs w:val="22"/>
        </w:rPr>
        <w:t xml:space="preserve">Der Adminbereich (nur Rolle admin) prüft mit einem Klick auf „Status prüfen“ die fünf Säulen des Betriebs: Datenbank (Erreichbarkeit, Produktkennung, Antwortzeit, Datenbank-Zeit), Fachschema (Bestandszahlen der Vorgänge, SozialFälle und Zahlungen), Transaktionssteuerung (TxManager aktiv, Retry-Verhalten), Task-Steuerung (Parallelität, Statistik inkl. mittlerer Dauer) und Wiederanlauf-Lage (offene versus abgebrochene Sagas). Grün in allen Zeilen bedeutet: „Datenbank ok und alles gestartet“.</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17 — Adminbereich mit Systemstatus, Laufzeitumgebung und Betriebsaktionen. Historischer Screenshot zur Orientierung; aktueller Ablauf siehe Text.</w:t>
      </w:r>
    </w:p>
    <w:p>
      <w:pPr>
        <w:pStyle w:val="Heading2"/>
        <w:keepNext/>
        <w:spacing w:after="140" w:before="280" w:line="340" w:lineRule="atLeast"/>
      </w:pPr>
      <w:r>
        <w:rPr>
          <w:rFonts w:ascii="Times New Roman" w:eastAsia="Times New Roman"/>
          <w:b/>
          <w:bCs/>
          <w:color w:val="000000"/>
          <w:sz w:val="27"/>
          <w:szCs w:val="27"/>
        </w:rPr>
        <w:t xml:space="preserve">11.2  Kassenlauf</w:t>
      </w:r>
    </w:p>
    <w:p>
      <w:pPr>
        <w:spacing w:after="120" w:line="312"/>
        <w:jc w:val="left"/>
      </w:pPr>
      <w:r>
        <w:rPr>
          <w:rFonts w:ascii="Times New Roman" w:eastAsia="Times New Roman"/>
          <w:b w:val="false"/>
          <w:bCs w:val="false"/>
          <w:i w:val="false"/>
          <w:iCs w:val="false"/>
          <w:color w:val="000000"/>
          <w:sz w:val="22"/>
          <w:szCs w:val="22"/>
        </w:rPr>
        <w:t xml:space="preserve">Der Kassenlauf ist die fachliche Übergabe an die Kasse beziehungsweise den Zahlungsdienst: Er setzt alle Zahlungen im Status BEREIT in einer einzigen Transaktion auf ÜBERGEBEN, sperrt sie dabei gegen zwischenzeitliche Änderung und schreibt einen Sammel-Journaleintrag mit Anzahl und Summe. Übergebene Zahlungen sind endgültig und erscheinen danach im Widget „Zahlungen bereit (30 Tage)“ nicht mehr.</w:t>
      </w:r>
    </w:p>
    <w:p>
      <w:pPr>
        <w:spacing w:after="120" w:line="312"/>
        <w:jc w:val="left"/>
      </w:pPr>
      <w:r>
        <w:rPr>
          <w:rFonts w:ascii="Times New Roman" w:eastAsia="Times New Roman"/>
          <w:b w:val="false"/>
          <w:bCs w:val="false"/>
          <w:i w:val="false"/>
          <w:iCs w:val="false"/>
          <w:color w:val="000000"/>
          <w:sz w:val="22"/>
          <w:szCs w:val="22"/>
        </w:rPr>
        <w:t xml:space="preserve">Üblicher Rhythmus: Freigaben durch die zweite Person im Tagesverlauf, Kassenlauf zum Tagesabschluss durch die Administration. Ein leerer Kassenlauf ist kein Fehler — das System meldet dann 0 Zahlungen über 0,00 EUR.</w:t>
      </w:r>
    </w:p>
    <w:p>
      <w:pPr>
        <w:pStyle w:val="Heading2"/>
        <w:keepNext/>
        <w:spacing w:after="140" w:before="280" w:line="340" w:lineRule="atLeast"/>
      </w:pPr>
      <w:r>
        <w:rPr>
          <w:rFonts w:ascii="Times New Roman" w:eastAsia="Times New Roman"/>
          <w:b/>
          <w:bCs/>
          <w:color w:val="000000"/>
          <w:sz w:val="27"/>
          <w:szCs w:val="27"/>
        </w:rPr>
        <w:t xml:space="preserve">11.3  Wiederanlauf</w:t>
      </w:r>
    </w:p>
    <w:p>
      <w:pPr>
        <w:spacing w:after="120" w:line="312"/>
        <w:jc w:val="left"/>
      </w:pPr>
      <w:r>
        <w:rPr>
          <w:rFonts w:ascii="Times New Roman" w:eastAsia="Times New Roman"/>
          <w:b w:val="false"/>
          <w:bCs w:val="false"/>
          <w:i w:val="false"/>
          <w:iCs w:val="false"/>
          <w:color w:val="000000"/>
          <w:sz w:val="22"/>
          <w:szCs w:val="22"/>
        </w:rPr>
        <w:t xml:space="preserve">Die Schaltfläche „Wiederanlauf ausführen“ beendet halbfertige Sagas nach einem Absturz: laufende Vorgänge werden sauber kompensiert, abgeschlossene bleiben unberührt. Der Adminbereich trennt bewusst „offen“ und „abgebrochen“: Eine abgebrochene Saga ohne committete Schritte hat nichts zu kompensieren und braucht den Wiederanlauf nicht.</w:t>
      </w:r>
    </w:p>
    <w:p>
      <w:pPr>
        <w:pStyle w:val="Heading2"/>
        <w:keepNext/>
        <w:spacing w:after="140" w:before="280" w:line="340" w:lineRule="atLeast"/>
      </w:pPr>
      <w:r>
        <w:rPr>
          <w:rFonts w:ascii="Times New Roman" w:eastAsia="Times New Roman"/>
          <w:b/>
          <w:bCs/>
          <w:color w:val="000000"/>
          <w:sz w:val="27"/>
          <w:szCs w:val="27"/>
        </w:rPr>
        <w:t xml:space="preserve">11.4  Funktionsübersicht</w:t>
      </w:r>
    </w:p>
    <w:p>
      <w:pPr>
        <w:spacing w:after="120" w:line="312"/>
        <w:jc w:val="left"/>
      </w:pPr>
      <w:r>
        <w:rPr>
          <w:rFonts w:ascii="Times New Roman" w:eastAsia="Times New Roman"/>
          <w:b w:val="false"/>
          <w:bCs w:val="false"/>
          <w:i w:val="false"/>
          <w:iCs w:val="false"/>
          <w:color w:val="000000"/>
          <w:sz w:val="22"/>
          <w:szCs w:val="22"/>
        </w:rPr>
        <w:t xml:space="preserve">Die Ansicht „Funktionsübersicht“ dokumentiert alle Fach- und Kernfunktionen mit ihren technischen Bausteinen und Schnittstellen-Endpunkten — als eingebaute Kurzreferenz der Anwendung.</w:t>
      </w:r>
    </w:p>
    <w:p>
      <w:pPr>
        <w:keepNext/>
        <w:spacing w:after="60" w:before="160"/>
        <w:jc w:val="center"/>
      </w:pPr>
      <w:r>
        <w:drawing>
          <wp:inline distT="0" distB="0" distL="0" distR="0">
            <wp:extent cx="53530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18 — Eingebaute Funktionsübersicht mit Fachfunktionen und Transaktionssteuerung. Historischer Screenshot zur Orientierung; aktueller Ablauf siehe Text.</w:t>
      </w:r>
    </w:p>
    <w:p>
      <w:pPr>
        <w:pStyle w:val="Heading1"/>
        <w:keepNext/>
        <w:spacing w:after="200" w:before="360" w:line="380" w:lineRule="atLeast"/>
      </w:pPr>
      <w:r>
        <w:rPr>
          <w:rFonts w:ascii="Times New Roman" w:eastAsia="Times New Roman"/>
          <w:b/>
          <w:bCs/>
          <w:color w:val="000000"/>
          <w:sz w:val="32"/>
          <w:szCs w:val="32"/>
        </w:rPr>
        <w:t xml:space="preserve">12  Hinweise für den sicheren Betrieb der Sacharbeit</w:t>
      </w:r>
    </w:p>
    <w:p>
      <w:pPr>
        <w:pStyle w:val="Heading2"/>
        <w:keepNext/>
        <w:spacing w:after="140" w:before="280" w:line="340" w:lineRule="atLeast"/>
      </w:pPr>
      <w:r>
        <w:rPr>
          <w:rFonts w:ascii="Times New Roman" w:eastAsia="Times New Roman"/>
          <w:b/>
          <w:bCs/>
          <w:color w:val="000000"/>
          <w:sz w:val="27"/>
          <w:szCs w:val="27"/>
        </w:rPr>
        <w:t xml:space="preserve">12.1  Arbeitsorganisation mit vier Augen</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Jede Auszahlung wird zunächst ANGELEGT. Organisiere die Freigabe durch eine zweite Person; eine abschaltbare Vier-Augen-Checkbox gibt es nicht.</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Nutze zwei unterscheidbare Kennungen (z. B. sb-01 und sb-02), damit Erfassung und Freigabe nachvollziehbar verschiedenen Personen zugeordnet sind.</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Führe den Kassenlauf erst nach Abschluss aller Freigaben des Tages durch; danach sind übergebene Zahlungen endgültig.</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Pflege die Standard-Bankverbindung des Vorgangs sofort bei der Neuanlage — der Bescheid und die Standard-Auszahlung greifen darauf zurück.</w:t>
      </w:r>
    </w:p>
    <w:p>
      <w:pPr>
        <w:pStyle w:val="Heading2"/>
        <w:keepNext/>
        <w:spacing w:after="140" w:before="280" w:line="340" w:lineRule="atLeast"/>
      </w:pPr>
      <w:r>
        <w:rPr>
          <w:rFonts w:ascii="Times New Roman" w:eastAsia="Times New Roman"/>
          <w:b/>
          <w:bCs/>
          <w:color w:val="000000"/>
          <w:sz w:val="27"/>
          <w:szCs w:val="27"/>
        </w:rPr>
        <w:t xml:space="preserve">12.2  Gleichzeitige Bearbeitung</w:t>
      </w:r>
    </w:p>
    <w:p>
      <w:pPr>
        <w:spacing w:after="120" w:line="312"/>
        <w:jc w:val="left"/>
      </w:pPr>
      <w:r>
        <w:rPr>
          <w:rFonts w:ascii="Times New Roman" w:eastAsia="Times New Roman"/>
          <w:b w:val="false"/>
          <w:bCs w:val="false"/>
          <w:i w:val="false"/>
          <w:iCs w:val="false"/>
          <w:color w:val="000000"/>
          <w:sz w:val="22"/>
          <w:szCs w:val="22"/>
        </w:rPr>
        <w:t xml:space="preserve">Arbeiten mehrere Personen am selben Vorgang, ist die Meldung „Änderung durch anderen Bearbeiter“ normal und kein Fehler: Der Speichern-Schutz verhindert verlorengegangene Änderungen. Vorgehen: Ansicht neu laden (geschieht automatisch), die eigenen Anpassungen erneut eintragen, speichern. Nachträglich angeordnete Auszahlungen anderer Bearbeiter sieht man anhand der Zahlungshistorie und des Journals.</w:t>
      </w:r>
    </w:p>
    <w:p>
      <w:pPr>
        <w:pStyle w:val="Heading2"/>
        <w:keepNext/>
        <w:spacing w:after="140" w:before="280" w:line="340" w:lineRule="atLeast"/>
      </w:pPr>
      <w:r>
        <w:rPr>
          <w:rFonts w:ascii="Times New Roman" w:eastAsia="Times New Roman"/>
          <w:b/>
          <w:bCs/>
          <w:color w:val="000000"/>
          <w:sz w:val="27"/>
          <w:szCs w:val="27"/>
        </w:rPr>
        <w:t xml:space="preserve">12.3  Fehlercodes und ihre Bedeutung</w:t>
      </w:r>
    </w:p>
    <w:p>
      <w:pPr>
        <w:spacing w:after="120" w:line="312"/>
        <w:jc w:val="left"/>
      </w:pPr>
      <w:r>
        <w:rPr>
          <w:rFonts w:ascii="Times New Roman" w:eastAsia="Times New Roman"/>
          <w:b w:val="false"/>
          <w:bCs w:val="false"/>
          <w:i w:val="false"/>
          <w:iCs w:val="false"/>
          <w:color w:val="000000"/>
          <w:sz w:val="22"/>
          <w:szCs w:val="22"/>
        </w:rPr>
        <w:t xml:space="preserve">Alle fachlichen Meldungen der Oberfläche tragen einen stabilen Code. Die Tabelle ordnet ihn Bedeutung und üblicher Lösung zu:</w:t>
      </w:r>
    </w:p>
    <w:p>
      <w:pPr>
        <w:keepNext/>
        <w:spacing w:after="80" w:before="160"/>
      </w:pPr>
      <w:r>
        <w:rPr>
          <w:rFonts w:ascii="Times New Roman" w:eastAsia="Times New Roman"/>
          <w:b/>
          <w:bCs/>
          <w:color w:val="404040"/>
          <w:sz w:val="20"/>
          <w:szCs w:val="20"/>
        </w:rPr>
        <w:t xml:space="preserve">Tabelle 5 — Fachliche Fehlercodes der Anwendung</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900"/>
        <w:gridCol w:w="3164"/>
        <w:gridCol w:w="2724"/>
      </w:tblGrid>
      <w:tr>
        <w:trPr>
          <w:cantSplit/>
          <w:tblHeader/>
        </w:trPr>
        <w:tc>
          <w:tcPr>
            <w:tcW w:type="dxa" w:w="2900"/>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Code</w:t>
            </w:r>
          </w:p>
        </w:tc>
        <w:tc>
          <w:tcPr>
            <w:tcW w:type="dxa" w:w="3164"/>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Bedeutung</w:t>
            </w:r>
          </w:p>
        </w:tc>
        <w:tc>
          <w:tcPr>
            <w:tcW w:type="dxa" w:w="2724"/>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Übliche Lösung</w:t>
            </w:r>
          </w:p>
        </w:tc>
      </w:tr>
      <w:tr>
        <w:trPr>
          <w:cantSplit/>
        </w:trPr>
        <w:tc>
          <w:tcPr>
            <w:tcW w:type="dxa" w:w="290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VALIDATION</w:t>
            </w:r>
          </w:p>
        </w:tc>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Eingabefehler: Pflichtfeld leer, Format verletzt (Zahlungsmonat, IBAN/BIC), doppeltes Aktenzeichen, historisierter Vorgang</w:t>
            </w:r>
          </w:p>
        </w:tc>
        <w:tc>
          <w:tcPr>
            <w:tcW w:type="dxa" w:w="272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Eingabe prüfen und korrigieren; Aktenzeichen ändern; historisierte Vorgänge nicht mehr buchen</w:t>
            </w:r>
          </w:p>
        </w:tc>
      </w:tr>
      <w:tr>
        <w:trPr>
          <w:cantSplit/>
        </w:trPr>
        <w:tc>
          <w:tcPr>
            <w:tcW w:type="dxa" w:w="290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KEIN_ANSPRUCH</w:t>
            </w:r>
          </w:p>
        </w:tc>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Zahlbetrag ≤ 0: anrechenbares Einkommen übersteigt den Gesamtbedarf</w:t>
            </w:r>
          </w:p>
        </w:tc>
        <w:tc>
          <w:tcPr>
            <w:tcW w:type="dxa" w:w="272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Einkommens- und Bedarfsangaben prüfen; bei rechtmäßigem Ergebnis keine Leistung bewilligen</w:t>
            </w:r>
          </w:p>
        </w:tc>
      </w:tr>
      <w:tr>
        <w:trPr>
          <w:cantSplit/>
        </w:trPr>
        <w:tc>
          <w:tcPr>
            <w:tcW w:type="dxa" w:w="290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BUDGET_ERSCHOEPFT</w:t>
            </w:r>
          </w:p>
        </w:tc>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Zahlbetrag übersteigt das Restbudget des Vorgangs</w:t>
            </w:r>
          </w:p>
        </w:tc>
        <w:tc>
          <w:tcPr>
            <w:tcW w:type="dxa" w:w="272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Budgetlage und Zahlungsbestand fachlich klären; eine fehlerhafte Zahlung gegebenenfalls durch die Administration stornieren lassen</w:t>
            </w:r>
          </w:p>
        </w:tc>
      </w:tr>
      <w:tr>
        <w:trPr>
          <w:cantSplit/>
        </w:trPr>
        <w:tc>
          <w:tcPr>
            <w:tcW w:type="dxa" w:w="290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KONKURRENZ</w:t>
            </w:r>
          </w:p>
        </w:tc>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Ein anderer Bearbeiter hat den Vorgang/SozialFall zwischenzeitlich geändert</w:t>
            </w:r>
          </w:p>
        </w:tc>
        <w:tc>
          <w:tcPr>
            <w:tcW w:type="dxa" w:w="272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Neustand automatisch geladen — Änderung erneut eintragen und speichern</w:t>
            </w:r>
          </w:p>
        </w:tc>
      </w:tr>
      <w:tr>
        <w:trPr>
          <w:cantSplit/>
        </w:trPr>
        <w:tc>
          <w:tcPr>
            <w:tcW w:type="dxa" w:w="290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BERECHTIGUNG</w:t>
            </w:r>
          </w:p>
        </w:tc>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Funktion erfordert die Admin-Rolle oder verletzt das Vier-Augen-Prinzip</w:t>
            </w:r>
          </w:p>
        </w:tc>
        <w:tc>
          <w:tcPr>
            <w:tcW w:type="dxa" w:w="272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Admin-Funktion durch Administrator ausführen lassen; Freigabe durch zweite Person vornehmen</w:t>
            </w:r>
          </w:p>
        </w:tc>
      </w:tr>
      <w:tr>
        <w:trPr>
          <w:cantSplit/>
        </w:trPr>
        <w:tc>
          <w:tcPr>
            <w:tcW w:type="dxa" w:w="290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RBS_NICHT_KONFIGURIERT</w:t>
            </w:r>
          </w:p>
        </w:tc>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Eine Regelbedarfsstufe außerhalb 1–6 ist gesetzt</w:t>
            </w:r>
          </w:p>
        </w:tc>
        <w:tc>
          <w:tcPr>
            <w:tcW w:type="dxa" w:w="272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Regelbedarfsstufe des SozialFalls korrigieren</w:t>
            </w:r>
          </w:p>
        </w:tc>
      </w:tr>
      <w:tr>
        <w:trPr>
          <w:cantSplit/>
        </w:trPr>
        <w:tc>
          <w:tcPr>
            <w:tcW w:type="dxa" w:w="290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ANMELDUNG</w:t>
            </w:r>
          </w:p>
        </w:tc>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Nicht angemeldet oder Sitzung abgelaufen (Server-Neustart)</w:t>
            </w:r>
          </w:p>
        </w:tc>
        <w:tc>
          <w:tcPr>
            <w:tcW w:type="dxa" w:w="272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Erneut anmelden</w:t>
            </w:r>
          </w:p>
        </w:tc>
      </w:tr>
      <w:tr>
        <w:trPr>
          <w:cantSplit/>
        </w:trPr>
        <w:tc>
          <w:tcPr>
            <w:tcW w:type="dxa" w:w="290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NICHT_GEFUNDEN</w:t>
            </w:r>
          </w:p>
        </w:tc>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Vorgang/Zahlung existiert nicht (mehr)</w:t>
            </w:r>
          </w:p>
        </w:tc>
        <w:tc>
          <w:tcPr>
            <w:tcW w:type="dxa" w:w="272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Übersicht aktualisieren; Verweis prüfen</w:t>
            </w:r>
          </w:p>
        </w:tc>
      </w:tr>
    </w:tbl>
    <w:p>
      <w:pPr>
        <w:pStyle w:val="Heading2"/>
        <w:keepNext/>
        <w:spacing w:after="140" w:before="280" w:line="340" w:lineRule="atLeast"/>
      </w:pPr>
      <w:r>
        <w:rPr>
          <w:rFonts w:ascii="Times New Roman" w:eastAsia="Times New Roman"/>
          <w:b/>
          <w:bCs/>
          <w:color w:val="000000"/>
          <w:sz w:val="27"/>
          <w:szCs w:val="27"/>
        </w:rPr>
        <w:t xml:space="preserve">12.4  Was die Anwendung bewusst nicht tut</w:t>
      </w:r>
    </w:p>
    <w:p>
      <w:pPr>
        <w:spacing w:after="120" w:line="312"/>
        <w:jc w:val="left"/>
      </w:pPr>
      <w:r>
        <w:rPr>
          <w:rFonts w:ascii="Times New Roman" w:eastAsia="Times New Roman"/>
          <w:b w:val="false"/>
          <w:bCs w:val="false"/>
          <w:i w:val="false"/>
          <w:iCs w:val="false"/>
          <w:color w:val="000000"/>
          <w:sz w:val="22"/>
          <w:szCs w:val="22"/>
        </w:rPr>
        <w:t xml:space="preserve">Die Abgrenzung gehört zu einem ehrlichen Handbuch: Die Anwendung kennt keine ortsspezifische Mietobergrenze (nur eine konfigurierbare Gesamtgrenze) und berücksichtigt Vermögen als Summe je Bedarfsgemeinschaft nach Abzug des Schonvermögens (§ 90 Abs. 2 Nr. 9 SGB XII) — der über dem Schonvermögen liegende Anteil verbraucht sich mit der ersten Auszahlung (Verbrauchsfortschreibung), bei unverändertem Restbestand wird ab dem Folgemonat kein bereits verbrauchtes Vermögen erneut abgezogen; Storno, neue Bestände oder eine andere Monatsreihenfolge können eine Abweichung zur Bewilligung und damit eine Auszahlungssperre auslösen; sie archiviert keine Belege und versendet keinen echten SEPA-Zahlungsstrom — der Kassenlauf ist die fachliche Übergabe an das nachgelagerte Zahlungssystem. Merkzeichen-G-Einträge und Warmwasser-Mehrbedarf werden nicht gegen Nachweise validiert. Diese Prüfungen bleiben der Fachkraft. Eine erfolgreiche technische Buchung belegt die Einhaltung der implementierten Prüfungen. Sie beweist weder die Vollständigkeit der rechtlichen Modellierung noch die Richtigkeit aller Eingaben. Die offenen Grenzen und die Aussagekraft der Tests sind in Kapitel 21 beschrieben.</w:t>
      </w:r>
    </w:p>
    <w:p>
      <w:pPr>
        <w:keepNext/>
        <w:pageBreakBefore/>
        <w:spacing w:after="120" w:before="3200"/>
        <w:ind w:left="240"/>
        <w:jc w:val="left"/>
      </w:pPr>
      <w:r>
        <w:rPr>
          <w:rFonts w:ascii="Times New Roman" w:eastAsia="Times New Roman"/>
          <w:b/>
          <w:bCs/>
          <w:color w:val="000000"/>
          <w:sz w:val="26"/>
          <w:szCs w:val="26"/>
        </w:rPr>
        <w:t xml:space="preserve">TEIL II</w:t>
      </w:r>
    </w:p>
    <w:p>
      <w:pPr>
        <w:keepNext/>
        <w:spacing w:after="200" w:line="700" w:lineRule="atLeast"/>
        <w:ind w:left="240"/>
      </w:pPr>
      <w:r>
        <w:rPr>
          <w:rFonts w:ascii="Times New Roman" w:eastAsia="Times New Roman"/>
          <w:b/>
          <w:bCs/>
          <w:color w:val="000000"/>
          <w:sz w:val="52"/>
          <w:szCs w:val="52"/>
        </w:rPr>
        <w:t xml:space="preserve">Technische Dokumentation</w:t>
      </w:r>
    </w:p>
    <w:p>
      <w:pPr>
        <w:ind w:left="240"/>
      </w:pPr>
      <w:r>
        <w:rPr>
          <w:rFonts w:ascii="Times New Roman" w:eastAsia="Times New Roman"/>
          <w:i/>
          <w:iCs/>
          <w:color w:val="404040"/>
          <w:sz w:val="24"/>
          <w:szCs w:val="24"/>
        </w:rPr>
        <w:t xml:space="preserve">Architektur, Transaktionssteuerung, Saga-Muster, Datenmodell, Sicherheit und Betrieb</w:t>
      </w:r>
      <w:r>
        <w:br w:type="page"/>
      </w:r>
    </w:p>
    <w:p>
      <w:pPr>
        <w:pStyle w:val="Heading1"/>
        <w:keepNext/>
        <w:spacing w:after="200" w:before="360" w:line="380" w:lineRule="atLeast"/>
      </w:pPr>
      <w:r>
        <w:rPr>
          <w:rFonts w:ascii="Times New Roman" w:eastAsia="Times New Roman"/>
          <w:b/>
          <w:bCs/>
          <w:color w:val="000000"/>
          <w:sz w:val="32"/>
          <w:szCs w:val="32"/>
        </w:rPr>
        <w:t xml:space="preserve">13  Architekturüberblick</w:t>
      </w:r>
    </w:p>
    <w:p>
      <w:pPr>
        <w:pStyle w:val="Heading2"/>
        <w:keepNext/>
        <w:spacing w:after="140" w:before="280" w:line="340" w:lineRule="atLeast"/>
      </w:pPr>
      <w:r>
        <w:rPr>
          <w:rFonts w:ascii="Times New Roman" w:eastAsia="Times New Roman"/>
          <w:b/>
          <w:bCs/>
          <w:color w:val="000000"/>
          <w:sz w:val="27"/>
          <w:szCs w:val="27"/>
        </w:rPr>
        <w:t xml:space="preserve">13.1  Leitprinzip: Die Datenbank trägt die Transaktionen</w:t>
      </w:r>
    </w:p>
    <w:p>
      <w:pPr>
        <w:spacing w:after="120" w:line="312"/>
        <w:jc w:val="left"/>
      </w:pPr>
      <w:r>
        <w:rPr>
          <w:rFonts w:ascii="Times New Roman" w:eastAsia="Times New Roman"/>
          <w:b w:val="false"/>
          <w:bCs w:val="false"/>
          <w:i w:val="false"/>
          <w:iCs w:val="false"/>
          <w:color w:val="000000"/>
          <w:sz w:val="22"/>
          <w:szCs w:val="22"/>
        </w:rPr>
        <w:t xml:space="preserve">Das Projekt ersetzt einen klassischen Transaktionsmonitor durch eine Eigenentwicklung auf dem JDK. Das Leitprinzip lautet: Oracle liefert den transaktionalen Kern — ACID-Eigenschaften, Sperrverwaltung, Redo-Logging und Wiederanlauf nach Absturz kommen aus dem Datenbanksystem und werden nicht nachgebaut. Die Eigenentwicklung programmiert ausschließlich die Steuerungsschicht darüber: begrenzte Parallelität, Zeitüberwachung, Wiederholung bei Sperrkonflikten und die Orchestrierung längerer Geschäftsvorgänge als Saga. Bewusst wurden keine Frameworks eingesetzt (kein Spring, kein Applikationsserver); die Webschicht läuft auf dem in Java 21 enthaltenen HttpServer, JSON wird über eine eigene schlanke Klasse gelesen und geschrieben.</w:t>
      </w:r>
    </w:p>
    <w:p>
      <w:pPr>
        <w:pStyle w:val="Heading2"/>
        <w:keepNext/>
        <w:spacing w:after="140" w:before="280" w:line="340" w:lineRule="atLeast"/>
      </w:pPr>
      <w:r>
        <w:rPr>
          <w:rFonts w:ascii="Times New Roman" w:eastAsia="Times New Roman"/>
          <w:b/>
          <w:bCs/>
          <w:color w:val="000000"/>
          <w:sz w:val="27"/>
          <w:szCs w:val="27"/>
        </w:rPr>
        <w:t xml:space="preserve">13.2  Schichten und Bausteine</w:t>
      </w:r>
    </w:p>
    <w:p>
      <w:pPr>
        <w:spacing w:after="120" w:line="312"/>
        <w:jc w:val="left"/>
      </w:pPr>
      <w:r>
        <w:rPr>
          <w:rFonts w:ascii="Times New Roman" w:eastAsia="Times New Roman"/>
          <w:b w:val="false"/>
          <w:bCs w:val="false"/>
          <w:i w:val="false"/>
          <w:iCs w:val="false"/>
          <w:color w:val="000000"/>
          <w:sz w:val="22"/>
          <w:szCs w:val="22"/>
        </w:rPr>
        <w:t xml:space="preserve">Die Anwendung ist in vier Schichten gegliedert (Abbildung 1 am Anfang des Handbuchs zeigt das Gesamtbild):</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Oberfläche (webapp): </w:t>
      </w:r>
      <w:r>
        <w:rPr>
          <w:rFonts w:ascii="Times New Roman" w:eastAsia="Times New Roman"/>
          <w:b w:val="false"/>
          <w:bCs w:val="false"/>
          <w:i w:val="false"/>
          <w:iCs w:val="false"/>
          <w:color w:val="000000"/>
          <w:sz w:val="22"/>
          <w:szCs w:val="22"/>
        </w:rPr>
        <w:t xml:space="preserve">Vanilla HTML/CSS/JavaScript als Single-Page-Anwendung ohne externe Abhängigkeiten; Widget-Dashboard, Vorgangsmaske, Journal, Adminbereich.</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Webschicht (de.allgemein.lmg.web): </w:t>
      </w:r>
      <w:r>
        <w:rPr>
          <w:rFonts w:ascii="Times New Roman" w:eastAsia="Times New Roman"/>
          <w:b w:val="false"/>
          <w:bCs w:val="false"/>
          <w:i w:val="false"/>
          <w:iCs w:val="false"/>
          <w:color w:val="000000"/>
          <w:sz w:val="22"/>
          <w:szCs w:val="22"/>
        </w:rPr>
        <w:t xml:space="preserve">LmgServer auf dem JDK-HttpServer mit JSON-API und Berechtigungsprüfung; Json als eigener Parser/Writer; Benutzerverwaltung für Konten, Rollen und Sitzungs-Token.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Fachschicht (de.allgemein.lmg): </w:t>
      </w:r>
      <w:r>
        <w:rPr>
          <w:rFonts w:ascii="Times New Roman" w:eastAsia="Times New Roman"/>
          <w:b w:val="false"/>
          <w:bCs w:val="false"/>
          <w:i w:val="false"/>
          <w:iCs w:val="false"/>
          <w:color w:val="000000"/>
          <w:sz w:val="22"/>
          <w:szCs w:val="22"/>
        </w:rPr>
        <w:t xml:space="preserve">SozialLeistungsService mit den Fachdiensten, Leistungsberechnung als reine Funktion (ohne Datenbank, mit Unit-Tests geprüft), SepaValidator, BescheidGenerator und die DAOs.</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Transaktionssteuerung (de.allgemein.tx): </w:t>
      </w:r>
      <w:r>
        <w:rPr>
          <w:rFonts w:ascii="Times New Roman" w:eastAsia="Times New Roman"/>
          <w:b w:val="false"/>
          <w:bCs w:val="false"/>
          <w:i w:val="false"/>
          <w:iCs w:val="false"/>
          <w:color w:val="000000"/>
          <w:sz w:val="22"/>
          <w:szCs w:val="22"/>
        </w:rPr>
        <w:t xml:space="preserve">TaskController, TxManager mit RetryPolicy, SagaEngine mit Journal und der Verbindungspool — die Kernbibliothek, die in Kapitel 14 bis 15 im Detail beschrieben wird.</w:t>
      </w:r>
    </w:p>
    <w:p>
      <w:pPr>
        <w:keepNext/>
        <w:spacing w:after="80" w:before="160"/>
      </w:pPr>
      <w:r>
        <w:rPr>
          <w:rFonts w:ascii="Times New Roman" w:eastAsia="Times New Roman"/>
          <w:b/>
          <w:bCs/>
          <w:color w:val="404040"/>
          <w:sz w:val="20"/>
          <w:szCs w:val="20"/>
        </w:rPr>
        <w:t xml:space="preserve">Tabelle 6 — Zentrale Bausteine der Kernbibliothek</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285"/>
        <w:gridCol w:w="6503"/>
      </w:tblGrid>
      <w:tr>
        <w:trPr>
          <w:cantSplit/>
          <w:tblHeader/>
        </w:trPr>
        <w:tc>
          <w:tcPr>
            <w:tcW w:type="dxa" w:w="228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Baustein</w:t>
            </w:r>
          </w:p>
        </w:tc>
        <w:tc>
          <w:tcPr>
            <w:tcW w:type="dxa" w:w="650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Verantwortung</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TxManager</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Führt Facharbeit in einer Oracle-Transaktion aus: Verbindung aus dem Pool, AutoCommit aus, Commit bei Erfolg, Rollback bei jedem Fehler, Wiederholung nur bei wiederholbaren Datenbank-Konflikten.</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TxContext</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Repräsentiert die laufende Transaktion: Verbindung, Deadline (Start + Timeout), Status, Savepoints; prüft die Deadline zwischen Teilarbeiten.</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TxOptions</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Wertobjekt: Isolationsebene (Standard READ COMMITTED), Timeout (Standard 30 s), maximale Versuche (Standard 3).</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RetryPolicy</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Klassifiziert SQLException: ORA-00054/00060/08177 und SQLState 40001/61000 gelten als wiederholbar; exponentieller Backoff mit Zufallsanteil.</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TaskController</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Fester Thread-Pool mit begrenzter Warteschlange, Zeitlimit-Wachhund (Interrupt), Statistik (TaskStats).</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SagaEngine</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Führt SagaDefinition als Kette kurzer Transaktionen aus; kompensiert rückwärts; recover() beendet halbfertige Vorgänge nach Neustart.</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SagaJournal</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DAO für TX_SAGA und TX_SAGA_STEP; Schrittmarker werden getrennt von den Fachtransaktionen bestätigt; eine gesperrte Kopfzeile sichert die exklusive Ausführung.</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UcpConnectionPool</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Oracle Universal Connection Pool mit Validierung bei Ausleihe; ersatzweise SimpleConnectionPool (bewusst minimal).</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TxAuditLog</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Revisionssicheres Audit-Log: Ringpuffer (1.000 Einträge), Listener, optionaler Dateiausschrieb.</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TxMonitoring</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JMX-MBeans für Task-Statistik und Pool-Auslastung (Domain de.allgemein.tx).</w:t>
            </w:r>
          </w:p>
        </w:tc>
      </w:tr>
    </w:tbl>
    <w:p>
      <w:pPr>
        <w:pStyle w:val="Heading2"/>
        <w:keepNext/>
        <w:spacing w:after="140" w:before="280" w:line="340" w:lineRule="atLeast"/>
      </w:pPr>
      <w:r>
        <w:rPr>
          <w:rFonts w:ascii="Times New Roman" w:eastAsia="Times New Roman"/>
          <w:b/>
          <w:bCs/>
          <w:color w:val="000000"/>
          <w:sz w:val="27"/>
          <w:szCs w:val="27"/>
        </w:rPr>
        <w:t xml:space="preserve">13.3  Web-Schicht und Fehlerabbildung</w:t>
      </w:r>
    </w:p>
    <w:p>
      <w:pPr>
        <w:spacing w:after="120" w:line="312"/>
        <w:jc w:val="left"/>
      </w:pPr>
      <w:r>
        <w:rPr>
          <w:rFonts w:ascii="Times New Roman" w:eastAsia="Times New Roman"/>
          <w:b w:val="false"/>
          <w:bCs w:val="false"/>
          <w:i w:val="false"/>
          <w:iCs w:val="false"/>
          <w:color w:val="000000"/>
          <w:sz w:val="22"/>
          <w:szCs w:val="22"/>
        </w:rPr>
        <w:t xml:space="preserve">HTTP-Verarbeitung und Fach-Task-Steuerung sind getrennt begrenzt. Facharbeit läuft über den TaskController. Fachliche Eingabefehler liefern 400, fehlende Anmeldung 401, fehlende Rechte 403, unbekannte Ressourcen 404, eine falsche HTTP-Methode 405 und Überlast 503 mit UEBERLAST und Retry-After. Technische Fehler liefern 500. Zahlen für ganzzahlige Felder müssen exakt ganzzahlig und im Wertebereich sein; Wahrheitswerte müssen echte JSON-Booleans sein. Der Request-Body wird für zulässige Transaktionswiederholungen zwischengespeichert.</w:t>
      </w:r>
    </w:p>
    <w:p>
      <w:pPr>
        <w:pStyle w:val="Heading1"/>
        <w:keepNext/>
        <w:spacing w:after="200" w:before="360" w:line="380" w:lineRule="atLeast"/>
      </w:pPr>
      <w:r>
        <w:rPr>
          <w:rFonts w:ascii="Times New Roman" w:eastAsia="Times New Roman"/>
          <w:b/>
          <w:bCs/>
          <w:color w:val="000000"/>
          <w:sz w:val="32"/>
          <w:szCs w:val="32"/>
        </w:rPr>
        <w:t xml:space="preserve">14  Die Transaktionssteuerung im Detail</w:t>
      </w:r>
    </w:p>
    <w:p>
      <w:pPr>
        <w:pStyle w:val="Heading2"/>
        <w:keepNext/>
        <w:spacing w:after="140" w:before="280" w:line="340" w:lineRule="atLeast"/>
      </w:pPr>
      <w:r>
        <w:rPr>
          <w:rFonts w:ascii="Times New Roman" w:eastAsia="Times New Roman"/>
          <w:b/>
          <w:bCs/>
          <w:color w:val="000000"/>
          <w:sz w:val="27"/>
          <w:szCs w:val="27"/>
        </w:rPr>
        <w:t xml:space="preserve">14.1  Kurze Transaktionen als Grundbaustein</w:t>
      </w:r>
    </w:p>
    <w:p>
      <w:pPr>
        <w:spacing w:after="120" w:line="312"/>
        <w:jc w:val="left"/>
      </w:pPr>
      <w:r>
        <w:rPr>
          <w:rFonts w:ascii="Times New Roman" w:eastAsia="Times New Roman"/>
          <w:b w:val="false"/>
          <w:bCs w:val="false"/>
          <w:i w:val="false"/>
          <w:iCs w:val="false"/>
          <w:color w:val="000000"/>
          <w:sz w:val="22"/>
          <w:szCs w:val="22"/>
        </w:rPr>
        <w:t xml:space="preserve">Alle Fachdienste — vom Speichern einer Maske bis zur Auszahlungsanordnung — laufen als kurze Transaktion über TxManager.execute. Der Ablauf (Abbildung 19): Verbindung aus dem Pool holen, AutoCommit ausschalten, Isolation setzen, die Facharbeit ausführen, bei Erfolg committen, bei jedem Fehler zurückrollen und die Verbindung in jedem Fall an den Pool zurückgeben. Fachliche Fehler brechen sofort ab; nur wiederholbare Datenbank-Konflikte führen zu einem zweiten und dritten Versuch mit steigender Wartezeit.</w:t>
      </w:r>
    </w:p>
    <w:p>
      <w:pPr>
        <w:keepNext/>
        <w:spacing w:after="60" w:before="160"/>
        <w:jc w:val="center"/>
      </w:pPr>
      <w:r>
        <w:drawing>
          <wp:inline distT="0" distB="0" distL="0" distR="0">
            <wp:extent cx="53530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53050" cy="2895600"/>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19 — Ablaufdiagramm von TxManager.execute — Commit, Rollback, Retry mit Backoff. Diagrammstand 13. Oktober 2026.</w:t>
      </w:r>
    </w:p>
    <w:p>
      <w:pPr>
        <w:pStyle w:val="Heading2"/>
        <w:keepNext/>
        <w:spacing w:after="140" w:before="280" w:line="340" w:lineRule="atLeast"/>
      </w:pPr>
      <w:r>
        <w:rPr>
          <w:rFonts w:ascii="Times New Roman" w:eastAsia="Times New Roman"/>
          <w:b/>
          <w:bCs/>
          <w:color w:val="000000"/>
          <w:sz w:val="27"/>
          <w:szCs w:val="27"/>
        </w:rPr>
        <w:t xml:space="preserve">14.2  Wiederholung: RetryPolicy und ORA-Codes</w:t>
      </w:r>
    </w:p>
    <w:p>
      <w:pPr>
        <w:spacing w:after="120" w:line="312"/>
        <w:jc w:val="left"/>
      </w:pPr>
      <w:r>
        <w:rPr>
          <w:rFonts w:ascii="Times New Roman" w:eastAsia="Times New Roman"/>
          <w:b w:val="false"/>
          <w:bCs w:val="false"/>
          <w:i w:val="false"/>
          <w:iCs w:val="false"/>
          <w:color w:val="000000"/>
          <w:sz w:val="22"/>
          <w:szCs w:val="22"/>
        </w:rPr>
        <w:t xml:space="preserve">Nur drei Fehlersituationen sind wiederholbar, weil sie ein vorübergehendes Sperrproblem ausdrücken — alle anderen Fehler werden nicht automatisch wiederholt:</w:t>
      </w:r>
    </w:p>
    <w:p>
      <w:pPr>
        <w:keepNext/>
        <w:spacing w:after="80" w:before="160"/>
      </w:pPr>
      <w:r>
        <w:rPr>
          <w:rFonts w:ascii="Times New Roman" w:eastAsia="Times New Roman"/>
          <w:b/>
          <w:bCs/>
          <w:color w:val="404040"/>
          <w:sz w:val="20"/>
          <w:szCs w:val="20"/>
        </w:rPr>
        <w:t xml:space="preserve">Tabelle 7 — Wiederholbare Datenbank-Fehler (RetryPolicy)</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1933"/>
        <w:gridCol w:w="3867"/>
        <w:gridCol w:w="2988"/>
      </w:tblGrid>
      <w:tr>
        <w:trPr>
          <w:cantSplit/>
          <w:tblHeader/>
        </w:trPr>
        <w:tc>
          <w:tcPr>
            <w:tcW w:type="dxa" w:w="193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Fehler</w:t>
            </w:r>
          </w:p>
        </w:tc>
        <w:tc>
          <w:tcPr>
            <w:tcW w:type="dxa" w:w="3867"/>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Bedeutung</w:t>
            </w:r>
          </w:p>
        </w:tc>
        <w:tc>
          <w:tcPr>
            <w:tcW w:type="dxa" w:w="2988"/>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Reaktion der Steuerung</w:t>
            </w:r>
          </w:p>
        </w:tc>
      </w:tr>
      <w:tr>
        <w:trPr>
          <w:cantSplit/>
        </w:trPr>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ORA-00054</w:t>
            </w:r>
          </w:p>
        </w:tc>
        <w:tc>
          <w:tcPr>
            <w:tcW w:type="dxa" w:w="3867"/>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Ressource belegt (Zeile von anderer Sitzung gesperrt)</w:t>
            </w:r>
          </w:p>
        </w:tc>
        <w:tc>
          <w:tcPr>
            <w:tcW w:type="dxa" w:w="298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ORA-00060</w:t>
            </w:r>
          </w:p>
        </w:tc>
        <w:tc>
          <w:tcPr>
            <w:tcW w:type="dxa" w:w="3867"/>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Deadlock erkannt — Oracle hat die eigene Sitzung als Opfer zurückgerollt</w:t>
            </w:r>
          </w:p>
        </w:tc>
        <w:tc>
          <w:tcPr>
            <w:tcW w:type="dxa" w:w="298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Rollback, Backoff, erneuter Versuch (in der echten Deadlock-Testklasse verifiziert)</w:t>
            </w:r>
          </w:p>
        </w:tc>
      </w:tr>
      <w:tr>
        <w:trPr>
          <w:cantSplit/>
        </w:trPr>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ORA-08177</w:t>
            </w:r>
          </w:p>
        </w:tc>
        <w:tc>
          <w:tcPr>
            <w:tcW w:type="dxa" w:w="3867"/>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Serialisierbarkeitskonflikt (nur bei SERIALIZABLE-Isolation relevant)</w:t>
            </w:r>
          </w:p>
        </w:tc>
        <w:tc>
          <w:tcPr>
            <w:tcW w:type="dxa" w:w="298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SQLState 40001 / 61000</w:t>
            </w:r>
          </w:p>
        </w:tc>
        <w:tc>
          <w:tcPr>
            <w:tcW w:type="dxa" w:w="3867"/>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Anbieterübergreifende Codes für Konflikt/Ressourcenlimit</w:t>
            </w:r>
          </w:p>
        </w:tc>
        <w:tc>
          <w:tcPr>
            <w:tcW w:type="dxa" w:w="298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wie oben</w:t>
            </w:r>
          </w:p>
        </w:tc>
      </w:tr>
    </w:tbl>
    <w:p>
      <w:pPr>
        <w:spacing w:after="120" w:line="312"/>
        <w:jc w:val="left"/>
      </w:pPr>
      <w:r>
        <w:rPr>
          <w:rFonts w:ascii="Times New Roman" w:eastAsia="Times New Roman"/>
          <w:b w:val="false"/>
          <w:bCs w:val="false"/>
          <w:i w:val="false"/>
          <w:iCs w:val="false"/>
          <w:color w:val="000000"/>
          <w:sz w:val="22"/>
          <w:szCs w:val="22"/>
        </w:rPr>
        <w:t xml:space="preserve">Die Suche nach diesen Codes durchläuft getNextException und Exception-Ursachen zyklensicher. Der Backoff startet bei 200 ms, verdoppelt sich je Fehlversuch (begrenzt auf 30 Sekunden Basisbackoff) und enthält einen Zufallsanteil bis zur Hälfte der Wartezeit, höchstens 15 Sekunden zusätzlich — dadurch entzerren sich konkurrierende Sitzungen statt sich gegenseitig erneut zu blockieren. Nach drei Versuchen bricht die Steuerung mit TxException ab.</w:t>
      </w:r>
    </w:p>
    <w:p>
      <w:pPr>
        <w:pStyle w:val="Heading2"/>
        <w:keepNext/>
        <w:spacing w:after="140" w:before="280" w:line="340" w:lineRule="atLeast"/>
      </w:pPr>
      <w:r>
        <w:rPr>
          <w:rFonts w:ascii="Times New Roman" w:eastAsia="Times New Roman"/>
          <w:b/>
          <w:bCs/>
          <w:color w:val="000000"/>
          <w:sz w:val="27"/>
          <w:szCs w:val="27"/>
        </w:rPr>
        <w:t xml:space="preserve">14.3  Deadline und Wachhund</w:t>
      </w:r>
    </w:p>
    <w:p>
      <w:pPr>
        <w:spacing w:after="120" w:line="312"/>
        <w:jc w:val="left"/>
      </w:pPr>
      <w:r>
        <w:rPr>
          <w:rFonts w:ascii="Times New Roman" w:eastAsia="Times New Roman"/>
          <w:b w:val="false"/>
          <w:bCs w:val="false"/>
          <w:i w:val="false"/>
          <w:iCs w:val="false"/>
          <w:color w:val="000000"/>
          <w:sz w:val="22"/>
          <w:szCs w:val="22"/>
        </w:rPr>
        <w:t xml:space="preserve">Jede Transaktion erhält beim Start eine monotone Deadline auf Basis von System.nanoTime (Standard: 30 Sekunden, konfigurierbar je Aufruf über TxOptions). TxContext.checkDeadline() kann die Facharbeit zwischen Teilarbeiten aufrufen; zusätzlich prüft der TxManager vor dem Commit die Deadline — ist die Deadline bei dieser Prüfung abgelaufen, wird vor dem Commit abgebrochen. Über der Transaktionsebene wacht der TaskController: Jeder Task bekommt ein Zeitlimit; ein eigener Wachhund-Thread (tx-task-watchdog) bricht überschrittene Tasks mit Thread-Interrupt ab. Der Interrupt lässt den blockierenden JDBC-Aufruf fehlschlagen, wodurch die Transaktion zurückrollt. Ein Interrupt ist keine Garantie, dass beliebiger Fremdcode sofort endet. JDBC-Verbindungs- und Lesezeitlimits ergänzen den Wachhund. Beim Herunterfahren werden auch wartende Futures abgebrochen und genau einmal in der Task-Statistik abgeschlossen.</w:t>
      </w:r>
    </w:p>
    <w:p>
      <w:pPr>
        <w:keepNext/>
        <w:spacing w:after="80" w:before="160"/>
      </w:pPr>
      <w:r>
        <w:rPr>
          <w:rFonts w:ascii="Times New Roman" w:eastAsia="Times New Roman"/>
          <w:b/>
          <w:bCs/>
          <w:color w:val="404040"/>
          <w:sz w:val="20"/>
          <w:szCs w:val="20"/>
        </w:rPr>
        <w:t xml:space="preserve">Tabelle 8 — Standardwerte der Transaktionssteuerung</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285"/>
        <w:gridCol w:w="1933"/>
        <w:gridCol w:w="4570"/>
      </w:tblGrid>
      <w:tr>
        <w:trPr>
          <w:cantSplit/>
          <w:tblHeader/>
        </w:trPr>
        <w:tc>
          <w:tcPr>
            <w:tcW w:type="dxa" w:w="228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Parameter</w:t>
            </w:r>
          </w:p>
        </w:tc>
        <w:tc>
          <w:tcPr>
            <w:tcW w:type="dxa" w:w="193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Standardwert</w:t>
            </w:r>
          </w:p>
        </w:tc>
        <w:tc>
          <w:tcPr>
            <w:tcW w:type="dxa" w:w="4570"/>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Bedeutung</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Isolationsebene</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READ COMMITTED</w:t>
            </w:r>
          </w:p>
        </w:tc>
        <w:tc>
          <w:tcPr>
            <w:tcW w:type="dxa" w:w="457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Oracle-Standard; kein Serialisierungs-Overhead im Normalbetrieb</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Transaktions-Timeout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30 Sekunden</w:t>
            </w:r>
          </w:p>
        </w:tc>
        <w:tc>
          <w:tcPr>
            <w:tcW w:type="dxa" w:w="457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Deadline je Transaktion; danach kein Commit mehr</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Maximale Versuche</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3</w:t>
            </w:r>
          </w:p>
        </w:tc>
        <w:tc>
          <w:tcPr>
            <w:tcW w:type="dxa" w:w="457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Erstversuch plus zwei Wiederholungen bei Sperrkonflikten</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Backoff-Start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200 ms</w:t>
            </w:r>
          </w:p>
        </w:tc>
        <w:tc>
          <w:tcPr>
            <w:tcW w:type="dxa" w:w="457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Wartezeit nach dem ersten Fehlversuch, verdoppelnd</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Task-Zeitlimit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30.000 ms</w:t>
            </w:r>
          </w:p>
        </w:tc>
        <w:tc>
          <w:tcPr>
            <w:tcW w:type="dxa" w:w="457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Wachhund-Interrupt für den ganzen Task</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Task-Parallelität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8</w:t>
            </w:r>
          </w:p>
        </w:tc>
        <w:tc>
          <w:tcPr>
            <w:tcW w:type="dxa" w:w="4570"/>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Größe des Thread-Pools (konfigurierbar, Kapitel 19)</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Warteschlange</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100</w:t>
            </w:r>
          </w:p>
        </w:tc>
        <w:tc>
          <w:tcPr>
            <w:tcW w:type="dxa" w:w="4570"/>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Begrenzte Auftragswarteschlange; voll → Abweisung statt Überlastung</w:t>
            </w:r>
          </w:p>
        </w:tc>
      </w:tr>
    </w:tbl>
    <w:p>
      <w:pPr>
        <w:pStyle w:val="Heading2"/>
        <w:keepNext/>
        <w:spacing w:after="140" w:before="280" w:line="340" w:lineRule="atLeast"/>
      </w:pPr>
      <w:r>
        <w:rPr>
          <w:rFonts w:ascii="Times New Roman" w:eastAsia="Times New Roman"/>
          <w:b/>
          <w:bCs/>
          <w:color w:val="000000"/>
          <w:sz w:val="27"/>
          <w:szCs w:val="27"/>
        </w:rPr>
        <w:t xml:space="preserve">14.4  Verbindungspools</w:t>
      </w:r>
    </w:p>
    <w:p>
      <w:pPr>
        <w:spacing w:after="120" w:line="312"/>
        <w:jc w:val="left"/>
      </w:pPr>
      <w:r>
        <w:rPr>
          <w:rFonts w:ascii="Times New Roman" w:eastAsia="Times New Roman"/>
          <w:b w:val="false"/>
          <w:bCs w:val="false"/>
          <w:i w:val="false"/>
          <w:iCs w:val="false"/>
          <w:color w:val="000000"/>
          <w:sz w:val="22"/>
          <w:szCs w:val="22"/>
        </w:rPr>
        <w:t xml:space="preserve">Die Fachschicht hängt ausschließlich an der Schnittstelle getConnection/release — der Pool ist damit austauschbar, ohne eine Fachklasse zu berühren. Für den Betrieb steht UcpConnectionPool auf dem Oracle Universal Connection Pool: Verbindungvalidierung bei Ausleihe (validateConnectionOnBorrow), Mindestgröße 1, Anfangsbestand min(2, max), Maximum aus der Konfiguration (Standard 24 bei acht Tasks; bis zu drei Verbindungen pro aktivem Saga-Task). Der mitgelieferte SimpleConnectionPool (Semaphor plus Warteschlange) dient Demozwecken; für Produktion sind UCP oder HikariCP vorgesehen.</w:t>
      </w:r>
    </w:p>
    <w:p>
      <w:pPr>
        <w:pStyle w:val="Heading2"/>
        <w:keepNext/>
        <w:spacing w:after="140" w:before="280" w:line="340" w:lineRule="atLeast"/>
      </w:pPr>
      <w:r>
        <w:rPr>
          <w:rFonts w:ascii="Times New Roman" w:eastAsia="Times New Roman"/>
          <w:b/>
          <w:bCs/>
          <w:color w:val="000000"/>
          <w:sz w:val="27"/>
          <w:szCs w:val="27"/>
        </w:rPr>
        <w:t xml:space="preserve">14.5  Audit-Log und Monitoring</w:t>
      </w:r>
    </w:p>
    <w:p>
      <w:pPr>
        <w:spacing w:after="120" w:line="312"/>
        <w:jc w:val="left"/>
      </w:pPr>
      <w:r>
        <w:rPr>
          <w:rFonts w:ascii="Times New Roman" w:eastAsia="Times New Roman"/>
          <w:b w:val="false"/>
          <w:bCs w:val="false"/>
          <w:i w:val="false"/>
          <w:iCs w:val="false"/>
          <w:color w:val="000000"/>
          <w:sz w:val="22"/>
          <w:szCs w:val="22"/>
        </w:rPr>
        <w:t xml:space="preserve">TxAuditLog schreibt für jede Transaktion und Saga ein Ereignis mit Zeitstempel, Thread, Kategorie (TX.COMMIT, TX.ROLLBACK, TX.RETRY, SAGA.*), Id, Versuch, Dauer und Fehler. Die Einträge landen in einem thread-sicheren Ringpuffer mit 1.000 Plätzen (für Diagnose und Oberfläche) und parallel in einer Datei (Standard lmg_audit.log, UTF-8, anhängend). Zeilenformat: Zeitstempel [Thread] KATEGORIE.EREIGNIS id=… attempt=n duration=… error="…". TxMonitoring registriert zusätzlich JMX-MBeans (de.allgemein.tx:type=TaskController und :type=ConnectionPool) mit aktiven, erfolgreichen, fehlgeschlagenen, abgebrochenen und abgewiesenen Tasks sowie Pool-Auslastung — anschließbar an jede JMX-Konsole oder an Prometheus-Brücken.</w:t>
      </w:r>
    </w:p>
    <w:p>
      <w:pPr>
        <w:pStyle w:val="Heading1"/>
        <w:keepNext/>
        <w:spacing w:after="200" w:before="360" w:line="380" w:lineRule="atLeast"/>
      </w:pPr>
      <w:r>
        <w:rPr>
          <w:rFonts w:ascii="Times New Roman" w:eastAsia="Times New Roman"/>
          <w:b/>
          <w:bCs/>
          <w:color w:val="000000"/>
          <w:sz w:val="32"/>
          <w:szCs w:val="32"/>
        </w:rPr>
        <w:t xml:space="preserve">15  Saga-Muster, Journal und Wiederanlauf</w:t>
      </w:r>
    </w:p>
    <w:p>
      <w:pPr>
        <w:pStyle w:val="Heading2"/>
        <w:keepNext/>
        <w:spacing w:after="140" w:before="280" w:line="340" w:lineRule="atLeast"/>
      </w:pPr>
      <w:r>
        <w:rPr>
          <w:rFonts w:ascii="Times New Roman" w:eastAsia="Times New Roman"/>
          <w:b/>
          <w:bCs/>
          <w:color w:val="000000"/>
          <w:sz w:val="27"/>
          <w:szCs w:val="27"/>
        </w:rPr>
        <w:t xml:space="preserve">15.1  Warum kein großes Rollback</w:t>
      </w:r>
    </w:p>
    <w:p>
      <w:pPr>
        <w:spacing w:after="120" w:line="312"/>
        <w:jc w:val="left"/>
      </w:pPr>
      <w:r>
        <w:rPr>
          <w:rFonts w:ascii="Times New Roman" w:eastAsia="Times New Roman"/>
          <w:b w:val="false"/>
          <w:bCs w:val="false"/>
          <w:i w:val="false"/>
          <w:iCs w:val="false"/>
          <w:color w:val="000000"/>
          <w:sz w:val="22"/>
          <w:szCs w:val="22"/>
        </w:rPr>
        <w:t xml:space="preserve">Ein Bewilligungsvorgang besteht aus Fachentscheidungen, die jeweils für sich gültig sind: Ein angelegter Vorgang ist ein Fakt, ein erteilter Bescheid ein anderer. Würde man den ganzen Ablauf in eine einzige lange Transaktion spannen, würde man Zeilen minutenlang sperren, die Datenbank belasten und bei jedem kleinen Fehler alles verlieren. Das Saga-Muster zerlegt den Ablauf deshalb in kurze Transaktionen mit vorgesehenen Kompensationen: Jeder Schritt hat eine als Fachlogik implementierte Rückgängig-Aktion (eigenen Vorgang historisieren, eigenen Bescheid aufheben, eigene Zahlung stornieren). Scheitert Schritt 3, laufen die Kompensationen von Schritt 2 und 1 rückwärts. Das entspricht fachlich der Aufhebung eines Bescheids — nicht technisch dem Zurückrollen einer Datenbank.</w:t>
      </w:r>
    </w:p>
    <w:p>
      <w:pPr>
        <w:pStyle w:val="Heading2"/>
        <w:keepNext/>
        <w:spacing w:after="140" w:before="280" w:line="340" w:lineRule="atLeast"/>
      </w:pPr>
      <w:r>
        <w:rPr>
          <w:rFonts w:ascii="Times New Roman" w:eastAsia="Times New Roman"/>
          <w:b/>
          <w:bCs/>
          <w:color w:val="000000"/>
          <w:sz w:val="27"/>
          <w:szCs w:val="27"/>
        </w:rPr>
        <w:t xml:space="preserve">15.2  Die vier Schritte der Antrags-Saga</w:t>
      </w:r>
    </w:p>
    <w:p>
      <w:pPr>
        <w:spacing w:after="120" w:line="312"/>
        <w:jc w:val="left"/>
      </w:pPr>
      <w:r>
        <w:rPr>
          <w:rFonts w:ascii="Times New Roman" w:eastAsia="Times New Roman"/>
          <w:b w:val="false"/>
          <w:bCs w:val="false"/>
          <w:i w:val="false"/>
          <w:iCs w:val="false"/>
          <w:color w:val="000000"/>
          <w:sz w:val="22"/>
          <w:szCs w:val="22"/>
        </w:rPr>
        <w:t xml:space="preserve">Der Antragsprozess (Klasse AntragsSagaProzess, Typ SGB_XII_ANTRAGSVERARBEITUNG) ist deklarativ definiert — je Schritt Aktion und Kompensation:</w:t>
      </w:r>
    </w:p>
    <w:p>
      <w:pPr>
        <w:keepNext/>
        <w:spacing w:after="80" w:before="160"/>
      </w:pPr>
      <w:r>
        <w:rPr>
          <w:rFonts w:ascii="Times New Roman" w:eastAsia="Times New Roman"/>
          <w:b/>
          <w:bCs/>
          <w:color w:val="404040"/>
          <w:sz w:val="20"/>
          <w:szCs w:val="20"/>
        </w:rPr>
        <w:t xml:space="preserve">Tabelle 9 — Schritte der Antrags-Saga mit Aktion und Kompensation</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1758"/>
        <w:gridCol w:w="3691"/>
        <w:gridCol w:w="3339"/>
      </w:tblGrid>
      <w:tr>
        <w:trPr>
          <w:cantSplit/>
          <w:tblHeader/>
        </w:trPr>
        <w:tc>
          <w:tcPr>
            <w:tcW w:type="dxa" w:w="1758"/>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Schritt</w:t>
            </w:r>
          </w:p>
        </w:tc>
        <w:tc>
          <w:tcPr>
            <w:tcW w:type="dxa" w:w="3691"/>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Aktion (eigene Transaktion)</w:t>
            </w:r>
          </w:p>
        </w:tc>
        <w:tc>
          <w:tcPr>
            <w:tcW w:type="dxa" w:w="3339"/>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Kompensation</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1 · Vorgang erfassen</w:t>
            </w:r>
          </w:p>
        </w:tc>
        <w:tc>
          <w:tcPr>
            <w:tcW w:type="dxa" w:w="369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Bedarfsgemeinschaft und ersten SozialFall anlegen</w:t>
            </w:r>
          </w:p>
        </w:tc>
        <w:tc>
          <w:tcPr>
            <w:tcW w:type="dxa" w:w="333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Nur den selbst angelegten Vorgang historisieren; Zuordnung über Saga-Marker</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2 · Bedarfsprüfung</w:t>
            </w:r>
          </w:p>
        </w:tc>
        <w:tc>
          <w:tcPr>
            <w:tcW w:type="dxa" w:w="369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SGB-XII-Berechnung; bei Zahlbetrag ≤ 0 Abbruch „Kein Leistungsanspruch“</w:t>
            </w:r>
          </w:p>
        </w:tc>
        <w:tc>
          <w:tcPr>
            <w:tcW w:type="dxa" w:w="333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Journaleintrag „zurückgenommen“ — es gibt nichts Persistiertes zu zurückrollen</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3 · Bescheid erteilen</w:t>
            </w:r>
          </w:p>
        </w:tc>
        <w:tc>
          <w:tcPr>
            <w:tcW w:type="dxa" w:w="3691"/>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BESCHEID mit Nummer BESCH-&lt;Aktenzeichen&gt;-&lt;Jahr&gt;-&lt;ID&gt; und Status ERTEILT anlegen</w:t>
            </w:r>
          </w:p>
        </w:tc>
        <w:tc>
          <w:tcPr>
            <w:tcW w:type="dxa" w:w="333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Nur den über den Saga-Marker zugeordneten Bescheid auf AUFGEHOBEN setzen + Journal</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4 · Erstauszahlung anweisen</w:t>
            </w:r>
          </w:p>
        </w:tc>
        <w:tc>
          <w:tcPr>
            <w:tcW w:type="dxa" w:w="3691"/>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Zahlung ANGELEGT anlegen (Vorgangsnummer SAGA-&lt;UUID&gt;), Restbudget mindern</w:t>
            </w:r>
          </w:p>
        </w:tc>
        <w:tc>
          <w:tcPr>
            <w:tcW w:type="dxa" w:w="333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Zahlung auf STORNIERT setzen, Restbudget zurückbuchen + Journal</w:t>
            </w:r>
          </w:p>
        </w:tc>
      </w:tr>
    </w:tbl>
    <w:p>
      <w:pPr>
        <w:pStyle w:val="Heading2"/>
        <w:keepNext/>
        <w:spacing w:after="140" w:before="280" w:line="340" w:lineRule="atLeast"/>
      </w:pPr>
      <w:r>
        <w:rPr>
          <w:rFonts w:ascii="Times New Roman" w:eastAsia="Times New Roman"/>
          <w:b/>
          <w:bCs/>
          <w:color w:val="000000"/>
          <w:sz w:val="27"/>
          <w:szCs w:val="27"/>
        </w:rPr>
        <w:t xml:space="preserve">15.3  Journal-Tabellen und Zustände</w:t>
      </w:r>
    </w:p>
    <w:p>
      <w:pPr>
        <w:spacing w:after="120" w:line="312"/>
        <w:jc w:val="left"/>
      </w:pPr>
      <w:r>
        <w:rPr>
          <w:rFonts w:ascii="Times New Roman" w:eastAsia="Times New Roman"/>
          <w:b w:val="false"/>
          <w:bCs w:val="false"/>
          <w:i w:val="false"/>
          <w:iCs w:val="false"/>
          <w:color w:val="000000"/>
          <w:sz w:val="22"/>
          <w:szCs w:val="22"/>
        </w:rPr>
        <w:t xml:space="preserve">Die SagaEngine legt Kopf und Schrittzeilen in TX_SAGA und TX_SAGA_STEP an. Während der Ausführung hält sie eine exklusive Sperre auf der Kopfzeile. Fachtransaktionen und dauerhaft bestätigte IN_FLIGHT-/DONE-Schrittmarker laufen über weitere Verbindungen. Bei einem Fehler wird FAILED vor der Kompensation dauerhaft festgeschrieben; die Kompensation benötigt erneut die exklusive Übernahme. Hat inzwischen eine Recovery übernommen, startet die ursprüngliche Instanz keine zweite parallele Kompensation. Während notwendiger Fehlerbereinigung wird ein vorhandenes Interrupt-Flag kontrolliert aufgehoben und danach wiederhergestellt.</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Zustände der Saga: </w:t>
      </w:r>
      <w:r>
        <w:rPr>
          <w:rFonts w:ascii="Times New Roman" w:eastAsia="Times New Roman"/>
          <w:b w:val="false"/>
          <w:bCs w:val="false"/>
          <w:i w:val="false"/>
          <w:iCs w:val="false"/>
          <w:color w:val="000000"/>
          <w:sz w:val="22"/>
          <w:szCs w:val="22"/>
        </w:rPr>
        <w:t xml:space="preserve">RUNNING → COMPLETED im Erfolgsweg; RUNNING → FAILED → COMPENSATED im Fehlerweg; scheitert die Kompensation, bleibt FAILED. COMPENSATING ist ein weiter akzeptierter Altzustand.</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Zustände je Schritt: </w:t>
      </w:r>
      <w:r>
        <w:rPr>
          <w:rFonts w:ascii="Times New Roman" w:eastAsia="Times New Roman"/>
          <w:b w:val="false"/>
          <w:bCs w:val="false"/>
          <w:i w:val="false"/>
          <w:iCs w:val="false"/>
          <w:color w:val="000000"/>
          <w:sz w:val="22"/>
          <w:szCs w:val="22"/>
        </w:rPr>
        <w:t xml:space="preserve">PENDING → IN_FLIGHT → DONE → (bei Fehler) COMPENSATED. IN_FLIGHT ermöglicht die Klärung eines ungewissen Commit-Ausgangs.</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Kompensationen laufen unter dem Kennzeichen „saga-engine“ </w:t>
      </w:r>
      <w:r>
        <w:rPr>
          <w:rFonts w:ascii="Times New Roman" w:eastAsia="Times New Roman"/>
          <w:b w:val="false"/>
          <w:bCs w:val="false"/>
          <w:i w:val="false"/>
          <w:iCs w:val="false"/>
          <w:color w:val="000000"/>
          <w:sz w:val="22"/>
          <w:szCs w:val="22"/>
        </w:rPr>
        <w:t xml:space="preserve">und sind bewusst idempotent gebaut: zustandsabhängige SQL-Updates, die mehrfach ausgeführt denselben Zustand erzeugen — „Bescheid aufheben, falls ERTEILT“ ist zweimal genauso richtig wie einmal.</w:t>
      </w:r>
    </w:p>
    <w:p>
      <w:pPr>
        <w:pStyle w:val="Heading2"/>
        <w:keepNext/>
        <w:spacing w:after="140" w:before="280" w:line="340" w:lineRule="atLeast"/>
      </w:pPr>
      <w:r>
        <w:rPr>
          <w:rFonts w:ascii="Times New Roman" w:eastAsia="Times New Roman"/>
          <w:b/>
          <w:bCs/>
          <w:color w:val="000000"/>
          <w:sz w:val="27"/>
          <w:szCs w:val="27"/>
        </w:rPr>
        <w:t xml:space="preserve">15.4  Wiederanlauf (recover)</w:t>
      </w:r>
    </w:p>
    <w:p>
      <w:pPr>
        <w:spacing w:after="120" w:line="312"/>
        <w:jc w:val="left"/>
      </w:pPr>
      <w:r>
        <w:rPr>
          <w:rFonts w:ascii="Times New Roman" w:eastAsia="Times New Roman"/>
          <w:b w:val="false"/>
          <w:bCs w:val="false"/>
          <w:i w:val="false"/>
          <w:iCs w:val="false"/>
          <w:color w:val="000000"/>
          <w:sz w:val="22"/>
          <w:szCs w:val="22"/>
        </w:rPr>
        <w:t xml:space="preserve">Beim Serverstart wird recover() ausgeführt; ein administrativer Wiederanlauf berücksichtigt zusätzlich die konfigurierte Inaktivitätsgrenze. FOR UPDATE SKIP LOCKED verhindert die Übernahme einer noch von einer anderen Instanz ausgeführten Saga. Der Wiederanlauf verarbeitet DONE- und IN_FLIGHT-Schritte konservativ rückwärts und überspringt bereits kompensierte Schritte. Journal-Zeitwerte und Altersvergleiche verwenden dieselbe Datenbank-Server-Wanduhr (SYSTIMESTAMP beziehungsweise CAST(SYSTIMESTAMP AS TIMESTAMP)); die Session-Zeitzone beeinflusst den Vergleich nicht mehr. Ein Zeitzonen- oder Sommerzeitwechsel der DB-Host-Uhr kann das Alter weiterhin verzerren. Historisch aus einer fremden Zeitbasis importierte TIMESTAMP-Werte sind nicht sicher rekonstruierbar; eine echte absolute UTC-Altersemantik erfordert eine datenbewusste Migration.</w:t>
      </w:r>
    </w:p>
    <w:p>
      <w:pPr>
        <w:pStyle w:val="Heading1"/>
        <w:keepNext/>
        <w:spacing w:after="200" w:before="360" w:line="380" w:lineRule="atLeast"/>
      </w:pPr>
      <w:r>
        <w:rPr>
          <w:rFonts w:ascii="Times New Roman" w:eastAsia="Times New Roman"/>
          <w:b/>
          <w:bCs/>
          <w:color w:val="000000"/>
          <w:sz w:val="32"/>
          <w:szCs w:val="32"/>
        </w:rPr>
        <w:t xml:space="preserve">16  Datenmodell und Persistenz</w:t>
      </w:r>
    </w:p>
    <w:p>
      <w:pPr>
        <w:pStyle w:val="Heading2"/>
        <w:keepNext/>
        <w:spacing w:after="140" w:before="280" w:line="340" w:lineRule="atLeast"/>
      </w:pPr>
      <w:r>
        <w:rPr>
          <w:rFonts w:ascii="Times New Roman" w:eastAsia="Times New Roman"/>
          <w:b/>
          <w:bCs/>
          <w:color w:val="000000"/>
          <w:sz w:val="27"/>
          <w:szCs w:val="27"/>
        </w:rPr>
        <w:t xml:space="preserve">16.1  Fachschema</w:t>
      </w:r>
    </w:p>
    <w:p>
      <w:pPr>
        <w:spacing w:after="120" w:line="312"/>
        <w:jc w:val="left"/>
      </w:pPr>
      <w:r>
        <w:rPr>
          <w:rFonts w:ascii="Times New Roman" w:eastAsia="Times New Roman"/>
          <w:b w:val="false"/>
          <w:bCs w:val="false"/>
          <w:i w:val="false"/>
          <w:iCs w:val="false"/>
          <w:color w:val="000000"/>
          <w:sz w:val="22"/>
          <w:szCs w:val="22"/>
        </w:rPr>
        <w:t xml:space="preserve">Das Fachschema liegt in ddl/lmg_schema.sql mit Demobestand in ddl/lmg_seed.sql. Alle IDs kommen aus Sequenzen (SEQ_BG, SEQ_FALL, SEQ_ZAHLUNG, SEQ_BESCHEID, SEQ_JOURNAL, jeweils START WITH 1000).</w:t>
      </w:r>
    </w:p>
    <w:p>
      <w:pPr>
        <w:keepNext/>
        <w:spacing w:after="80" w:before="160"/>
      </w:pPr>
      <w:r>
        <w:rPr>
          <w:rFonts w:ascii="Times New Roman" w:eastAsia="Times New Roman"/>
          <w:b/>
          <w:bCs/>
          <w:color w:val="404040"/>
          <w:sz w:val="20"/>
          <w:szCs w:val="20"/>
        </w:rPr>
        <w:t xml:space="preserve">Tabelle 10 — Fachtabellen im Überblick</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285"/>
        <w:gridCol w:w="6503"/>
      </w:tblGrid>
      <w:tr>
        <w:trPr>
          <w:cantSplit/>
          <w:tblHeader/>
        </w:trPr>
        <w:tc>
          <w:tcPr>
            <w:tcW w:type="dxa" w:w="228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Tabelle</w:t>
            </w:r>
          </w:p>
        </w:tc>
        <w:tc>
          <w:tcPr>
            <w:tcW w:type="dxa" w:w="650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Inhalt und wichtige Spalten</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BEDARFSGEMEINSCHAFT</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Vorgangskopf: AKTENZEICHEN (eindeutig, VARCHAR2 50), HAUPTPERSON_NAME, STATUS_AKTIV (0/1), BUDGET_REST NUMBER(10,2) ≥ 0, WIEDERVORLAGE_AM, IBAN/BIC/KONTOINHABER, VERSION (optimistisches Locking).</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SOZIAL_FALL</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Leistungsberechtigter: BG_ID (FK), REGELBEDARFSSTUFE 1–6, FLAG_MERKZEICHEN_G, FLAG_WARMWASSER, KDU_MIETE/KDU_BETRIEBSKOSTEN/KDU_HEIZUNG, EINKOMMEN_RENTE/EINKOMMEN_ERWERB (alle ≥ 0), VERSION.</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ZAHLUNG</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Angeordnete Auszahlung: VORGANGS_NR (eindeutig — Idempotenz), ZAHLUNGSMONAT JJJJ-MM, AUSZAHLUNGSBETRAG &gt; 0, ZAHLUNGSSTATUS (ANGELEGT/BEREIT/UEBERGEBEN/STORNIERT, ASCII-stabil per CHECK), SACHBEARBEITER_ID, FREIGEGEBEN_VON, EMPFAENGER_IBAN/BIC/NAME.</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BESCHEID</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Bewilligungsbescheid: BESCHEID_NR (eindeutig), BESCHEID_DATUM, BEWILLIGUNG_VON/BIS (JJJJ-MM), ZAHLBETRAG, STATUS (ERTEILT/AUFGEHOBEN), ERSTELLT_VON.</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JOURNAL</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Revisionssicher: AKTION_TEXT (500), SACHBEARBEITER_ID, ERSTELLT_AM; BG_ID bewusst ohne Fremdschlüssel, damit Einträge Historisierung und Löschung überdauern.</w:t>
            </w:r>
          </w:p>
        </w:tc>
      </w:tr>
    </w:tbl>
    <w:p>
      <w:pPr>
        <w:pStyle w:val="Heading2"/>
        <w:keepNext/>
        <w:spacing w:after="140" w:before="280" w:line="340" w:lineRule="atLeast"/>
      </w:pPr>
      <w:r>
        <w:rPr>
          <w:rFonts w:ascii="Times New Roman" w:eastAsia="Times New Roman"/>
          <w:b/>
          <w:bCs/>
          <w:color w:val="000000"/>
          <w:sz w:val="27"/>
          <w:szCs w:val="27"/>
        </w:rPr>
        <w:t xml:space="preserve">16.2  Optimistisches Locking mit VERSION-Spalten und Triggern</w:t>
      </w:r>
    </w:p>
    <w:p>
      <w:pPr>
        <w:spacing w:after="120" w:line="312"/>
        <w:jc w:val="left"/>
      </w:pPr>
      <w:r>
        <w:rPr>
          <w:rFonts w:ascii="Times New Roman" w:eastAsia="Times New Roman"/>
          <w:b w:val="false"/>
          <w:bCs w:val="false"/>
          <w:i w:val="false"/>
          <w:iCs w:val="false"/>
          <w:color w:val="000000"/>
          <w:sz w:val="22"/>
          <w:szCs w:val="22"/>
        </w:rPr>
        <w:t xml:space="preserve">BEDARFSGEMEINSCHAFT und SOZIAL_FALL tragen eine VERSION-Spalte. Updates laufen als UPDATE … WHERE ID = ? AND VERSION = ?: Null betroffene Zeilen heißt, ein anderer Bearbeiter war schneller — die Fachschicht wirft KONKURRENZ, die Transaktion rollt zurück, die Oberfläche lädt den Neustand. Zwei Datenbank-Trigger (TRG_BG_VERSION, TRG_FALL_VERSION) erhöhen die Version bei jedem Update automatisch, sofern der Aufrufer sie nicht selbst erhöht hat; dadurch können parallele Buchungswege (Zahlbarmachung mindert das Restbudget) und Maskenbearbeitung nicht unentdeckt aneinander vorbeischreiben.</w:t>
      </w:r>
    </w:p>
    <w:p>
      <w:pPr>
        <w:pStyle w:val="Heading2"/>
        <w:keepNext/>
        <w:spacing w:after="140" w:before="280" w:line="340" w:lineRule="atLeast"/>
      </w:pPr>
      <w:r>
        <w:rPr>
          <w:rFonts w:ascii="Times New Roman" w:eastAsia="Times New Roman"/>
          <w:b/>
          <w:bCs/>
          <w:color w:val="000000"/>
          <w:sz w:val="27"/>
          <w:szCs w:val="27"/>
        </w:rPr>
        <w:t xml:space="preserve">16.3  Sperrverhalten im kritischen Buchungsweg</w:t>
      </w:r>
    </w:p>
    <w:p>
      <w:pPr>
        <w:spacing w:after="120" w:line="312"/>
        <w:jc w:val="left"/>
      </w:pPr>
      <w:r>
        <w:rPr>
          <w:rFonts w:ascii="Times New Roman" w:eastAsia="Times New Roman"/>
          <w:b w:val="false"/>
          <w:bCs w:val="false"/>
          <w:i w:val="false"/>
          <w:iCs w:val="false"/>
          <w:color w:val="000000"/>
          <w:sz w:val="22"/>
          <w:szCs w:val="22"/>
        </w:rPr>
        <w:t xml:space="preserve">Ergänzend zum optimistischen Locking nutzt die Zahlbarmachung eine pessimistische Zeilensperre: SELECT … FOR UPDATE auf die Bedarfsgemeinschaft. Parallele Anordnungen auf denselben Vorgang serialisieren sich damit von selbst; ein eventuell entstehender Deadlock wird von der RetryPolicy erkannt und wiederholt (Kapitel 14.2, echte Verifikation durch die Testklasse DeadlockRetryEchtTest gegen Oracle).</w:t>
      </w:r>
    </w:p>
    <w:p>
      <w:pPr>
        <w:pStyle w:val="Heading2"/>
        <w:keepNext/>
        <w:spacing w:after="140" w:before="280" w:line="340" w:lineRule="atLeast"/>
      </w:pPr>
      <w:r>
        <w:rPr>
          <w:rFonts w:ascii="Times New Roman" w:eastAsia="Times New Roman"/>
          <w:b/>
          <w:bCs/>
          <w:color w:val="000000"/>
          <w:sz w:val="27"/>
          <w:szCs w:val="27"/>
        </w:rPr>
        <w:t xml:space="preserve">16.4  Saga-Journal-Schema</w:t>
      </w:r>
    </w:p>
    <w:p>
      <w:pPr>
        <w:spacing w:after="120" w:line="312"/>
        <w:jc w:val="left"/>
      </w:pPr>
      <w:r>
        <w:rPr>
          <w:rFonts w:ascii="Times New Roman" w:eastAsia="Times New Roman"/>
          <w:b w:val="false"/>
          <w:bCs w:val="false"/>
          <w:i w:val="false"/>
          <w:iCs w:val="false"/>
          <w:color w:val="000000"/>
          <w:sz w:val="22"/>
          <w:szCs w:val="22"/>
        </w:rPr>
        <w:t xml:space="preserve">Die Kernschema-Tabellen liegen in ddl/oracle_schema.sql: TX_SAGA (SAGA_ID VARCHAR2(36) als Schlüssel, SAGA_TYPE, STATE mit RUNNING/COMPLETED/FAILED/COMPENSATING/COMPENSATED, PAYLOAD, Zeitstempel) und TX_SAGA_STEP (Schlüssel SAGA_ID + IDX, NAME, STATE PENDING/IN_FLIGHT/DONE/COMPENSATED, Fremdschlüssel zur Kopfzeile, Index auf den Zustand).</w:t>
      </w:r>
    </w:p>
    <w:p>
      <w:pPr>
        <w:pStyle w:val="Heading1"/>
        <w:keepNext/>
        <w:spacing w:after="200" w:before="360" w:line="380" w:lineRule="atLeast"/>
      </w:pPr>
      <w:r>
        <w:rPr>
          <w:rFonts w:ascii="Times New Roman" w:eastAsia="Times New Roman"/>
          <w:b/>
          <w:bCs/>
          <w:color w:val="000000"/>
          <w:sz w:val="32"/>
          <w:szCs w:val="32"/>
        </w:rPr>
        <w:t xml:space="preserve">17  Der kritische Buchungsweg im Detail</w:t>
      </w:r>
    </w:p>
    <w:p>
      <w:pPr>
        <w:spacing w:after="120" w:line="312"/>
        <w:jc w:val="left"/>
      </w:pPr>
      <w:r>
        <w:rPr>
          <w:rFonts w:ascii="Times New Roman" w:eastAsia="Times New Roman"/>
          <w:b w:val="false"/>
          <w:bCs w:val="false"/>
          <w:i w:val="false"/>
          <w:iCs w:val="false"/>
          <w:color w:val="000000"/>
          <w:sz w:val="22"/>
          <w:szCs w:val="22"/>
        </w:rPr>
        <w:t xml:space="preserve">Die Auszahlungsanordnung (SozialLeistungsService.ordneAuszahlungAn) ist der sicherheitskritischste Weg der Anwendung. Er kombiniert sechs Schritte zu einer einzigen kurzen Transaktion — entweder alles oder nichts:</w:t>
      </w:r>
    </w:p>
    <w:p>
      <w:pPr>
        <w:spacing w:after="60" w:line="312"/>
        <w:ind w:left="360" w:hanging="360"/>
        <w:jc w:val="left"/>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Auftragsprüfung: </w:t>
      </w:r>
      <w:r>
        <w:rPr>
          <w:rFonts w:ascii="Times New Roman" w:eastAsia="Times New Roman"/>
          <w:b w:val="false"/>
          <w:bCs w:val="false"/>
          <w:color w:val="000000"/>
          <w:sz w:val="22"/>
          <w:szCs w:val="22"/>
        </w:rPr>
        <w:t xml:space="preserve">Vorgangsnummer (max. 100 Zeichen), Kennung (max. 50) und Zahlungsmonat im Format JJJJ-MM werden vor Transaktionsbeginn geprüft (VALIDATION).</w:t>
      </w:r>
    </w:p>
    <w:p>
      <w:pPr>
        <w:spacing w:after="60" w:line="312"/>
        <w:ind w:left="360" w:hanging="360"/>
        <w:jc w:val="left"/>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Existiert die Vorgangsnummer bereits, wird die vorhandene Zahlung unverändert zurückgegeben (Flag „bereits gebucht“) — Doppelklicks und wiederholte Requests buchen nie zweimal. Die Eindeutigkeit erzwingt zusätzlich ein UNIQUE-Constraint in der Tabelle ZAHLUNG.</w:t>
      </w:r>
    </w:p>
    <w:p>
      <w:pPr>
        <w:spacing w:after="60" w:line="312"/>
        <w:ind w:left="360" w:hanging="360"/>
        <w:jc w:val="left"/>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Pessimistische Sperre: </w:t>
      </w:r>
      <w:r>
        <w:rPr>
          <w:rFonts w:ascii="Times New Roman" w:eastAsia="Times New Roman"/>
          <w:b w:val="false"/>
          <w:bCs w:val="false"/>
          <w:color w:val="000000"/>
          <w:sz w:val="22"/>
          <w:szCs w:val="22"/>
        </w:rPr>
        <w:t xml:space="preserve">SELECT … FOR UPDATE auf die Bedarfsgemeinschaft; historisierte Vorgänge brechen hier ab. Parallele Buchungen laufen nacheinander; ORA-00060-Deadlocks wiederholt die Steuerung.</w:t>
      </w:r>
    </w:p>
    <w:p>
      <w:pPr>
        <w:spacing w:after="60" w:line="312"/>
        <w:ind w:left="360" w:hanging="360"/>
        <w:jc w:val="left"/>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Berechnung und Prüfung: </w:t>
      </w:r>
      <w:r>
        <w:rPr>
          <w:rFonts w:ascii="Times New Roman" w:eastAsia="Times New Roman"/>
          <w:b w:val="false"/>
          <w:bCs w:val="false"/>
          <w:color w:val="000000"/>
          <w:sz w:val="22"/>
          <w:szCs w:val="22"/>
        </w:rPr>
        <w:t xml:space="preserve">Zahlbetrag frisch über alle SozialFälle berechnen; ≤ 0 → KEIN_ANSPRUCH, über Restbudget → BUDGET_ERSCHOEPFT. Sobald Bescheide vorhanden sind, werden eindeutige Monatsdeckung und exakter gespeicherter Monatsbetrag geprüft; bei Abweichung wird nicht gebucht.</w:t>
      </w:r>
    </w:p>
    <w:p>
      <w:pPr>
        <w:spacing w:after="60" w:line="312"/>
        <w:ind w:left="360" w:hanging="360"/>
        <w:jc w:val="left"/>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SEPA-Prüfung und Zahlung: </w:t>
      </w:r>
      <w:r>
        <w:rPr>
          <w:rFonts w:ascii="Times New Roman" w:eastAsia="Times New Roman"/>
          <w:b w:val="false"/>
          <w:bCs w:val="false"/>
          <w:color w:val="000000"/>
          <w:sz w:val="22"/>
          <w:szCs w:val="22"/>
        </w:rPr>
        <w:t xml:space="preserve">Empfängerdaten aus Auftrag, Vorgang oder Hauptperson; vorhandene IBAN mit Modulo-97, vorhandene BIC per Formatprüfung validiert (Kapitel 18.3); Zahlung entsteht immer im Status ANGELEGT, das Restbudget mindert sich.</w:t>
      </w:r>
    </w:p>
    <w:p>
      <w:pPr>
        <w:spacing w:after="60" w:line="312"/>
        <w:ind w:left="360" w:hanging="360"/>
        <w:jc w:val="left"/>
      </w:pPr>
      <w:r>
        <w:rPr>
          <w:rFonts w:ascii="Times New Roman" w:eastAsia="Times New Roman"/>
          <w:b/>
          <w:bCs/>
          <w:color w:val="529286"/>
          <w:sz w:val="22"/>
          <w:szCs w:val="22"/>
        </w:rPr>
        <w:t xml:space="preserve">6.  </w:t>
      </w:r>
      <w:r>
        <w:rPr>
          <w:rFonts w:ascii="Times New Roman" w:eastAsia="Times New Roman"/>
          <w:b/>
          <w:bCs/>
          <w:color w:val="000000"/>
          <w:sz w:val="22"/>
          <w:szCs w:val="22"/>
        </w:rPr>
        <w:t xml:space="preserve">Journal: </w:t>
      </w:r>
      <w:r>
        <w:rPr>
          <w:rFonts w:ascii="Times New Roman" w:eastAsia="Times New Roman"/>
          <w:b w:val="false"/>
          <w:bCs w:val="false"/>
          <w:color w:val="000000"/>
          <w:sz w:val="22"/>
          <w:szCs w:val="22"/>
        </w:rPr>
        <w:t xml:space="preserve">revisionssicherer Eintrag mit der angemeldeten Kennung; erst danach committet die Transaktion.</w:t>
      </w:r>
    </w:p>
    <w:p>
      <w:pPr>
        <w:keepNext/>
        <w:spacing w:after="60" w:before="160"/>
        <w:jc w:val="center"/>
      </w:pPr>
      <w:r>
        <w:drawing>
          <wp:inline distT="0" distB="0" distL="0" distR="0">
            <wp:extent cx="53530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53050" cy="2714625"/>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20 — Statusweg einer Zahlung: Vier-Augen-Freigabe, Kassenlauf, Storno und Restbudget-Rückbuchung. Diagrammstand 13. Oktober 2026.</w:t>
      </w:r>
    </w:p>
    <w:p>
      <w:pPr>
        <w:spacing w:after="180" w:line="312"/>
        <w:jc w:val="left"/>
      </w:pPr>
      <w:r>
        <w:rPr>
          <w:rFonts w:ascii="Times New Roman" w:eastAsia="Times New Roman"/>
          <w:b/>
          <w:bCs/>
          <w:i w:val="false"/>
          <w:iCs w:val="false"/>
          <w:color w:val="000000"/>
          <w:sz w:val="22"/>
          <w:szCs w:val="22"/>
        </w:rPr>
        <w:t xml:space="preserve">Warum Restbudget?. </w:t>
      </w:r>
      <w:r>
        <w:rPr>
          <w:rFonts w:ascii="Times New Roman" w:eastAsia="Times New Roman"/>
          <w:b w:val="false"/>
          <w:bCs w:val="false"/>
          <w:i w:val="false"/>
          <w:iCs w:val="false"/>
          <w:color w:val="000000"/>
          <w:sz w:val="22"/>
          <w:szCs w:val="22"/>
        </w:rPr>
        <w:t xml:space="preserve">BUDGET_REST ist der rechnerische Deckel der Bewilligung: Jede Anordnung mindert ihn, jedes Storno bucht zurück. Damit kann die Sachbearbeitung ein Bewilligungsvolumen verwalten, auch wenn mehrere Monate und Teilbeträge zu-fließen. Die VERSION-Trigger stellen sicher, dass gleichzeitige Maskenbearbeiter die Budgetminderung nicht übersehen können.</w:t>
      </w:r>
    </w:p>
    <w:p>
      <w:pPr>
        <w:pStyle w:val="Heading1"/>
        <w:keepNext/>
        <w:spacing w:after="200" w:before="360" w:line="380" w:lineRule="atLeast"/>
      </w:pPr>
      <w:r>
        <w:rPr>
          <w:rFonts w:ascii="Times New Roman" w:eastAsia="Times New Roman"/>
          <w:b/>
          <w:bCs/>
          <w:color w:val="000000"/>
          <w:sz w:val="32"/>
          <w:szCs w:val="32"/>
        </w:rPr>
        <w:t xml:space="preserve">18  Sicherheit: Anmeldung, Rollen und SEPA</w:t>
      </w:r>
    </w:p>
    <w:p>
      <w:pPr>
        <w:pStyle w:val="Heading2"/>
        <w:keepNext/>
        <w:spacing w:after="140" w:before="280" w:line="340" w:lineRule="atLeast"/>
      </w:pPr>
      <w:r>
        <w:rPr>
          <w:rFonts w:ascii="Times New Roman" w:eastAsia="Times New Roman"/>
          <w:b/>
          <w:bCs/>
          <w:color w:val="000000"/>
          <w:sz w:val="27"/>
          <w:szCs w:val="27"/>
        </w:rPr>
        <w:t xml:space="preserve">18.1  Sitzungen und Token</w:t>
      </w:r>
    </w:p>
    <w:p>
      <w:pPr>
        <w:spacing w:after="120" w:line="312"/>
        <w:jc w:val="left"/>
      </w:pPr>
      <w:r>
        <w:rPr>
          <w:rFonts w:ascii="Times New Roman" w:eastAsia="Times New Roman"/>
          <w:b w:val="false"/>
          <w:bCs w:val="false"/>
          <w:i w:val="false"/>
          <w:iCs w:val="false"/>
          <w:color w:val="000000"/>
          <w:sz w:val="22"/>
          <w:szCs w:val="22"/>
        </w:rPr>
        <w:t xml:space="preserve">Die Anmeldung erzeugt eine UUID als Sitzungs-Token und legt sie mit Kennung und Rolle in einem serverseitigen Speicher ab (Klasse Benutzerverwaltung). Jede weitere Anfrage trägt den Authorization-Header „Bearer &lt;Token&gt;“; die Druckansicht erhält ausnahmsweise ein eigens dafür erzeugtes Einmal-Token im URL-Parameter (POST /api/drucktoken, 60 Sekunden gültig, verbraucht sich beim ersten Abruf), damit das Druckfenster ohne Header auskommt, ohne dass das Sitzungs-Token in Adressen oder Browserverlauf gerät. Unbekannte oder abgelaufene Token führen zu HTTP 401 mit dem Code ANMELDUNG. Jede Einsicht in vollständige Falldaten — Vorgangsdetail, Bescheiddaten, Druckansicht — wird protokolliert: Das Journal hält fest, wer wann eingesehen hat (Zugriffsprotokoll nach § 35 SGB I / Art. 32 DSGVO); wiederholtes Aufrufen derselben Maske innerhalb einer Minute wird zu einem Eintrag zusammengefasst. Übersichtslisten (Vorgänge, Zahlungen) zeigen bewusst keine Bankverbindungsdaten — IBAN und BIC erscheinen nur im Detail des jeweiligen Falls. Konten kommen aus der Umgebung LMG_BENUTZER (Format kennung:passwort:rolle;…) oder aus den Demo-Standards; für den produktiven Betrieb ist an dieser Stelle ein Verzeichnisdienst hinter HTTPS vorgesehen — die Sitzungsverwaltung ist bewusst klein gehalten und austauschbar.</w:t>
      </w:r>
    </w:p>
    <w:p>
      <w:pPr>
        <w:keepNext/>
        <w:spacing w:after="60" w:before="160"/>
        <w:jc w:val="center"/>
      </w:pPr>
      <w:r>
        <w:drawing>
          <wp:inline distT="0" distB="0" distL="0" distR="0">
            <wp:extent cx="53530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53050" cy="2895600"/>
                    </a:xfrm>
                    <a:prstGeom prst="rect">
                      <a:avLst/>
                    </a:prstGeom>
                  </pic:spPr>
                </pic:pic>
              </a:graphicData>
            </a:graphic>
          </wp:inline>
        </w:drawing>
      </w:r>
    </w:p>
    <w:p>
      <w:pPr>
        <w:spacing w:after="200"/>
        <w:jc w:val="center"/>
      </w:pPr>
      <w:r>
        <w:rPr>
          <w:rFonts w:ascii="Times New Roman" w:eastAsia="Times New Roman"/>
          <w:i/>
          <w:iCs/>
          <w:color w:val="404040"/>
          <w:sz w:val="19"/>
          <w:szCs w:val="19"/>
        </w:rPr>
        <w:t xml:space="preserve">Abbildung 21 — Anmelde- und Berechtigungsfluss: Token-Prüfung, 401 ohne Sitzung, 403 ohne Admin-Rolle. Diagrammstand 13. Oktober 2026.</w:t>
      </w:r>
    </w:p>
    <w:p>
      <w:pPr>
        <w:pStyle w:val="Heading2"/>
        <w:keepNext/>
        <w:spacing w:after="140" w:before="280" w:line="340" w:lineRule="atLeast"/>
      </w:pPr>
      <w:r>
        <w:rPr>
          <w:rFonts w:ascii="Times New Roman" w:eastAsia="Times New Roman"/>
          <w:b/>
          <w:bCs/>
          <w:color w:val="000000"/>
          <w:sz w:val="27"/>
          <w:szCs w:val="27"/>
        </w:rPr>
        <w:t xml:space="preserve">18.2  Serverseitige Berechtigungsprüfung</w:t>
      </w:r>
    </w:p>
    <w:p>
      <w:pPr>
        <w:spacing w:after="120" w:line="312"/>
        <w:jc w:val="left"/>
      </w:pPr>
      <w:r>
        <w:rPr>
          <w:rFonts w:ascii="Times New Roman" w:eastAsia="Times New Roman"/>
          <w:b w:val="false"/>
          <w:bCs w:val="false"/>
          <w:i w:val="false"/>
          <w:iCs w:val="false"/>
          <w:color w:val="000000"/>
          <w:sz w:val="22"/>
          <w:szCs w:val="22"/>
        </w:rPr>
        <w:t xml:space="preserve">Admin-pflichtige Endpunkte (alles unter /api/system/, POST /api/kassenlauf, POST /api/zahlungen/{id}/storno) prüfen die Rolle je Anfrage serverseitig; ohne Admin-Rolle antwortet die Schnittstelle mit 403 und dem Code BERECHTIGUNG. Die Kennung für das Journal kommt ausschließlich aus der Sitzung — Angaben im Anfragekörper werden ignoriert. Das Vier-Augen-Prinzip ist rechnerisch festgestellt: Die Freigabe prüft Erfasser gegen Freigebenden und wehrt die Identität ab. Einzige Ausnahme ist die Rolle „admin“ — eine Admin-Kennung darf die eigene Anordnung ausnahmsweise selbst feststellen (Sonderrolle über die Rolle, nicht über eine bestimmte Kennung).</w:t>
      </w:r>
    </w:p>
    <w:p>
      <w:pPr>
        <w:pStyle w:val="Heading2"/>
        <w:keepNext/>
        <w:spacing w:after="140" w:before="280" w:line="340" w:lineRule="atLeast"/>
      </w:pPr>
      <w:r>
        <w:rPr>
          <w:rFonts w:ascii="Times New Roman" w:eastAsia="Times New Roman"/>
          <w:b/>
          <w:bCs/>
          <w:color w:val="000000"/>
          <w:sz w:val="27"/>
          <w:szCs w:val="27"/>
        </w:rPr>
        <w:t xml:space="preserve">18.3  SEPA-Validierung nach ISO 13616</w:t>
      </w:r>
    </w:p>
    <w:p>
      <w:pPr>
        <w:spacing w:after="120" w:line="312"/>
        <w:jc w:val="left"/>
      </w:pPr>
      <w:r>
        <w:rPr>
          <w:rFonts w:ascii="Times New Roman" w:eastAsia="Times New Roman"/>
          <w:b w:val="false"/>
          <w:bCs w:val="false"/>
          <w:i w:val="false"/>
          <w:iCs w:val="false"/>
          <w:color w:val="000000"/>
          <w:sz w:val="22"/>
          <w:szCs w:val="22"/>
        </w:rPr>
        <w:t xml:space="preserve">Der SepaValidator prüft vorhandene IBAN und BIC nach den implementierten Format- und Prüfzifferregeln und normalisiert die Eingaben (Leerzeichen entfernt, Großbuchstaben):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IBAN: </w:t>
      </w:r>
      <w:r>
        <w:rPr>
          <w:rFonts w:ascii="Times New Roman" w:eastAsia="Times New Roman"/>
          <w:b w:val="false"/>
          <w:bCs w:val="false"/>
          <w:i w:val="false"/>
          <w:iCs w:val="false"/>
          <w:color w:val="000000"/>
          <w:sz w:val="22"/>
          <w:szCs w:val="22"/>
        </w:rPr>
        <w:t xml:space="preserve">Format nach ISO 13616 (Ländercode A–Z, Prüfziffer, 11 bis 30 alphanumerische Zeichen; Gesamtlänge 15–34), länderspezifische Längenprüfung (DE 22, AT 20, CH 21) und die Modulo-97-Prüfziffer nach ISO 7064: Die ersten vier Zeichen wandern ans Ende, alle Zeichen werden numerisch kodiert (A=10 … Z=35), und die entstehende große Zahl muss bei Division durch 97 den Rest 1 lassen.</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BIC nach ISO 9362: </w:t>
      </w:r>
      <w:r>
        <w:rPr>
          <w:rFonts w:ascii="Times New Roman" w:eastAsia="Times New Roman"/>
          <w:b w:val="false"/>
          <w:bCs w:val="false"/>
          <w:i w:val="false"/>
          <w:iCs w:val="false"/>
          <w:color w:val="000000"/>
          <w:sz w:val="22"/>
          <w:szCs w:val="22"/>
        </w:rPr>
        <w:t xml:space="preserve">8 oder 11 Zeichen — vierstelliger Bankcode, zweistelliger Ländercode, zweistelliger Ort, optional dreistellige Filiale.</w:t>
      </w:r>
    </w:p>
    <w:p>
      <w:pPr>
        <w:pStyle w:val="ListParagraph"/>
        <w:numPr>
          <w:ilvl w:val="0"/>
          <w:numId w:val="1"/>
        </w:numPr>
        <w:spacing w:after="60" w:line="312"/>
        <w:jc w:val="left"/>
      </w:pPr>
      <w:r>
        <w:rPr>
          <w:rFonts w:ascii="Times New Roman" w:eastAsia="Times New Roman"/>
          <w:b/>
          <w:bCs/>
          <w:i w:val="false"/>
          <w:iCs w:val="false"/>
          <w:color w:val="000000"/>
          <w:sz w:val="22"/>
          <w:szCs w:val="22"/>
        </w:rPr>
        <w:t xml:space="preserve">Hilfsfunktionen: </w:t>
      </w:r>
      <w:r>
        <w:rPr>
          <w:rFonts w:ascii="Times New Roman" w:eastAsia="Times New Roman"/>
          <w:b w:val="false"/>
          <w:bCs w:val="false"/>
          <w:i w:val="false"/>
          <w:iCs w:val="false"/>
          <w:color w:val="000000"/>
          <w:sz w:val="22"/>
          <w:szCs w:val="22"/>
        </w:rPr>
        <w:t xml:space="preserve">Normalisierung und die 4er-Block-Formatierung für Bescheide und Druckansicht.</w:t>
      </w:r>
    </w:p>
    <w:p>
      <w:pPr>
        <w:spacing w:after="120" w:line="312"/>
        <w:jc w:val="left"/>
      </w:pPr>
      <w:r>
        <w:rPr>
          <w:rFonts w:ascii="Times New Roman" w:eastAsia="Times New Roman"/>
          <w:b w:val="false"/>
          <w:bCs w:val="false"/>
          <w:i w:val="false"/>
          <w:iCs w:val="false"/>
          <w:color w:val="000000"/>
          <w:sz w:val="22"/>
          <w:szCs w:val="22"/>
        </w:rPr>
        <w:t xml:space="preserve">Ungültige Angaben brechen die Anordnung mit VALIDATION und einer klaren Fehlermeldung ab — Leere Bankdaten bleiben im Demo-Modell zulässig. Der Kassenlauf erzeugt keine SEPA-Datei und führt keine Überweisung bei einer Bank aus.</w:t>
      </w:r>
    </w:p>
    <w:p>
      <w:pPr>
        <w:pStyle w:val="Heading1"/>
        <w:keepNext/>
        <w:spacing w:after="200" w:before="360" w:line="380" w:lineRule="atLeast"/>
      </w:pPr>
      <w:r>
        <w:rPr>
          <w:rFonts w:ascii="Times New Roman" w:eastAsia="Times New Roman"/>
          <w:b/>
          <w:bCs/>
          <w:color w:val="000000"/>
          <w:sz w:val="32"/>
          <w:szCs w:val="32"/>
        </w:rPr>
        <w:t xml:space="preserve">19  Konfiguration, Start und Qualitätssicherung</w:t>
      </w:r>
    </w:p>
    <w:p>
      <w:pPr>
        <w:pStyle w:val="Heading2"/>
        <w:keepNext/>
        <w:spacing w:after="140" w:before="280" w:line="340" w:lineRule="atLeast"/>
      </w:pPr>
      <w:r>
        <w:rPr>
          <w:rFonts w:ascii="Times New Roman" w:eastAsia="Times New Roman"/>
          <w:b/>
          <w:bCs/>
          <w:color w:val="000000"/>
          <w:sz w:val="27"/>
          <w:szCs w:val="27"/>
        </w:rPr>
        <w:t xml:space="preserve">19.1  Externe Konfiguration (12-Factor)</w:t>
      </w:r>
    </w:p>
    <w:p>
      <w:pPr>
        <w:spacing w:after="120" w:line="312"/>
        <w:jc w:val="left"/>
      </w:pPr>
      <w:r>
        <w:rPr>
          <w:rFonts w:ascii="Times New Roman" w:eastAsia="Times New Roman"/>
          <w:b w:val="false"/>
          <w:bCs w:val="false"/>
          <w:i w:val="false"/>
          <w:iCs w:val="false"/>
          <w:color w:val="000000"/>
          <w:sz w:val="22"/>
          <w:szCs w:val="22"/>
        </w:rPr>
        <w:t xml:space="preserve">Die Anwendung liest ihre Konfiguration über LmgConfig in einer festen Prioritätskaskade: Java-System-Properties (-D…) schlagen Umgebungsvariablen, diese schlagen die Datei lmg.properties im Arbeitsverzeichnis, und erst dann gelten die Standardwerte. Plausibilitätsverletzungen (Port außerhalb 1–65535, Größen &lt; 1) brechen den Start mit klarer Meldung ab.</w:t>
      </w:r>
    </w:p>
    <w:p>
      <w:pPr>
        <w:spacing w:after="120" w:line="312"/>
        <w:jc w:val="left"/>
      </w:pPr>
      <w:r>
        <w:rPr>
          <w:rFonts w:ascii="Times New Roman" w:eastAsia="Times New Roman"/>
          <w:b w:val="false"/>
          <w:bCs w:val="false"/>
          <w:i w:val="false"/>
          <w:iCs w:val="false"/>
          <w:color w:val="000000"/>
          <w:sz w:val="22"/>
          <w:szCs w:val="22"/>
        </w:rPr>
        <w:t xml:space="preserve">Konfigurationsdateien werden strikt als UTF-8 gelesen; ein UTF-8-BOM wird unterstützt. Eine vorhandene unlesbare oder beschädigte Datei führt zum Startabbruch, statt still Defaults oder Teilwerte zu verwenden. Pooltyp und Zahlenwerte werden geprüft. Scheitert der technische Saga-Wiederanlauf, startet der Server keinen HTTP-Listener und meldet keinen erfolgreichen Start; bereits geöffnete Ressourcen werden geschlossen.</w:t>
      </w:r>
    </w:p>
    <w:p>
      <w:pPr>
        <w:keepNext/>
        <w:spacing w:after="80" w:before="160"/>
      </w:pPr>
      <w:r>
        <w:rPr>
          <w:rFonts w:ascii="Times New Roman" w:eastAsia="Times New Roman"/>
          <w:b/>
          <w:bCs/>
          <w:color w:val="404040"/>
          <w:sz w:val="20"/>
          <w:szCs w:val="20"/>
        </w:rPr>
        <w:t xml:space="preserve">Tabelle 11 — Konfigurationsschlüssel und Standardwerte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1758"/>
        <w:gridCol w:w="2109"/>
        <w:gridCol w:w="2285"/>
        <w:gridCol w:w="2636"/>
      </w:tblGrid>
      <w:tr>
        <w:trPr>
          <w:cantSplit/>
          <w:tblHeader/>
        </w:trPr>
        <w:tc>
          <w:tcPr>
            <w:tcW w:type="dxa" w:w="1758"/>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Schlüssel (lmg.properties)</w:t>
            </w:r>
          </w:p>
        </w:tc>
        <w:tc>
          <w:tcPr>
            <w:tcW w:type="dxa" w:w="2109"/>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Umgebungsvariable</w:t>
            </w:r>
          </w:p>
        </w:tc>
        <w:tc>
          <w:tcPr>
            <w:tcW w:type="dxa" w:w="228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Standard</w:t>
            </w:r>
          </w:p>
        </w:tc>
        <w:tc>
          <w:tcPr>
            <w:tcW w:type="dxa" w:w="2636"/>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Bedeutung</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tx.url</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TX_URL</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jdbc:oracle:thin:@//localhost:1921/o19c1p1</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JDBC-Verbindungsziel</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tx.user / tx.pass</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TX_USER / TX_PASS</w:t>
            </w:r>
          </w:p>
        </w:tc>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tx_demo / tx_demo</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Datenbank-Konto</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lmg.port</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LMG_PORT</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8080</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HTTP-Port der Oberfläche</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lmg.host</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LMG_HOST</w:t>
            </w:r>
          </w:p>
        </w:tc>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127.0.0.1</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Bindeadresse; Demo-Konten außerhalb Loopback verweigert</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lmg.pool.type</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LMG_POOL_TYP</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ucp</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Verbindungspool (ucp oder simple)</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lmg.pool.size</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LMG_POOL_GROESSE</w:t>
            </w:r>
          </w:p>
        </w:tc>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24</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Maximale Poolgröße</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lmg.tasks.max</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LMG_TASKS</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8</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Parallelität der Task-Steuerung</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lmg.tasks.queue</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LMG_WARTESCHLANGE</w:t>
            </w:r>
          </w:p>
        </w:tc>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100</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Länge der Auftragswarteschlange</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lmg.audit.file</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LMG_AUDIT_FILE</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lmg_audit.log</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Audit-Datei; leere Konfigurationswerte verwenden den Default</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lmg.benutzer</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LMG_BENUTZER</w:t>
            </w:r>
          </w:p>
        </w:tc>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Demo-Konten</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Benutzerkonten kennung:passwort:rolle;…</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lmg.session.timeout.minuten</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LMG_SESSION_TIMEOUT</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60</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Inaktivitätsgrenze einer Sitzung in Minuten</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lmg.db.connectTimeoutMs</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LMG_DB_CONNECT_TIMEOUT_MS</w:t>
            </w:r>
          </w:p>
        </w:tc>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15000</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JDBC-Verbindungsaufbau in Millisekunden</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lmg.db.readTimeoutMs</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LMG_DB_READ_TIMEOUT_MS</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120000</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JDBC-Lesezeitlimit in Millisekunden</w:t>
            </w:r>
          </w:p>
        </w:tc>
      </w:tr>
      <w:tr>
        <w:trPr>
          <w:cantSplit/>
        </w:trPr>
        <w:tc>
          <w:tcPr>
            <w:tcW w:type="dxa" w:w="1758"/>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lmg.kdu.warmwasserabzug</w:t>
            </w:r>
          </w:p>
        </w:tc>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LMG_KDU_WARMWASSERABZUG</w:t>
            </w:r>
          </w:p>
        </w:tc>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0</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Anteil zentraler Heizkosten; 0.075 bedeutet 7,5 %</w:t>
            </w:r>
          </w:p>
        </w:tc>
      </w:tr>
      <w:tr>
        <w:trPr>
          <w:cantSplit/>
        </w:trPr>
        <w:tc>
          <w:tcPr>
            <w:tcW w:type="dxa" w:w="1758"/>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lmg.kdu.angemessenheitsgrenze</w:t>
            </w:r>
          </w:p>
        </w:tc>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LMG_KDU_ANGEMESSENHEITSGRENZE</w:t>
            </w:r>
          </w:p>
        </w:tc>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0</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Gesamtgrenze je BG in EUR; 0 deaktiviert</w:t>
            </w:r>
          </w:p>
        </w:tc>
      </w:tr>
    </w:tbl>
    <w:p>
      <w:pPr>
        <w:spacing w:after="120" w:line="312"/>
        <w:jc w:val="left"/>
      </w:pPr>
      <w:r>
        <w:rPr>
          <w:rFonts w:ascii="Times New Roman" w:eastAsia="Times New Roman"/>
          <w:b w:val="false"/>
          <w:bCs w:val="false"/>
          <w:i w:val="false"/>
          <w:iCs w:val="false"/>
          <w:color w:val="000000"/>
          <w:sz w:val="22"/>
          <w:szCs w:val="22"/>
        </w:rPr>
        <w:t xml:space="preserve">Der interne JDBC-Fallback zeigt auf die Zweitumgebung Oracle 19c unter Port 1921. Die mitgelieferte lmg.properties und start.bat verwenden die empfohlene Entwicklerdatenbank im Docker-Container lmg-oracle unter jdbc:oracle:thin:@//localhost:1521/FREEPDB1. Eine Umgebungsvariable oder Java-Property kann beide Angaben überschreiben. Vor jedem Test das tatsächliche Ziel kontrollieren.</w:t>
      </w:r>
    </w:p>
    <w:p>
      <w:pPr>
        <w:spacing w:after="120" w:line="312"/>
        <w:jc w:val="left"/>
      </w:pPr>
      <w:r>
        <w:rPr>
          <w:rFonts w:ascii="Times New Roman" w:eastAsia="Times New Roman"/>
          <w:b w:val="false"/>
          <w:bCs w:val="false"/>
          <w:i w:val="false"/>
          <w:iCs w:val="false"/>
          <w:color w:val="000000"/>
          <w:sz w:val="22"/>
          <w:szCs w:val="22"/>
        </w:rPr>
        <w:t xml:space="preserve">HTTP-Zeitlimits werden vor dem ersten JDK-HttpServer gesetzt. Die JVM-Properties sun.net.httpserver.maxReqTime, sun.net.httpserver.maxRspTime und sun.net.httpserver.idleInterval werden vom verwendeten JDK in Sekunden interpretiert; Defaults sind 30, 120 und 30. jdk.httpserver.maxConnections ist standardmäßig 256. Eigene Werte müssen innerhalb der geprüften Grenzen liegen: Anfrage 1–300 s, Antwort 1–600 s, Leerlauf 1–300 s, Verbindungen 16–4096. Ungültige oder unbeschränkte Werte verhindern den Start. Diese Properties werden als -D-Optionen gesetzt und gehören nicht zur LmgConfig-Kaskade.</w:t>
      </w:r>
    </w:p>
    <w:p>
      <w:pPr>
        <w:pStyle w:val="Heading2"/>
        <w:keepNext/>
        <w:spacing w:after="140" w:before="280" w:line="340" w:lineRule="atLeast"/>
      </w:pPr>
      <w:r>
        <w:rPr>
          <w:rFonts w:ascii="Times New Roman" w:eastAsia="Times New Roman"/>
          <w:b/>
          <w:bCs/>
          <w:color w:val="000000"/>
          <w:sz w:val="27"/>
          <w:szCs w:val="27"/>
        </w:rPr>
        <w:t xml:space="preserve">19.2  Start und Wiederanlauf</w:t>
      </w:r>
    </w:p>
    <w:p>
      <w:pPr>
        <w:spacing w:after="120" w:line="312"/>
        <w:jc w:val="left"/>
      </w:pPr>
      <w:r>
        <w:rPr>
          <w:rFonts w:ascii="Times New Roman" w:eastAsia="Times New Roman"/>
          <w:b w:val="false"/>
          <w:bCs w:val="false"/>
          <w:i w:val="false"/>
          <w:iCs w:val="false"/>
          <w:color w:val="000000"/>
          <w:sz w:val="22"/>
          <w:szCs w:val="22"/>
        </w:rPr>
        <w:t xml:space="preserve">Für die Entwicklung startet start.bat die Umgebung bequem: Datenbankcontainer bei Bedarf, Kompilierung, Serverstart und Browseröffnung; start.bat demo führt die Saga-Demo aus. Der Serveraufruf ist „mvn compile exec:java -Dexec.mainClass=de.allgemein.lmg.web.LmgServerMain“. Beim Hochfahren führt der Server die Saga-Wiederanlauf-Funktion aus und protokolliert den Stand im Audit-Log. Sitzungen liegen im Speicher: Nach einem Neustart melden sich die Bearbeiter neu an; Daten sind davon unberührt.</w:t>
      </w:r>
    </w:p>
    <w:p>
      <w:pPr>
        <w:pStyle w:val="Heading2"/>
        <w:keepNext/>
        <w:spacing w:after="140" w:before="280" w:line="340" w:lineRule="atLeast"/>
      </w:pPr>
      <w:r>
        <w:rPr>
          <w:rFonts w:ascii="Times New Roman" w:eastAsia="Times New Roman"/>
          <w:b/>
          <w:bCs/>
          <w:color w:val="000000"/>
          <w:sz w:val="27"/>
          <w:szCs w:val="27"/>
        </w:rPr>
        <w:t xml:space="preserve">19.3  Qualitätssicherung</w:t>
      </w:r>
    </w:p>
    <w:p>
      <w:pPr>
        <w:spacing w:after="120" w:line="312"/>
        <w:jc w:val="left"/>
      </w:pPr>
      <w:r>
        <w:rPr>
          <w:rFonts w:ascii="Times New Roman" w:eastAsia="Times New Roman"/>
          <w:b w:val="false"/>
          <w:bCs w:val="false"/>
          <w:i w:val="false"/>
          <w:iCs w:val="false"/>
          <w:color w:val="000000"/>
          <w:sz w:val="22"/>
          <w:szCs w:val="22"/>
        </w:rPr>
        <w:t xml:space="preserve">Die Qualitätssicherung umfasst JUnit-Tests im Hauptprojekt und in testsweet, echte Oracle-Regressionen, handgerechnete Goldwerte, unabhängige Referenzrechnungen, Simulatorläufe und eine zusätzliche GLM-Stichprobe. Ein grünes mvn test ohne TX_URL überspringt Datenbanktests und belegt die Datenbankschicht nicht. Maßgeblich sind die aktuellen Surefire-Belege mit Test-, Fehler- und Übersprungen-Zahlen sowie die Bindung an Quell- und Buildstand. Historische Testzahlen werden nicht als aktueller Nachweis übernommen. Kapitel 21 beschreibt die gesamte Zertifikatskette.</w:t>
      </w:r>
    </w:p>
    <w:p>
      <w:pPr>
        <w:pStyle w:val="Heading1"/>
        <w:keepNext/>
        <w:spacing w:after="200" w:before="360" w:line="380" w:lineRule="atLeast"/>
      </w:pPr>
      <w:r>
        <w:rPr>
          <w:rFonts w:ascii="Times New Roman" w:eastAsia="Times New Roman"/>
          <w:b/>
          <w:bCs/>
          <w:color w:val="000000"/>
          <w:sz w:val="32"/>
          <w:szCs w:val="32"/>
        </w:rPr>
        <w:t xml:space="preserve">20  API-Referenz</w:t>
      </w:r>
    </w:p>
    <w:p>
      <w:pPr>
        <w:spacing w:after="120" w:line="312"/>
        <w:jc w:val="left"/>
      </w:pPr>
      <w:r>
        <w:rPr>
          <w:rFonts w:ascii="Times New Roman" w:eastAsia="Times New Roman"/>
          <w:b w:val="false"/>
          <w:bCs w:val="false"/>
          <w:i w:val="false"/>
          <w:iCs w:val="false"/>
          <w:color w:val="000000"/>
          <w:sz w:val="22"/>
          <w:szCs w:val="22"/>
        </w:rPr>
        <w:t xml:space="preserve">Die JSON-API folgt festen Konventionen: Authentifizierung per Bearer-Token (401 ohne gültige Sitzung), fachliche Fehler als 400 mit {code, message}, unbekannte Ressourcen als 404, technische Fehler als 500. Admin-pflichtige Endpunkte antworten mit 403 (BERECHTIGUNG), wenn die Rolle nicht passt.</w:t>
      </w:r>
    </w:p>
    <w:p>
      <w:pPr>
        <w:keepNext/>
        <w:spacing w:after="80" w:before="160"/>
      </w:pPr>
      <w:r>
        <w:rPr>
          <w:rFonts w:ascii="Times New Roman" w:eastAsia="Times New Roman"/>
          <w:b/>
          <w:bCs/>
          <w:color w:val="404040"/>
          <w:sz w:val="20"/>
          <w:szCs w:val="20"/>
        </w:rPr>
        <w:t xml:space="preserve">Tabelle 12 — Endpunkte der JSON-API</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3164"/>
        <w:gridCol w:w="1055"/>
        <w:gridCol w:w="1933"/>
        <w:gridCol w:w="2636"/>
      </w:tblGrid>
      <w:tr>
        <w:trPr>
          <w:cantSplit/>
          <w:tblHeader/>
        </w:trPr>
        <w:tc>
          <w:tcPr>
            <w:tcW w:type="dxa" w:w="3164"/>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Endpunkt</w:t>
            </w:r>
          </w:p>
        </w:tc>
        <w:tc>
          <w:tcPr>
            <w:tcW w:type="dxa" w:w="105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Methode</w:t>
            </w:r>
          </w:p>
        </w:tc>
        <w:tc>
          <w:tcPr>
            <w:tcW w:type="dxa" w:w="193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Rolle</w:t>
            </w:r>
          </w:p>
        </w:tc>
        <w:tc>
          <w:tcPr>
            <w:tcW w:type="dxa" w:w="2636"/>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Wirkung</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/api/anmeldung</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Anmeldung; liefert Token, Kennung und Rolle</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/api/abmeldung</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Sitzung beenden</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/api/werbin</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Angemeldete Kennung und Rolle</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/api/bedarfsgemeinschaften</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Fallübersicht inkl. Zahlbetrag-Vorschau</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/api/bedarfsgemeinschaften</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Neuen Vorgang anlegen (Aktenzeichen eindeutig)</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Vorgangsdetail: SozialFälle, Berechnung, Zahlungen, Journal, Bescheid</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PUT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Kopfdaten speichern (VERSION-Prüfung)</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/api/bedarfsgemeinschaften/{id}/sozialfaelle</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Weiteren SozialFall anlegen</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/api/sozialfaelle/{id}</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PUT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SozialFall speichern (VERSION-Prüfung)</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/api/auszahlung</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Auszahlung anordnen (Idempotenz über Vorgangsnummer)</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/api/zahlungen</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Zahlungen über alle Vorgänge (Widgets)</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/api/zahlungen/{id}/freigabe</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zweite Kennung oder admin</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Freigabe ANGELEGT → BEREIT</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/api/zahlungen/{id}/storno</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Storno mit Restbudget-Rückbuchung</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/api/kassenlauf</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Alle BEREIT-Zahlungen auf ÜBERGEBEN setzen</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/api/bedarfsgemeinschaften/{id}/bescheid</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Bewilligungsbescheid mit gespeichertem Monatsplan erteilen</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/api/drucktoken</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Erzeugt ein 60 Sekunden gültiges Einmal-Token für den Druck-Link (verbraucht sich beim ersten Abruf)</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/api/bedarfsgemeinschaften/{id}/bescheid/druck</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 (Einmal-Druck-Token als URL-Parameter)</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Amtliche HTML-Druckansicht</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/api/journal</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Journal-Einträge (Parameter limit, Standard 20)</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/api/saga/antrag</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angemeldet</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End-to-End-Antrags-Saga ausführen</w:t>
            </w:r>
          </w:p>
        </w:tc>
      </w:tr>
      <w:tr>
        <w:trPr>
          <w:cantSplit/>
        </w:trPr>
        <w:tc>
          <w:tcPr>
            <w:tcW w:type="dxa" w:w="3164"/>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/api/system/status</w:t>
            </w:r>
          </w:p>
        </w:tc>
        <w:tc>
          <w:tcPr>
            <w:tcW w:type="dxa" w:w="105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GET</w:t>
            </w:r>
          </w:p>
        </w:tc>
        <w:tc>
          <w:tcPr>
            <w:tcW w:type="dxa" w:w="193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w:t>
            </w:r>
          </w:p>
        </w:tc>
        <w:tc>
          <w:tcPr>
            <w:tcW w:type="dxa" w:w="2636"/>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Systemdiagnose: DB, Fachschema, Komponenten, Task-Statistik</w:t>
            </w:r>
          </w:p>
        </w:tc>
      </w:tr>
      <w:tr>
        <w:trPr>
          <w:cantSplit/>
        </w:trPr>
        <w:tc>
          <w:tcPr>
            <w:tcW w:type="dxa" w:w="3164"/>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/api/system/wiederanlauf</w:t>
            </w:r>
          </w:p>
        </w:tc>
        <w:tc>
          <w:tcPr>
            <w:tcW w:type="dxa" w:w="105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POST</w:t>
            </w:r>
          </w:p>
        </w:tc>
        <w:tc>
          <w:tcPr>
            <w:tcW w:type="dxa" w:w="193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admin</w:t>
            </w:r>
          </w:p>
        </w:tc>
        <w:tc>
          <w:tcPr>
            <w:tcW w:type="dxa" w:w="2636"/>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Saga-Wiederanlauf anstoßen (idempotent)</w:t>
            </w:r>
          </w:p>
        </w:tc>
      </w:tr>
    </w:tbl>
    <w:p>
      <w:pPr>
        <w:pStyle w:val="Heading1"/>
        <w:keepNext/>
        <w:spacing w:after="200" w:before="360" w:line="380" w:lineRule="atLeast"/>
      </w:pPr>
      <w:r>
        <w:rPr>
          <w:rFonts w:ascii="Times New Roman" w:eastAsia="Times New Roman"/>
          <w:b/>
          <w:bCs/>
          <w:color w:val="000000"/>
          <w:sz w:val="32"/>
          <w:szCs w:val="32"/>
        </w:rPr>
        <w:t xml:space="preserve">21  testsweet und das Testzertifikat</w:t>
      </w:r>
    </w:p>
    <w:p>
      <w:pPr>
        <w:spacing w:after="120" w:line="312"/>
        <w:jc w:val="left"/>
      </w:pPr>
      <w:r>
        <w:rPr>
          <w:rFonts w:ascii="Times New Roman" w:eastAsia="Times New Roman"/>
          <w:b w:val="false"/>
          <w:bCs w:val="false"/>
          <w:i w:val="false"/>
          <w:iCs w:val="false"/>
          <w:color w:val="000000"/>
          <w:sz w:val="22"/>
          <w:szCs w:val="22"/>
        </w:rPr>
        <w:t xml:space="preserve">testsweet ist ein eigener Mitarbeiter-Simulator mit eigener Testsammlung. Er bearbeitet Aufträge parallel gegen die Fachschicht oder über die Weboberfläche. Das Testzertifikat fasst nachprüfbare Ergebnisse eines bestimmten Quell- und Buildstands zusammen. Ein bestandenes Zertifikat ist keine Garantie, dass die Software frei von allen Fehlern ist.</w:t>
      </w:r>
    </w:p>
    <w:p>
      <w:pPr>
        <w:pStyle w:val="Heading2"/>
        <w:keepNext/>
        <w:spacing w:after="140" w:before="280" w:line="340" w:lineRule="atLeast"/>
      </w:pPr>
      <w:r>
        <w:rPr>
          <w:rFonts w:ascii="Times New Roman" w:eastAsia="Times New Roman"/>
          <w:b/>
          <w:bCs/>
          <w:color w:val="000000"/>
          <w:sz w:val="27"/>
          <w:szCs w:val="27"/>
        </w:rPr>
        <w:t xml:space="preserve">21.1  Oberfläche und Testarten</w:t>
      </w:r>
    </w:p>
    <w:p>
      <w:pPr>
        <w:spacing w:after="120" w:line="312"/>
        <w:jc w:val="left"/>
      </w:pPr>
      <w:r>
        <w:rPr>
          <w:rFonts w:ascii="Times New Roman" w:eastAsia="Times New Roman"/>
          <w:b w:val="false"/>
          <w:bCs w:val="false"/>
          <w:i w:val="false"/>
          <w:iCs w:val="false"/>
          <w:color w:val="000000"/>
          <w:sz w:val="22"/>
          <w:szCs w:val="22"/>
        </w:rPr>
        <w:t xml:space="preserve">testsweet wird mit seinem eigenen Startskript gestartet; die Oberfläche liegt standardmäßig auf http://127.0.0.1:8095. Vor einem Lauf werden Datenbankziel, Mitarbeitendenzahl, Auftragszahl, Seed, Denkzeit, Modus und Kategorie kontrolliert. Die verwendete Datenbank muss eine Entwicklungs- oder Testumgebung sein. Die Testfälle schreiben echte Daten; Aktenzeichen und Mitarbeiterkennungen ordnen sie dem jeweiligen Lauf zu.</w:t>
      </w:r>
    </w:p>
    <w:p>
      <w:pPr>
        <w:keepNext/>
        <w:spacing w:after="80" w:before="160"/>
      </w:pPr>
      <w:r>
        <w:rPr>
          <w:rFonts w:ascii="Times New Roman" w:eastAsia="Times New Roman"/>
          <w:b/>
          <w:bCs/>
          <w:color w:val="404040"/>
          <w:sz w:val="20"/>
          <w:szCs w:val="20"/>
        </w:rPr>
        <w:t xml:space="preserve">Tabelle 13 — Simulatorarten und Prüfumfang</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285"/>
        <w:gridCol w:w="6503"/>
      </w:tblGrid>
      <w:tr>
        <w:trPr>
          <w:cantSplit/>
          <w:tblHeader/>
        </w:trPr>
        <w:tc>
          <w:tcPr>
            <w:tcW w:type="dxa" w:w="228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Modus oder Kategorie</w:t>
            </w:r>
          </w:p>
        </w:tc>
        <w:tc>
          <w:tcPr>
            <w:tcW w:type="dxa" w:w="650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Prüfumfang</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FACH</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Aufruf der Fachschicht, Prüfung des persistierten Endzustands per SQL; keine Browserbedienung.</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WEB</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Echte Browserbedienung mit Selenium, zusätzliche SQL-Prüfung; Anmeldung und sichtbare Fehler müssen zum erwarteten Ergebnis passen.</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POSITIV</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Erlaubte Abläufe einschließlich Zahlung, Freigabe, Bescheid, Storno und Kassenübergabe; Beträge und Zustände müssen exakt passen.</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NEGATIV</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Der vorgesehene Fachfehler muss auftreten. Ausbleibende oder andere Fehler und unerlaubte Datenänderungen sind Fehlschläge.</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LAST</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Viele schlanke Aufträge; gekürzter Gesamtreport bei weiterhin erforderlicher Verifikation.</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STRESS</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Nur FACH: zwei Wellen über dieselben Nutzer mit Phasenbarriere. Beide Wellen und die globale Endprüfung gehören zum Ergebnis.</w:t>
            </w:r>
          </w:p>
        </w:tc>
      </w:tr>
    </w:tbl>
    <w:p>
      <w:pPr>
        <w:pStyle w:val="Heading2"/>
        <w:keepNext/>
        <w:spacing w:after="140" w:before="280" w:line="340" w:lineRule="atLeast"/>
      </w:pPr>
      <w:r>
        <w:rPr>
          <w:rFonts w:ascii="Times New Roman" w:eastAsia="Times New Roman"/>
          <w:b/>
          <w:bCs/>
          <w:color w:val="000000"/>
          <w:sz w:val="27"/>
          <w:szCs w:val="27"/>
        </w:rPr>
        <w:t xml:space="preserve">21.2  Wann ein Lauf bestanden ist</w:t>
      </w:r>
    </w:p>
    <w:p>
      <w:pPr>
        <w:spacing w:after="120" w:line="312"/>
        <w:jc w:val="left"/>
      </w:pPr>
      <w:r>
        <w:rPr>
          <w:rFonts w:ascii="Times New Roman" w:eastAsia="Times New Roman"/>
          <w:b w:val="false"/>
          <w:bCs w:val="false"/>
          <w:i w:val="false"/>
          <w:iCs w:val="false"/>
          <w:color w:val="000000"/>
          <w:sz w:val="22"/>
          <w:szCs w:val="22"/>
        </w:rPr>
        <w:t xml:space="preserve">Ein Lauf ist nur erfolgreich, wenn alle geplanten Aufträge verarbeitet und verifiziert wurden und sämtliche globalen Prüfungen erfolgreich sind. SQL-Fehler, Datenbank-NULL, unerwartet leere Ergebnisse, ausgefallene Mitarbeitende, Abbruch und unvollständige Reports dürfen keinen grünen Lauf ergeben. Ein erwarteter Fachfehler zählt nur dann positiv, wenn der richtige Fehler und der zulässige Datenbank-Endzustand belegt sind.</w:t>
      </w:r>
    </w:p>
    <w:p>
      <w:pPr>
        <w:spacing w:after="120" w:line="312"/>
        <w:jc w:val="left"/>
      </w:pPr>
      <w:r>
        <w:rPr>
          <w:rFonts w:ascii="Times New Roman" w:eastAsia="Times New Roman"/>
          <w:b w:val="false"/>
          <w:bCs w:val="false"/>
          <w:i w:val="false"/>
          <w:iCs w:val="false"/>
          <w:color w:val="000000"/>
          <w:sz w:val="22"/>
          <w:szCs w:val="22"/>
        </w:rPr>
        <w:t xml:space="preserve">Die Kassenprüfung verlangt bei einem erwarteten positiven Kassenlauf tatsächlich übergebene Zahlungen. Anzahl und Summe sowie die Journalzeile müssen zum eigenen Lauf passen. Alte Einträge derselben Kennung und eine leere Übergabe erfüllen diese Erwartung nicht. Ein leerer Kassenlauf kann in der Fachanwendung regulär sein; im Test entscheidet die ausdrücklich dokumentierte Erwartung.</w:t>
      </w:r>
    </w:p>
    <w:p>
      <w:pPr>
        <w:spacing w:after="120" w:line="312"/>
        <w:jc w:val="left"/>
      </w:pPr>
      <w:r>
        <w:rPr>
          <w:rFonts w:ascii="Times New Roman" w:eastAsia="Times New Roman"/>
          <w:b w:val="false"/>
          <w:bCs w:val="false"/>
          <w:i w:val="false"/>
          <w:iCs w:val="false"/>
          <w:color w:val="000000"/>
          <w:sz w:val="22"/>
          <w:szCs w:val="22"/>
        </w:rPr>
        <w:t xml:space="preserve">Betragskorrektheit wird zusätzlich zur Workflow-Verifikation mit einer unabhängig implementierten Referenzrechnung geprüft. Sie berechnet aus den dokumentierten Eingaben Regelbedarf, Mehrbedarfe, KdU, Einkommen, Vermögen und Monatsfortschreibung. Feste Fachfälle decken unter anderem Entbindungsmonat und Folgemonat, Vermögensverbrauch, vier bis sechs Kinder, eine tatsächlich greifende Mehrbedarfsobergrenze und konfigurierte KdU-Grenzen ab. Die zufälligen Kombinationen ergänzen diese Fälle; ihre Anzahl allein beweist keine Grenzfallabdeckung.</w:t>
      </w:r>
    </w:p>
    <w:p>
      <w:pPr>
        <w:pStyle w:val="Heading2"/>
        <w:keepNext/>
        <w:spacing w:after="140" w:before="280" w:line="340" w:lineRule="atLeast"/>
      </w:pPr>
      <w:r>
        <w:rPr>
          <w:rFonts w:ascii="Times New Roman" w:eastAsia="Times New Roman"/>
          <w:b/>
          <w:bCs/>
          <w:color w:val="000000"/>
          <w:sz w:val="27"/>
          <w:szCs w:val="27"/>
        </w:rPr>
        <w:t xml:space="preserve">21.3  GLM konfigurieren und starten</w:t>
      </w:r>
    </w:p>
    <w:p>
      <w:pPr>
        <w:spacing w:after="60" w:line="312"/>
        <w:ind w:left="360" w:hanging="360"/>
        <w:jc w:val="left"/>
      </w:pPr>
      <w:r>
        <w:rPr>
          <w:rFonts w:ascii="Times New Roman" w:eastAsia="Times New Roman"/>
          <w:b/>
          <w:bCs/>
          <w:color w:val="529286"/>
          <w:sz w:val="22"/>
          <w:szCs w:val="22"/>
        </w:rPr>
        <w:t xml:space="preserve">1.  </w:t>
      </w:r>
      <w:r>
        <w:rPr>
          <w:rFonts w:ascii="Times New Roman" w:eastAsia="Times New Roman"/>
          <w:b w:val="false"/>
          <w:bCs w:val="false"/>
          <w:color w:val="000000"/>
          <w:sz w:val="22"/>
          <w:szCs w:val="22"/>
        </w:rPr>
        <w:t xml:space="preserve">Über das Zahnrad die LLM-Konfiguration öffnen. API-Endpunkt, Modell, Schlüssel, Zeitlimit, Antwortlimit, Fälle je Anfrage und maximale Prüffälle setzen. Ein leer gelassenes Schlüsselfeld behält einen bereits gespeicherten Schlüssel; die eigene Option entfernt ihn.</w:t>
      </w:r>
    </w:p>
    <w:p>
      <w:pPr>
        <w:spacing w:after="60" w:line="312"/>
        <w:ind w:left="360" w:hanging="360"/>
        <w:jc w:val="left"/>
      </w:pPr>
      <w:r>
        <w:rPr>
          <w:rFonts w:ascii="Times New Roman" w:eastAsia="Times New Roman"/>
          <w:b/>
          <w:bCs/>
          <w:color w:val="529286"/>
          <w:sz w:val="22"/>
          <w:szCs w:val="22"/>
        </w:rPr>
        <w:t xml:space="preserve">2.  </w:t>
      </w:r>
      <w:r>
        <w:rPr>
          <w:rFonts w:ascii="Times New Roman" w:eastAsia="Times New Roman"/>
          <w:b w:val="false"/>
          <w:bCs w:val="false"/>
          <w:color w:val="000000"/>
          <w:sz w:val="22"/>
          <w:szCs w:val="22"/>
        </w:rPr>
        <w:t xml:space="preserve">Für die vorhandene Anbindung sind glm-5.3 und der passende Z.ai-Endpunkt vorgesehen. Kontozugang und Tarif müssen zu diesem Endpunkt passen. Zugangsdaten werden lokal in der Git-ignorierten Konfigurationsdatei gespeichert und nicht in das Handbuch oder den Report übernommen.</w:t>
      </w:r>
    </w:p>
    <w:p>
      <w:pPr>
        <w:spacing w:after="60" w:line="312"/>
        <w:ind w:left="360" w:hanging="360"/>
        <w:jc w:val="left"/>
      </w:pPr>
      <w:r>
        <w:rPr>
          <w:rFonts w:ascii="Times New Roman" w:eastAsia="Times New Roman"/>
          <w:b/>
          <w:bCs/>
          <w:color w:val="529286"/>
          <w:sz w:val="22"/>
          <w:szCs w:val="22"/>
        </w:rPr>
        <w:t xml:space="preserve">3.  </w:t>
      </w:r>
      <w:r>
        <w:rPr>
          <w:rFonts w:ascii="Times New Roman" w:eastAsia="Times New Roman"/>
          <w:b w:val="false"/>
          <w:bCs w:val="false"/>
          <w:color w:val="000000"/>
          <w:sz w:val="22"/>
          <w:szCs w:val="22"/>
        </w:rPr>
        <w:t xml:space="preserve">Zunächst Verbindung testen. Ein erfolgreicher Verbindungstest belegt Erreichbarkeit und Authentifizierung; er ist noch keine fachliche Nachrechnung und ersetzt keinen vollständigen Review-Lauf.</w:t>
      </w:r>
    </w:p>
    <w:p>
      <w:pPr>
        <w:spacing w:after="60" w:line="312"/>
        <w:ind w:left="360" w:hanging="360"/>
        <w:jc w:val="left"/>
      </w:pPr>
      <w:r>
        <w:rPr>
          <w:rFonts w:ascii="Times New Roman" w:eastAsia="Times New Roman"/>
          <w:b/>
          <w:bCs/>
          <w:color w:val="529286"/>
          <w:sz w:val="22"/>
          <w:szCs w:val="22"/>
        </w:rPr>
        <w:t xml:space="preserve">4.  </w:t>
      </w:r>
      <w:r>
        <w:rPr>
          <w:rFonts w:ascii="Times New Roman" w:eastAsia="Times New Roman"/>
          <w:b w:val="false"/>
          <w:bCs w:val="false"/>
          <w:color w:val="000000"/>
          <w:sz w:val="22"/>
          <w:szCs w:val="22"/>
        </w:rPr>
        <w:t xml:space="preserve">Aktuelle erfolgreiche Positiv- und Negativläufe bereitstellen. In Abschnitt 7 Prüffälle wählen, Prüfauftrag und Prüfpaket ansehen und die GLM-Prüfung starten. Die Fortschrittsanzeige zählt vollständig bestätigte Fälle und Anfragen.</w:t>
      </w:r>
    </w:p>
    <w:p>
      <w:pPr>
        <w:spacing w:after="120" w:line="312"/>
        <w:jc w:val="left"/>
      </w:pPr>
      <w:r>
        <w:rPr>
          <w:rFonts w:ascii="Times New Roman" w:eastAsia="Times New Roman"/>
          <w:b w:val="false"/>
          <w:bCs w:val="false"/>
          <w:i w:val="false"/>
          <w:iCs w:val="false"/>
          <w:color w:val="000000"/>
          <w:sz w:val="22"/>
          <w:szCs w:val="22"/>
        </w:rPr>
        <w:t xml:space="preserve">Die Auswahl ist eine stratifizierte Stichprobe: verfügbare feste Fach-Grenzfälle werden zuerst berücksichtigt, danach weitere Positivfälle; Positiv- und Negativfälle werden abwechselnd aufgenommen. Sind die neuesten Quellen Webläufe ohne diese festen Fachfälle, gilt die dokumentierte Auswahl dieser Quellen. Ein Lauf mit 18 geprüften Fällen belegt genau diese 18 Fälle und nicht automatisch alle 1.000 Simulatoraufträge.</w:t>
      </w:r>
    </w:p>
    <w:p>
      <w:pPr>
        <w:pStyle w:val="Heading2"/>
        <w:keepNext/>
        <w:spacing w:after="140" w:before="280" w:line="340" w:lineRule="atLeast"/>
      </w:pPr>
      <w:r>
        <w:rPr>
          <w:rFonts w:ascii="Times New Roman" w:eastAsia="Times New Roman"/>
          <w:b/>
          <w:bCs/>
          <w:color w:val="000000"/>
          <w:sz w:val="27"/>
          <w:szCs w:val="27"/>
        </w:rPr>
        <w:t xml:space="preserve">21.4  Dateien und Antwortprüfung</w:t>
      </w:r>
    </w:p>
    <w:p>
      <w:pPr>
        <w:spacing w:after="120" w:line="312"/>
        <w:jc w:val="left"/>
      </w:pPr>
      <w:r>
        <w:rPr>
          <w:rFonts w:ascii="Times New Roman" w:eastAsia="Times New Roman"/>
          <w:b w:val="false"/>
          <w:bCs w:val="false"/>
          <w:i w:val="false"/>
          <w:iCs w:val="false"/>
          <w:color w:val="000000"/>
          <w:sz w:val="22"/>
          <w:szCs w:val="22"/>
        </w:rPr>
        <w:t xml:space="preserve">Jede Anfrage enthält den Prüfauftrag, die Rechtsgrundlagen und den vollständigen Dokumenttext der zugehörigen Fallgruppe. Die Dateien werden als benannte Texte im API-Request übergeben. Das Manifest nennt die Fälle, Dokumentnamen, Dateigrößen und SHA-256-Werte. Gespeicherte Quellsnapshots, Request und Response erlauben eine nachträgliche Prüfung der Übertragung ohne den API-Schlüssel.</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Die zurückgegebenen Fall-IDs müssen der gesendeten Fallgruppe exakt entsprechen: keine fehlenden, doppelten oder fremden IDs.</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Die Antwort muss zum vorgegebenen Schema passen. Geldbeträge und Rechenpositionen werden lokal streng gegen die gesendeten Daten und die unabhängige Referenz geprüft.</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Dokument- und Request-Bindung, vollständige Fallabdeckung, Dateiübergabe und fachliches Urteil sind getrennte Prüfungen. Eine gültige Antwortform allein ist kein fachliches PASS.</w:t>
      </w:r>
    </w:p>
    <w:p>
      <w:pPr>
        <w:spacing w:after="120" w:line="312"/>
        <w:jc w:val="left"/>
      </w:pPr>
      <w:r>
        <w:rPr>
          <w:rFonts w:ascii="Times New Roman" w:eastAsia="Times New Roman"/>
          <w:b w:val="false"/>
          <w:bCs w:val="false"/>
          <w:i w:val="false"/>
          <w:iCs w:val="false"/>
          <w:color w:val="000000"/>
          <w:sz w:val="22"/>
          <w:szCs w:val="22"/>
        </w:rPr>
        <w:t xml:space="preserve">Hashes belegen, welche Bytes lokal erfasst und in den gespeicherten Request aufgenommen wurden. Zusammen mit einer gültigen Antwort liefern sie einen prüfbaren Übergabenachweis. Sie beweisen nicht, wie der Anbieter intern tokenisiert oder ob ein Modell jeden Textabschnitt tatsächlich in seine Überlegung einbezogen hat. Deshalb ergänzt die lokale fachliche Antwortprüfung den Transportnachweis.</w:t>
      </w:r>
    </w:p>
    <w:p>
      <w:pPr>
        <w:pStyle w:val="Heading2"/>
        <w:keepNext/>
        <w:spacing w:after="140" w:before="280" w:line="340" w:lineRule="atLeast"/>
      </w:pPr>
      <w:r>
        <w:rPr>
          <w:rFonts w:ascii="Times New Roman" w:eastAsia="Times New Roman"/>
          <w:b/>
          <w:bCs/>
          <w:color w:val="000000"/>
          <w:sz w:val="27"/>
          <w:szCs w:val="27"/>
        </w:rPr>
        <w:t xml:space="preserve">21.5  Wiederholungen und große Fehleranzeige</w:t>
      </w:r>
    </w:p>
    <w:p>
      <w:pPr>
        <w:spacing w:after="120" w:line="312"/>
        <w:jc w:val="left"/>
      </w:pPr>
      <w:r>
        <w:rPr>
          <w:rFonts w:ascii="Times New Roman" w:eastAsia="Times New Roman"/>
          <w:b w:val="false"/>
          <w:bCs w:val="false"/>
          <w:i w:val="false"/>
          <w:iCs w:val="false"/>
          <w:color w:val="000000"/>
          <w:sz w:val="22"/>
          <w:szCs w:val="22"/>
        </w:rPr>
        <w:t xml:space="preserve">Bei technischen Fehlern oder formal ungültigen Antworten werden höchstens drei Sendeversuche für dieselbe vollständige Anfrage ausgeführt. Zwischen den Versuchen liegen jeweils 30 Sekunden. Ändern sich die Prüfdaten, ist eine neue Prüfung erforderlich. Nach drei Fehlschlägen endet der Lauf mit einem deutlichen Fehlerdialog und dem Hinweis, das Laufprotokoll auszuwerten.</w:t>
      </w:r>
    </w:p>
    <w:p>
      <w:pPr>
        <w:spacing w:after="120" w:line="312"/>
        <w:jc w:val="left"/>
      </w:pPr>
      <w:r>
        <w:rPr>
          <w:rFonts w:ascii="Times New Roman" w:eastAsia="Times New Roman"/>
          <w:b w:val="false"/>
          <w:bCs w:val="false"/>
          <w:i w:val="false"/>
          <w:iCs w:val="false"/>
          <w:color w:val="000000"/>
          <w:sz w:val="22"/>
          <w:szCs w:val="22"/>
        </w:rPr>
        <w:t xml:space="preserve">Ein fachlicher Befund wird als FAIL sichtbar und mit Fallbezug protokolliert. Er darf nicht durch erneutes Senden in ein späteres PASS umgedeutet werden. Im Zertifikat beziehungsweise Fehlerbericht müssen die konkreten Abweichungen und der fehlgeschlagene Gesamtstatus erkennbar bleiben. Bei einem technischen oder unvollständigen Nachweis lautet der Status UNVERIFIED; ein fehlendes Protokoll bleibt fehlend.</w:t>
      </w:r>
    </w:p>
    <w:p>
      <w:pPr>
        <w:keepNext/>
        <w:spacing w:after="80" w:before="160"/>
      </w:pPr>
      <w:r>
        <w:rPr>
          <w:rFonts w:ascii="Times New Roman" w:eastAsia="Times New Roman"/>
          <w:b/>
          <w:bCs/>
          <w:color w:val="404040"/>
          <w:sz w:val="20"/>
          <w:szCs w:val="20"/>
        </w:rPr>
        <w:t xml:space="preserve">Tabelle 14 — Bedeutung der Review-Zustände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109"/>
        <w:gridCol w:w="6679"/>
      </w:tblGrid>
      <w:tr>
        <w:trPr>
          <w:cantSplit/>
          <w:tblHeader/>
        </w:trPr>
        <w:tc>
          <w:tcPr>
            <w:tcW w:type="dxa" w:w="2109"/>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Status</w:t>
            </w:r>
          </w:p>
        </w:tc>
        <w:tc>
          <w:tcPr>
            <w:tcW w:type="dxa" w:w="6679"/>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Bedeutung und weitere Arbeit</w:t>
            </w:r>
          </w:p>
        </w:tc>
      </w:tr>
      <w:tr>
        <w:trPr>
          <w:cantSplit/>
        </w:trPr>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PASS</w:t>
            </w:r>
          </w:p>
        </w:tc>
        <w:tc>
          <w:tcPr>
            <w:tcW w:type="dxa" w:w="667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Alle für diesen Review geforderten Transport-, Schema-, Abdeckungs- und Fachprüfungen sind belegt.</w:t>
            </w:r>
          </w:p>
        </w:tc>
      </w:tr>
      <w:tr>
        <w:trPr>
          <w:cantSplit/>
        </w:trPr>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FAIL</w:t>
            </w:r>
          </w:p>
        </w:tc>
        <w:tc>
          <w:tcPr>
            <w:tcW w:type="dxa" w:w="667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Mindestens eine fachliche Abweichung wurde festgestellt. Fall, Rechnung und Befund prüfen; Ursache beheben und vollständig neu testen.</w:t>
            </w:r>
          </w:p>
        </w:tc>
      </w:tr>
      <w:tr>
        <w:trPr>
          <w:cantSplit/>
        </w:trPr>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UNVERIFIED</w:t>
            </w:r>
          </w:p>
        </w:tc>
        <w:tc>
          <w:tcPr>
            <w:tcW w:type="dxa" w:w="667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Technik, Nachweise oder Antwort sind unvollständig beziehungsweise nicht mehr an den aktuellen Stand gebunden. Kein positives Zertifikat ableiten.</w:t>
            </w:r>
          </w:p>
        </w:tc>
      </w:tr>
      <w:tr>
        <w:trPr>
          <w:cantSplit/>
        </w:trPr>
        <w:tc>
          <w:tcPr>
            <w:tcW w:type="dxa" w:w="210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ERROR</w:t>
            </w:r>
          </w:p>
        </w:tc>
        <w:tc>
          <w:tcPr>
            <w:tcW w:type="dxa" w:w="6679"/>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Technischer Abbruch im API-/GUI-Lauf, etwa nach drei ungültigen Antworten. Die Zertifikatsprüfung bewertet den fehlenden Nachweis als UNVERIFIED; bekannte fachliche Fehler behalten Vorrang.</w:t>
            </w:r>
          </w:p>
        </w:tc>
      </w:tr>
      <w:tr>
        <w:trPr>
          <w:cantSplit/>
        </w:trPr>
        <w:tc>
          <w:tcPr>
            <w:tcW w:type="dxa" w:w="210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RUNNING</w:t>
            </w:r>
          </w:p>
        </w:tc>
        <w:tc>
          <w:tcPr>
            <w:tcW w:type="dxa" w:w="6679"/>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Prüfung läuft. Bereits bestätigte Teilgruppen sind noch kein Gesamterfolg.</w:t>
            </w:r>
          </w:p>
        </w:tc>
      </w:tr>
    </w:tbl>
    <w:p>
      <w:pPr>
        <w:pStyle w:val="Heading2"/>
        <w:keepNext/>
        <w:spacing w:after="140" w:before="280" w:line="340" w:lineRule="atLeast"/>
      </w:pPr>
      <w:r>
        <w:rPr>
          <w:rFonts w:ascii="Times New Roman" w:eastAsia="Times New Roman"/>
          <w:b/>
          <w:bCs/>
          <w:color w:val="000000"/>
          <w:sz w:val="27"/>
          <w:szCs w:val="27"/>
        </w:rPr>
        <w:t xml:space="preserve">21.6  Zertifikat richtig erneuern</w:t>
      </w:r>
    </w:p>
    <w:p>
      <w:pPr>
        <w:spacing w:after="60" w:line="312"/>
        <w:ind w:left="360" w:hanging="360"/>
        <w:jc w:val="left"/>
      </w:pPr>
      <w:r>
        <w:rPr>
          <w:rFonts w:ascii="Times New Roman" w:eastAsia="Times New Roman"/>
          <w:b/>
          <w:bCs/>
          <w:color w:val="529286"/>
          <w:sz w:val="22"/>
          <w:szCs w:val="22"/>
        </w:rPr>
        <w:t xml:space="preserve">1.  </w:t>
      </w:r>
      <w:r>
        <w:rPr>
          <w:rFonts w:ascii="Times New Roman" w:eastAsia="Times New Roman"/>
          <w:b w:val="false"/>
          <w:bCs w:val="false"/>
          <w:color w:val="000000"/>
          <w:sz w:val="22"/>
          <w:szCs w:val="22"/>
        </w:rPr>
        <w:t xml:space="preserve">Quellen fertigstellen und bauen. Hauptprojekt mit gesetzter TX_URL gegen Oracle testen; zusätzlich die Konfigurationsfälle unter ihrer vorgesehenen Umgebung prüfen. Übersprungene Tests und fehlgeschlagene frühere Versuche bleiben für die Auswertung relevant.</w:t>
      </w:r>
    </w:p>
    <w:p>
      <w:pPr>
        <w:spacing w:after="60" w:line="312"/>
        <w:ind w:left="360" w:hanging="360"/>
        <w:jc w:val="left"/>
      </w:pPr>
      <w:r>
        <w:rPr>
          <w:rFonts w:ascii="Times New Roman" w:eastAsia="Times New Roman"/>
          <w:b/>
          <w:bCs/>
          <w:color w:val="529286"/>
          <w:sz w:val="22"/>
          <w:szCs w:val="22"/>
        </w:rPr>
        <w:t xml:space="preserve">2.  </w:t>
      </w:r>
      <w:r>
        <w:rPr>
          <w:rFonts w:ascii="Times New Roman" w:eastAsia="Times New Roman"/>
          <w:b w:val="false"/>
          <w:bCs w:val="false"/>
          <w:color w:val="000000"/>
          <w:sz w:val="22"/>
          <w:szCs w:val="22"/>
        </w:rPr>
        <w:t xml:space="preserve">testsweet gegen denselben Quell- und Buildstand testen. Anschließend aktuelle FACH-Positiv-, Negativ-, Last- und Stressläufe sowie WEB-Positiv-, Negativ- und Lastläufe ausführen. Gecrashte oder abgebrochene neuere Läufe müssen sichtbar bleiben.</w:t>
      </w:r>
    </w:p>
    <w:p>
      <w:pPr>
        <w:spacing w:after="60" w:line="312"/>
        <w:ind w:left="360" w:hanging="360"/>
        <w:jc w:val="left"/>
      </w:pPr>
      <w:r>
        <w:rPr>
          <w:rFonts w:ascii="Times New Roman" w:eastAsia="Times New Roman"/>
          <w:b/>
          <w:bCs/>
          <w:color w:val="529286"/>
          <w:sz w:val="22"/>
          <w:szCs w:val="22"/>
        </w:rPr>
        <w:t xml:space="preserve">3.  </w:t>
      </w:r>
      <w:r>
        <w:rPr>
          <w:rFonts w:ascii="Times New Roman" w:eastAsia="Times New Roman"/>
          <w:b w:val="false"/>
          <w:bCs w:val="false"/>
          <w:color w:val="000000"/>
          <w:sz w:val="22"/>
          <w:szCs w:val="22"/>
        </w:rPr>
        <w:t xml:space="preserve">GLM mit den aktuellen Quellläufen ausführen. Den vollständigen Review-Status, die konkrete Stichprobengröße und die Dateiübergabe prüfen. Ein historischer Python-Bericht ersetzt diesen API-Lauf nicht.</w:t>
      </w:r>
    </w:p>
    <w:p>
      <w:pPr>
        <w:spacing w:after="60" w:line="312"/>
        <w:ind w:left="360" w:hanging="360"/>
        <w:jc w:val="left"/>
      </w:pPr>
      <w:r>
        <w:rPr>
          <w:rFonts w:ascii="Times New Roman" w:eastAsia="Times New Roman"/>
          <w:b/>
          <w:bCs/>
          <w:color w:val="529286"/>
          <w:sz w:val="22"/>
          <w:szCs w:val="22"/>
        </w:rPr>
        <w:t xml:space="preserve">4.  </w:t>
      </w:r>
      <w:r>
        <w:rPr>
          <w:rFonts w:ascii="Times New Roman" w:eastAsia="Times New Roman"/>
          <w:b w:val="false"/>
          <w:bCs w:val="false"/>
          <w:color w:val="000000"/>
          <w:sz w:val="22"/>
          <w:szCs w:val="22"/>
        </w:rPr>
        <w:t xml:space="preserve">Erst danach über „Testzertifikat erstellen“ oder erstelle-zertifikat.bat den Bericht erzeugen. Status, Testzahlen, Quellläufe, Manifest und Anhang kontrollieren. Ein Warn- oder Fehlerbericht darf nicht als bestanden veröffentlicht werden.</w:t>
      </w:r>
    </w:p>
    <w:p>
      <w:pPr>
        <w:spacing w:after="120" w:line="312"/>
        <w:jc w:val="left"/>
      </w:pPr>
      <w:r>
        <w:rPr>
          <w:rFonts w:ascii="Times New Roman" w:eastAsia="Times New Roman"/>
          <w:b w:val="false"/>
          <w:bCs w:val="false"/>
          <w:i w:val="false"/>
          <w:iCs w:val="false"/>
          <w:color w:val="000000"/>
          <w:sz w:val="22"/>
          <w:szCs w:val="22"/>
        </w:rPr>
        <w:t xml:space="preserve">Zertifikat, Testläufe, JUnit-Belege und LLM-Review werden an Quellinventar und Build-Nachweise gebunden. Nach einer relevanten Quelländerung müssen die betroffenen Nachweise neu erstellt werden; alte grüne Ergebnisse werden nicht still weiterverwendet. Die aktuelle Veröffentlichungsmarkierung wird zusätzlich geprüft, bevor ein Zertifikat als gültiger Stand angeboten wird.</w:t>
      </w:r>
    </w:p>
    <w:p>
      <w:pPr>
        <w:pStyle w:val="Heading2"/>
        <w:keepNext/>
        <w:spacing w:after="140" w:before="280" w:line="340" w:lineRule="atLeast"/>
      </w:pPr>
      <w:r>
        <w:rPr>
          <w:rFonts w:ascii="Times New Roman" w:eastAsia="Times New Roman"/>
          <w:b/>
          <w:bCs/>
          <w:color w:val="000000"/>
          <w:sz w:val="27"/>
          <w:szCs w:val="27"/>
        </w:rPr>
        <w:t xml:space="preserve">21.7  Belege bei Fehlern auswerten</w:t>
      </w:r>
    </w:p>
    <w:p>
      <w:pPr>
        <w:spacing w:after="120" w:line="312"/>
        <w:jc w:val="left"/>
      </w:pPr>
      <w:r>
        <w:rPr>
          <w:rFonts w:ascii="Times New Roman" w:eastAsia="Times New Roman"/>
          <w:b w:val="false"/>
          <w:bCs w:val="false"/>
          <w:i w:val="false"/>
          <w:iCs w:val="false"/>
          <w:color w:val="000000"/>
          <w:sz w:val="22"/>
          <w:szCs w:val="22"/>
        </w:rPr>
        <w:t xml:space="preserve">Die Laufverzeichnisse unter testsweet/logs enthalten Zusammenfassung, Testdokumentation, Einzelprotokolle und gegebenenfalls GLM-Request-/Response-Belege. Zuerst den Gesamtstatus und den ersten konkreten Fehler lesen, dann Fall-ID, erwarteten und tatsächlichen Wert sowie den Datenbank-Endzustand vergleichen. Im GLM-Protokoll werden auch fehlgeschlagene Versuche aufbewahrt. Der Meldungstext „Fall-ID-Liste unvollständig, doppelt oder unerwartet“ bedeutet, dass die Antwort nicht der gesendeten Menge entspricht; er beweist noch keinen Fehler der Fachberechnung.</w:t>
      </w:r>
    </w:p>
    <w:p>
      <w:pPr>
        <w:pStyle w:val="Heading2"/>
        <w:keepNext/>
        <w:spacing w:after="140" w:before="280" w:line="340" w:lineRule="atLeast"/>
      </w:pPr>
      <w:r>
        <w:rPr>
          <w:rFonts w:ascii="Times New Roman" w:eastAsia="Times New Roman"/>
          <w:b/>
          <w:bCs/>
          <w:color w:val="000000"/>
          <w:sz w:val="27"/>
          <w:szCs w:val="27"/>
        </w:rPr>
        <w:t xml:space="preserve">21.8  Verbleibende fachliche und technische Grenzen</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Ein vollständiger Ablauf für Änderungsbescheide und die Aufhebung bestehender Bewilligungen ist nicht umgesetzt. Die neue Betragsbindung weist Abweichungen konservativ ab; sie entscheidet nicht automatisch über die rechtlich richtige Änderung.</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Die Auslegung des Alleinerziehenden-Mehrbedarfs in speziellen Kinderkonstellationen muss fachlich abschließend geklärt werden. Widersprüche zwischen vorhandenen Dokumenten sind kein ausreichender Grund, ohne belastbare Rechtsauslegung eine Formel zu ändern.</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Ortsabhängige Unterkunftsregeln, Karenzzeiten und Einzelfallnachweise sind nicht vollständig modelliert. Eine konfigurierte Grenze ist keine Bestätigung ihrer rechtlichen Angemessenheit.</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Leere Bankdaten sind im Demo-Modell zulässig. Ein echter SEPA-Export, eine Bankübertragung und ein Rückmeldeverfahren sind nicht implementiert.</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Eine GLM-Prüfung bleibt eine Stichprobe eines probabilistischen Modells. Lokale Kontrollen reduzieren Fehlbewertungen, ersetzen jedoch keine unabhängige fachliche Abnahme.</w:t>
      </w:r>
    </w:p>
    <w:p>
      <w:pPr>
        <w:pStyle w:val="ListParagraph"/>
        <w:numPr>
          <w:ilvl w:val="0"/>
          <w:numId w:val="1"/>
        </w:numPr>
        <w:spacing w:after="60" w:line="312"/>
        <w:jc w:val="left"/>
      </w:pPr>
      <w:r>
        <w:rPr>
          <w:rFonts w:ascii="Times New Roman" w:eastAsia="Times New Roman"/>
          <w:b w:val="false"/>
          <w:bCs w:val="false"/>
          <w:i w:val="false"/>
          <w:iCs w:val="false"/>
          <w:color w:val="000000"/>
          <w:sz w:val="22"/>
          <w:szCs w:val="22"/>
        </w:rPr>
        <w:t xml:space="preserve">Die dokumentierte Entwicklungsverifikation ersetzt keine erneute Prüfung aller Zielumgebungen. Oracle 19c, Lastgrenzen und das Verhalten bei vollständigem Infrastrukturverlust müssen für den jeweiligen Einsatz gesondert nachgewiesen werden.</w:t>
      </w:r>
    </w:p>
    <w:p>
      <w:pPr>
        <w:pStyle w:val="Heading2"/>
        <w:keepNext/>
        <w:spacing w:after="140" w:before="280" w:line="340" w:lineRule="atLeast"/>
      </w:pPr>
      <w:r>
        <w:rPr>
          <w:rFonts w:ascii="Times New Roman" w:eastAsia="Times New Roman"/>
          <w:b/>
          <w:bCs/>
          <w:color w:val="000000"/>
          <w:sz w:val="27"/>
          <w:szCs w:val="27"/>
        </w:rPr>
        <w:t xml:space="preserve">21.9  Maßgebliche Unterlagen</w:t>
      </w:r>
    </w:p>
    <w:p>
      <w:pPr>
        <w:spacing w:after="120" w:line="312"/>
        <w:jc w:val="left"/>
      </w:pPr>
      <w:r>
        <w:rPr>
          <w:rFonts w:ascii="Times New Roman" w:eastAsia="Times New Roman"/>
          <w:b w:val="false"/>
          <w:bCs w:val="false"/>
          <w:i w:val="false"/>
          <w:iCs w:val="false"/>
          <w:color w:val="000000"/>
          <w:sz w:val="22"/>
          <w:szCs w:val="22"/>
        </w:rPr>
        <w:t xml:space="preserve">Weitere Details stehen in testsweet/README.md, doc/testzertifikat-werkzeug/README.md, doc/architektur.md, doc/rechtsgrundlagen.md und den Berichten unter doc/codereview. Aktuelle Testzahlen sind den maschinellen Nachweisen des konkreten Laufs zu entnehmen.</w:t>
      </w:r>
    </w:p>
    <w:p>
      <w:pPr>
        <w:spacing w:after="120" w:line="312"/>
        <w:jc w:val="left"/>
      </w:pPr>
      <w:r>
        <w:rPr>
          <w:rFonts w:ascii="Times New Roman" w:eastAsia="Times New Roman"/>
          <w:b w:val="false"/>
          <w:bCs w:val="false"/>
          <w:i w:val="false"/>
          <w:iCs w:val="false"/>
          <w:color w:val="000000"/>
          <w:sz w:val="22"/>
          <w:szCs w:val="22"/>
        </w:rPr>
        <w:t xml:space="preserve">Amtliche Rechtsquellen: Begründung (§ 35 SGB X): https://www.gesetze-im-internet.de/sgb_10/__35.html; Rechtsbehelfsbelehrung (§ 36 SGB X): https://www.gesetze-im-internet.de/sgb_10/__36.html; Bekanntgabe (§ 37 SGB X): https://www.gesetze-im-internet.de/sgb_10/__37.html. Das Rechtsquellen-Verzeichnis des Projekts ordnet die Berechnungsnormen und offenen Auslegungsfragen zu.</w:t>
      </w:r>
    </w:p>
    <w:p>
      <w:pPr>
        <w:pStyle w:val="Heading1"/>
        <w:keepNext/>
        <w:spacing w:after="200" w:before="360" w:line="380" w:lineRule="atLeast"/>
      </w:pPr>
      <w:r>
        <w:rPr>
          <w:rFonts w:ascii="Times New Roman" w:eastAsia="Times New Roman"/>
          <w:b/>
          <w:bCs/>
          <w:color w:val="000000"/>
          <w:sz w:val="32"/>
          <w:szCs w:val="32"/>
        </w:rPr>
        <w:t xml:space="preserve">Glossar</w:t>
      </w:r>
    </w:p>
    <w:p>
      <w:pPr>
        <w:keepNext/>
        <w:spacing w:after="80" w:before="160"/>
      </w:pPr>
      <w:r>
        <w:rPr>
          <w:rFonts w:ascii="Times New Roman" w:eastAsia="Times New Roman"/>
          <w:b/>
          <w:bCs/>
          <w:color w:val="404040"/>
          <w:sz w:val="20"/>
          <w:szCs w:val="20"/>
        </w:rPr>
        <w:t xml:space="preserve">Tabelle 15 — Begriffe des Handbuchs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285"/>
        <w:gridCol w:w="6503"/>
      </w:tblGrid>
      <w:tr>
        <w:trPr>
          <w:cantSplit/>
          <w:tblHeader/>
        </w:trPr>
        <w:tc>
          <w:tcPr>
            <w:tcW w:type="dxa" w:w="2285"/>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Begriff</w:t>
            </w:r>
          </w:p>
        </w:tc>
        <w:tc>
          <w:tcPr>
            <w:tcW w:type="dxa" w:w="6503"/>
            <w:shd w:fill="243748" w:val="clear"/>
            <w:tcMar>
              <w:top w:type="dxa" w:w="100"/>
              <w:left w:type="dxa" w:w="130"/>
              <w:bottom w:type="dxa" w:w="100"/>
              <w:right w:type="dxa" w:w="130"/>
            </w:tcMar>
            <w:vAlign w:val="center"/>
          </w:tcPr>
          <w:p>
            <w:pPr>
              <w:spacing w:line="276"/>
            </w:pPr>
            <w:r>
              <w:rPr>
                <w:rFonts w:ascii="Times New Roman" w:eastAsia="Times New Roman"/>
                <w:b/>
                <w:bCs/>
                <w:color w:val="FFFFFF"/>
                <w:sz w:val="20"/>
                <w:szCs w:val="20"/>
              </w:rPr>
              <w:t xml:space="preserve">Bedeutung</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Bedarfsgemeinschaft</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Vorgang der Grundsicherung mit eindeutigem Aktenzeichen, Hauptperson, Restbudget und Bankverbindung; fasst die zusammenlebenden Leistungsberechtigten zusammen.</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SozialFall</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Ein Leistungsberechtigter innerhalb einer Bedarfsgemeinschaft mit Regelbedarfsstufe, Mehrbedarfen, Unterkunftskosten und Einkommen.</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Regelbedarfsstufe (RBS)</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Staffelung des Regelbedarfs nach Personenkreis (Stufen 1–6, Werte 2026: 563,00 bis 357,00 EUR).</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KdU</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Kosten der Unterkunft und Heizung nach § 35 SGB XII; in der Anwendung als Kaltmiete, kalte Betriebskosten und Heizkosten erfasst.</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Zahlbetrag</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Gesamtbedarf minus anrechenbarem Einkommen und noch einzusetzendem Vermögen; Basis von Auszahlung und Monatsbewilligung.</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Vier-Augen-Prinzip</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Erfassung und Freigabe einer Zahlung durch verschiedene Kennungen. Die Rolle admin besitzt eine ausdrückliche Sonderberechtigung zur Selbstfreigabe.</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Kassenlauf</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Betriebliche Aktion: alle freigegebenen (BEREIT) Zahlungen werden in einer Transaktion auf ÜBERGEBEN gesetzt — die fachliche Übergabe an Kasse/Zahlungsdienst.</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Restbudget (BUDGET_REST)</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Verfügbarer Auszahlungsrahmen des Vorgangs; mindert sich bei Anordnung, wächst bei Storno.</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Transaktionssteuerung</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Eigene Bibliothek (de.allgemein.tx), die kurze Oracle-Transaktionen steuert: Parallelität, Zeitlimit, Wiederholung bei Sperrkonflikten, Saga-Orchestrierung.</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Saga</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Langer Geschäftsvorgang aus kurzen Transaktionen mit Journal und idempotenten Kompensationen; nach Absturz über recover() sauber beendbar.</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Idempotenz</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Eigenschaft, mehrfach ausgeführt dasselbe Ergebnis zu erzeugen — Grundlage für Doppelklick-Schutz und gefahrlosen Wiederanlauf.</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Optimistisches Locking</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Speicherschutz über VERSION-Spalten: parallele Änderung führt zu KONKURRENZ statt zum stillen Überschreiben.</w:t>
            </w:r>
          </w:p>
        </w:tc>
      </w:tr>
      <w:tr>
        <w:trPr>
          <w:cantSplit/>
        </w:trPr>
        <w:tc>
          <w:tcPr>
            <w:tcW w:type="dxa" w:w="2285"/>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Revisionssicheres Journal</w:t>
            </w:r>
          </w:p>
        </w:tc>
        <w:tc>
          <w:tcPr>
            <w:tcW w:type="dxa" w:w="6503"/>
            <w:shd w:fill="FFFFFF"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Unveränderliche Ereignisliste aller Fachaktionen mit Sachbearbeiter-Kennung; überdauert Historisierung.</w:t>
            </w:r>
          </w:p>
        </w:tc>
      </w:tr>
      <w:tr>
        <w:trPr>
          <w:cantSplit/>
        </w:trPr>
        <w:tc>
          <w:tcPr>
            <w:tcW w:type="dxa" w:w="2285"/>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SGB XII / SGB X</w:t>
            </w:r>
          </w:p>
        </w:tc>
        <w:tc>
          <w:tcPr>
            <w:tcW w:type="dxa" w:w="6503"/>
            <w:shd w:fill="F3F5F7" w:val="clear"/>
            <w:tcMar>
              <w:top w:type="dxa" w:w="100"/>
              <w:left w:type="dxa" w:w="130"/>
              <w:bottom w:type="dxa" w:w="100"/>
              <w:right w:type="dxa" w:w="130"/>
            </w:tcMar>
            <w:vAlign w:val="center"/>
          </w:tcPr>
          <w:p>
            <w:pPr>
              <w:spacing w:line="276"/>
            </w:pPr>
            <w:r>
              <w:rPr>
                <w:rFonts w:ascii="Times New Roman" w:eastAsia="Times New Roman"/>
                <w:b w:val="false"/>
                <w:bCs w:val="false"/>
                <w:color w:val="000000"/>
                <w:sz w:val="20"/>
                <w:szCs w:val="20"/>
              </w:rPr>
              <w:t xml:space="preserve">Zwölftes Buch Sozialgesetzbuch (Grundsicherung im Alter und bei Erwerbsminderung) bzw. Zehntes Buch (Verwaltungsverfahren; Begründung § 35, Belehrung § 36, Bekanntgabe § 37).</w:t>
            </w:r>
          </w:p>
        </w:tc>
      </w:tr>
    </w:tbl>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404040"/>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404040"/>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404040"/>
        <w:sz w:val="16"/>
        <w:szCs w:val="16"/>
      </w:rPr>
      <w:t xml:space="preserve">SDN.Leistung LMG — Benutzerhandbuch · Version 0.5.8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404040"/>
        <w:sz w:val="16"/>
        <w:szCs w:val="16"/>
      </w:rPr>
      <w:t xml:space="preserve">SDN.Leistung LMG — Benutzerhandbuch · Version 0.5.8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80"/>
      <w:outlineLvl w:val="0"/>
    </w:pPr>
    <w:rPr>
      <w:rFonts w:ascii="Times New Roman" w:eastAsia="Times New Roman"/>
      <w:b/>
      <w:bCs/>
      <w:color w:val="000000"/>
      <w:sz w:val="32"/>
      <w:szCs w:val="32"/>
    </w:rPr>
  </w:style>
  <w:style w:type="paragraph" w:styleId="Heading2">
    <w:name w:val="Heading 2"/>
    <w:basedOn w:val="Normal"/>
    <w:next w:val="Normal"/>
    <w:qFormat/>
    <w:pPr>
      <w:spacing w:after="140" w:before="280" w:line="340"/>
      <w:outlineLvl w:val="1"/>
    </w:pPr>
    <w:rPr>
      <w:rFonts w:ascii="Times New Roman" w:eastAsia="Times New Roman"/>
      <w:b/>
      <w:bCs/>
      <w:color w:val="000000"/>
      <w:sz w:val="27"/>
      <w:szCs w:val="27"/>
    </w:rPr>
  </w:style>
  <w:style w:type="paragraph" w:styleId="Heading3">
    <w:name w:val="Heading 3"/>
    <w:basedOn w:val="Normal"/>
    <w:next w:val="Normal"/>
    <w:qFormat/>
    <w:pPr>
      <w:spacing w:after="100" w:before="220" w:line="312"/>
      <w:outlineLvl w:val="2"/>
    </w:pPr>
    <w:rPr>
      <w:rFonts w:ascii="Times New Roman" w:eastAsia="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3ca35828a4ed66f58202ad2260618f74903ec2d9.png"/><Relationship Id="rId12" Type="http://schemas.openxmlformats.org/officeDocument/2006/relationships/image" Target="media/30887a905e436fb665d8eec169c40b0b0fecbfbc.png"/><Relationship Id="rId13" Type="http://schemas.openxmlformats.org/officeDocument/2006/relationships/image" Target="media/2c9a314678afad37a3b3e7248f62d8c7f33af6f0.png"/><Relationship Id="rId14" Type="http://schemas.openxmlformats.org/officeDocument/2006/relationships/image" Target="media/327066a9a61d4845a707217d1df235604814a39d.png"/><Relationship Id="rId15" Type="http://schemas.openxmlformats.org/officeDocument/2006/relationships/image" Target="media/14e270970ccd750ccfcabd2ac78bb44f6c794511.png"/><Relationship Id="rId16" Type="http://schemas.openxmlformats.org/officeDocument/2006/relationships/image" Target="media/6256128f21b5519cc62e90e1bfcb1301416239f9.png"/><Relationship Id="rId17" Type="http://schemas.openxmlformats.org/officeDocument/2006/relationships/image" Target="media/166e101165a4ff540ab39b6e030f41b0fd9945ec.png"/><Relationship Id="rId18" Type="http://schemas.openxmlformats.org/officeDocument/2006/relationships/image" Target="media/8fc12eb6d0d806ec68e2a59587951480926b4a61.png"/><Relationship Id="rId19" Type="http://schemas.openxmlformats.org/officeDocument/2006/relationships/image" Target="media/f83b6c3b7e2be95cd9b9c5a1ac00859c96c7a4e8.png"/><Relationship Id="rId20" Type="http://schemas.openxmlformats.org/officeDocument/2006/relationships/image" Target="media/7d59102dc43312e76f9904018d4fa8f18b5b6eea.png"/><Relationship Id="rId21" Type="http://schemas.openxmlformats.org/officeDocument/2006/relationships/image" Target="media/5d30471005c495d32a70203eedb6c837c6e2cc79.png"/><Relationship Id="rId22" Type="http://schemas.openxmlformats.org/officeDocument/2006/relationships/image" Target="media/15472487f53bbc3c17b8eb0b2a3336cc7e012f68.png"/><Relationship Id="rId23" Type="http://schemas.openxmlformats.org/officeDocument/2006/relationships/image" Target="media/150fb82e2ef3f75201ccabcece05b8f01332094c.png"/><Relationship Id="rId24" Type="http://schemas.openxmlformats.org/officeDocument/2006/relationships/image" Target="media/5095e0ecb17878e88a49a6acf757130cff26040e.png"/><Relationship Id="rId25" Type="http://schemas.openxmlformats.org/officeDocument/2006/relationships/image" Target="media/01bc643f73fe0e9fdc83c6c716f3092451457aec.png"/><Relationship Id="rId26" Type="http://schemas.openxmlformats.org/officeDocument/2006/relationships/image" Target="media/e58302038f52d517b81430f5b8b07df6bfb54ce0.png"/><Relationship Id="rId27" Type="http://schemas.openxmlformats.org/officeDocument/2006/relationships/image" Target="media/e9ad288b4c40816e0d2a7822c4ec3e3f0bd41af7.png"/><Relationship Id="rId28" Type="http://schemas.openxmlformats.org/officeDocument/2006/relationships/image" Target="media/c91bec7ec5b20e0be6e87651cacf8cb362547b7d.png"/><Relationship Id="rId29" Type="http://schemas.openxmlformats.org/officeDocument/2006/relationships/image" Target="media/01ba67452bb2e80a69b2423f71faa63bd85aefd5.png"/><Relationship Id="rId30" Type="http://schemas.openxmlformats.org/officeDocument/2006/relationships/image" Target="media/09c96ce8b7937bae6747411e4b041bd2d9f28cab.png"/><Relationship Id="rId31" Type="http://schemas.openxmlformats.org/officeDocument/2006/relationships/image" Target="media/c781f4922e331a61838d3a8871605324e0e7148c.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SDN.Leistung LMG — Benutzerhandbuch</dc:title>
  <dc:creator>SDN.Leistung Projektteam</dc:creator>
  <dc:description>Benutzerhandbuch und technische Dokumentation des Leistungsmanagements Grundsicherung (SGB XII)</dc:description>
  <cp:lastModifiedBy>Un-named</cp:lastModifiedBy>
  <cp:revision>1</cp:revision>
  <dcterms:created xsi:type="dcterms:W3CDTF">2026-10-13T20:16:39.753Z</dcterms:created>
  <dcterms:modified xsi:type="dcterms:W3CDTF">2026-10-13T20:16:39.754Z</dcterms:modified>
</cp:coreProperties>
</file>

<file path=docProps/custom.xml><?xml version="1.0" encoding="utf-8"?>
<Properties xmlns="http://schemas.openxmlformats.org/officeDocument/2006/custom-properties" xmlns:vt="http://schemas.openxmlformats.org/officeDocument/2006/docPropsVTypes"/>
</file>