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092"/>
            </w:pPr>
          </w:p>
          <w:p>
            <w:pPr>
              <w:pBdr>
                <w:bottom w:val="single" w:color="529286" w:sz="6" w:space="8"/>
              </w:pBdr>
              <w:spacing w:after="500"/>
              <w:ind w:left="1200" w:right="800"/>
            </w:pPr>
            <w:r>
              <w:rPr>
                <w:rFonts w:ascii="Arial" w:eastAsia="Arial"/>
                <w:color w:val="529286"/>
                <w:spacing w:val="40"/>
                <w:sz w:val="20"/>
                <w:szCs w:val="20"/>
              </w:rPr>
              <w:t xml:space="preserve">B  E  N  U  T  Z  E  R  H  A  N  D  B  U  C  H</w:t>
            </w:r>
          </w:p>
          <w:p>
            <w:pPr>
              <w:spacing w:after="100" w:line="920" w:lineRule="atLeast"/>
              <w:ind w:left="1200"/>
            </w:pPr>
            <w:r>
              <w:rPr>
                <w:rFonts w:ascii="Arial" w:eastAsia="Arial"/>
                <w:b/>
                <w:bCs/>
                <w:color w:val="FFFFFF"/>
                <w:sz w:val="80"/>
                <w:szCs w:val="80"/>
              </w:rPr>
              <w:t xml:space="preserve">SDN.sozial</w:t>
            </w:r>
          </w:p>
          <w:p>
            <w:pPr>
              <w:spacing w:after="300" w:line="920" w:lineRule="atLeast"/>
              <w:ind w:left="1200"/>
            </w:pPr>
            <w:r>
              <w:rPr>
                <w:rFonts w:ascii="Arial" w:eastAsia="Arial"/>
                <w:b/>
                <w:bCs/>
                <w:color w:val="FFFFFF"/>
                <w:sz w:val="80"/>
                <w:szCs w:val="80"/>
              </w:rPr>
              <w:t xml:space="preserve">Benutzerhandbuch</w:t>
            </w:r>
          </w:p>
          <w:p>
            <w:pPr>
              <w:spacing w:after="800" w:line="340" w:lineRule="atLeast"/>
              <w:ind w:left="1200" w:right="800"/>
            </w:pPr>
            <w:r>
              <w:rPr>
                <w:rFonts w:ascii="Arial" w:eastAsia="Arial"/>
                <w:color w:val="B0B8C0"/>
                <w:sz w:val="24"/>
                <w:szCs w:val="24"/>
              </w:rPr>
              <w:t xml:space="preserve">Leistungsmanagement Grundsicherung (SGB XII) — Anwenderdokumentation und technische Dokumentation</w:t>
            </w:r>
          </w:p>
          <w:p>
            <w:pPr>
              <w:pBdr>
                <w:left w:val="single" w:color="529286" w:sz="8" w:space="12"/>
              </w:pBdr>
              <w:spacing w:after="80"/>
              <w:ind w:left="1400"/>
            </w:pPr>
            <w:r>
              <w:rPr>
                <w:rFonts w:ascii="Arial" w:eastAsia="Arial"/>
                <w:color w:val="90989F"/>
                <w:sz w:val="22"/>
                <w:szCs w:val="22"/>
              </w:rPr>
              <w:t xml:space="preserve">Version 0.4.0 · Stand: 10. Oktober 2026</w:t>
            </w:r>
          </w:p>
          <w:p>
            <w:pPr>
              <w:pBdr>
                <w:left w:val="single" w:color="529286" w:sz="8" w:space="12"/>
              </w:pBdr>
              <w:spacing w:after="80"/>
              <w:ind w:left="1400"/>
            </w:pPr>
            <w:r>
              <w:rPr>
                <w:rFonts w:ascii="Arial" w:eastAsia="Arial"/>
                <w:color w:val="90989F"/>
                <w:sz w:val="22"/>
                <w:szCs w:val="22"/>
              </w:rPr>
              <w:t xml:space="preserve">Modul: Leistungsmanagement Grundsicherung (SDN.sozial LMG)</w:t>
            </w:r>
          </w:p>
          <w:p>
            <w:pPr>
              <w:pBdr>
                <w:left w:val="single" w:color="529286" w:sz="8" w:space="12"/>
              </w:pBdr>
              <w:spacing w:after="80"/>
              <w:ind w:left="1400"/>
            </w:pPr>
            <w:r>
              <w:rPr>
                <w:rFonts w:ascii="Arial" w:eastAsia="Arial"/>
                <w:color w:val="90989F"/>
                <w:sz w:val="22"/>
                <w:szCs w:val="22"/>
              </w:rPr>
              <w:t xml:space="preserve">Rechtsgrundlage: SGB XII · Bescheidverfahren nach § 37 SGB X</w:t>
            </w:r>
          </w:p>
          <w:p>
            <w:pPr>
              <w:pBdr>
                <w:left w:val="single" w:color="529286" w:sz="8" w:space="12"/>
              </w:pBdr>
              <w:spacing w:after="80"/>
              <w:ind w:left="1400"/>
            </w:pPr>
            <w:r>
              <w:rPr>
                <w:rFonts w:ascii="Arial" w:eastAsia="Arial"/>
                <w:color w:val="90989F"/>
                <w:sz w:val="22"/>
                <w:szCs w:val="22"/>
              </w:rPr>
              <w:t xml:space="preserve">Zielgruppen: Sachbearbeitung, Administration, Fachbetreuung</w:t>
            </w:r>
          </w:p>
          <w:p>
            <w:pPr>
              <w:spacing w:before="4092"/>
            </w:pPr>
          </w:p>
          <w:p>
            <w:pPr>
              <w:pBdr>
                <w:top w:val="single" w:color="529286" w:sz="2" w:space="8"/>
              </w:pBdr>
              <w:spacing w:before="200"/>
              <w:ind w:left="1200" w:right="800"/>
            </w:pPr>
            <w:r>
              <w:rPr>
                <w:rFonts w:ascii="Arial"/>
                <w:color w:val="687078"/>
                <w:sz w:val="16"/>
                <w:szCs w:val="16"/>
              </w:rPr>
              <w:t xml:space="preserve">SDN.sozial — Leistungsmanagement Grundsicherung</w:t>
            </w:r>
            <w:r>
              <w:t xml:space="preserve">                                        </w:t>
            </w:r>
            <w:r>
              <w:rPr>
                <w:rFonts w:ascii="Arial"/>
                <w:color w:val="687078"/>
                <w:sz w:val="16"/>
                <w:szCs w:val="16"/>
              </w:rPr>
              <w:t xml:space="preserve">Oktober 2026</w:t>
            </w:r>
          </w:p>
        </w:tc>
      </w:tr>
    </w:tbl>
    <w:p>
      <w:pPr>
        <w:sectPr>
          <w:pgSz w:w="11906" w:h="16838" w:orient="portrait"/>
          <w:pgMar w:top="0" w:right="0" w:bottom="0" w:left="0" w:header="708" w:footer="708" w:gutter="0"/>
          <w:docGrid w:linePitch="360"/>
        </w:sectPr>
      </w:pPr>
    </w:p>
    <w:p>
      <w:pPr>
        <w:spacing w:after="300" w:before="200"/>
      </w:pPr>
      <w:r>
        <w:rPr>
          <w:rFonts w:ascii="Times New Roman" w:eastAsia="Times New Roman"/>
          <w:b/>
          <w:bCs/>
          <w:color w:val="0B1C2C"/>
          <w:sz w:val="30"/>
          <w:szCs w:val="30"/>
        </w:rPr>
        <w:t xml:space="preserve">Über dieses Handbuch</w:t>
      </w:r>
    </w:p>
    <w:p>
      <w:pPr>
        <w:spacing w:after="120" w:line="312"/>
        <w:jc w:val="both"/>
      </w:pPr>
      <w:r>
        <w:rPr>
          <w:rFonts w:ascii="Times New Roman" w:eastAsia="Times New Roman"/>
          <w:b w:val="false"/>
          <w:bCs w:val="false"/>
          <w:i w:val="false"/>
          <w:iCs w:val="false"/>
          <w:color w:val="000000"/>
          <w:sz w:val="22"/>
          <w:szCs w:val="22"/>
        </w:rPr>
        <w:t xml:space="preserve">Dieses Handbuch beschreibt die Fachanwendung SDN.sozial Leistungsmanagement Grundsicherung in zwei Teilen: Teil I ist die Anwenderdokumentation für die sachbearbeitende Ebene — von der Anmeldung über die Fallbearbeitung bis zu Bescheid, Vier-Augen-Freigabe und Kassenlauf. Teil II ist die technische Dokumentation: Architektur, Transaktionssteuerung, Saga-Muster, Datenmodell, Sicherheit und Konfiguration.</w:t>
      </w:r>
    </w:p>
    <w:p>
      <w:pPr>
        <w:spacing w:after="120" w:line="312"/>
        <w:jc w:val="both"/>
      </w:pPr>
      <w:r>
        <w:rPr>
          <w:rFonts w:ascii="Times New Roman" w:eastAsia="Times New Roman"/>
          <w:b w:val="false"/>
          <w:bCs w:val="false"/>
          <w:i w:val="false"/>
          <w:iCs w:val="false"/>
          <w:color w:val="000000"/>
          <w:sz w:val="22"/>
          <w:szCs w:val="22"/>
        </w:rPr>
        <w:t xml:space="preserve">Alle Screenshots entstanden an der laufenden Anwendung gegen eine echte Oracle-Datenbank; alle Fachwerte entsprechen dem Referenzjahr 2026 und dem Softwarestand Version 0.4.0.</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Inhaltsverzeichnis aktualisieren</w:t>
            </w:r>
          </w:p>
          <w:p>
            <w:pPr>
              <w:spacing w:line="300"/>
              <w:jc w:val="both"/>
            </w:pPr>
            <w:r>
              <w:rPr>
                <w:rFonts w:ascii="Times New Roman" w:eastAsia="Times New Roman"/>
                <w:color w:val="1F3A4D"/>
                <w:sz w:val="21"/>
                <w:szCs w:val="21"/>
              </w:rPr>
              <w:t xml:space="preserve">Das Inhaltsverzeichnis ist als Word-Feld angelegt. Nach dem Öffnen bitte mit Rechtsklick auf das Verzeichnis „Felder aktualisieren“ wählen, damit die Seitennummern endgültig stimmen.</w:t>
            </w:r>
          </w:p>
        </w:tc>
      </w:tr>
    </w:tbl>
    <w:p>
      <w:pPr>
        <w:spacing w:after="240" w:before="360"/>
        <w:jc w:val="center"/>
      </w:pPr>
      <w:r>
        <w:rPr>
          <w:rFonts w:ascii="Times New Roman" w:eastAsia="Times New Roman"/>
          <w:b/>
          <w:bCs/>
          <w:color w:val="0B1C2C"/>
          <w:sz w:val="30"/>
          <w:szCs w:val="30"/>
        </w:rPr>
        <w:t xml:space="preserve">Inhaltsverzeichnis</w:t>
      </w:r>
    </w:p>
    <w:sdt>
      <w:sdtPr>
        <w:alias w:val="Inhaltsverzeichni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Einleitung</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Einleitung</w:t>
          </w:r>
          <w:r>
            <w:tab/>
          </w:r>
          <w:r>
            <w:t>2</w:t>
          </w:r>
        </w:p>
        <w:p>
          <w:pPr>
            <w:pStyle w:val="11"/>
            <w:ind w:left="360"/>
            <w:tabs>
              <w:tab w:val="right" w:leader="dot" w:pos="9026"/>
            </w:tabs>
            <w:spacing w:before="120" w:after="60"/>
          </w:pPr>
          <w:r>
            <w:t>1.1  Zweck dieses Handbuchs</w:t>
          </w:r>
          <w:r>
            <w:tab/>
          </w:r>
          <w:r>
            <w:t>2</w:t>
          </w:r>
        </w:p>
        <w:p>
          <w:pPr>
            <w:pStyle w:val="11"/>
            <w:ind w:left="360"/>
            <w:tabs>
              <w:tab w:val="right" w:leader="dot" w:pos="9026"/>
            </w:tabs>
            <w:spacing w:before="120" w:after="60"/>
          </w:pPr>
          <w:r>
            <w:t>1.2  Das System in einem Satz</w:t>
          </w:r>
          <w:r>
            <w:tab/>
          </w:r>
          <w:r>
            <w:t>2</w:t>
          </w:r>
        </w:p>
        <w:p>
          <w:pPr>
            <w:pStyle w:val="11"/>
            <w:ind w:left="360"/>
            <w:tabs>
              <w:tab w:val="right" w:leader="dot" w:pos="9026"/>
            </w:tabs>
            <w:spacing w:before="120" w:after="60"/>
          </w:pPr>
          <w:r>
            <w:t>1.3  Zielgruppen und Lesepfad</w:t>
          </w:r>
          <w:r>
            <w:tab/>
          </w:r>
          <w:r>
            <w:t>3</w:t>
          </w:r>
        </w:p>
        <w:p>
          <w:pPr>
            <w:pStyle w:val="11"/>
            <w:ind w:left="360"/>
            <w:tabs>
              <w:tab w:val="right" w:leader="dot" w:pos="9026"/>
            </w:tabs>
            <w:spacing w:before="120" w:after="60"/>
          </w:pPr>
          <w:r>
            <w:t>1.4  Konventionen dieses Handbuchs</w:t>
          </w:r>
          <w:r>
            <w:tab/>
          </w:r>
          <w:r>
            <w:t>3</w:t>
          </w:r>
        </w:p>
        <w:p>
          <w:pPr>
            <w:pStyle w:val="11"/>
            <w:ind w:left="360"/>
            <w:tabs>
              <w:tab w:val="right" w:leader="dot" w:pos="9026"/>
            </w:tabs>
            <w:spacing w:before="120" w:after="60"/>
          </w:pPr>
          <w:r>
            <w:t>1.5  Demo-Zugänge</w:t>
          </w:r>
          <w:r>
            <w:tab/>
          </w:r>
          <w:r>
            <w:t>4</w:t>
          </w:r>
        </w:p>
        <w:p>
          <w:pPr>
            <w:pStyle w:val="9"/>
            <w:tabs>
              <w:tab w:val="right" w:leader="dot" w:pos="9026"/>
            </w:tabs>
            <w:spacing w:before="120" w:after="60"/>
          </w:pPr>
          <w:r>
            <w:t>2  Fachliche und rechtliche Grundlagen (SGB XII)</w:t>
          </w:r>
          <w:r>
            <w:tab/>
          </w:r>
          <w:r>
            <w:t>4</w:t>
          </w:r>
        </w:p>
        <w:p>
          <w:pPr>
            <w:pStyle w:val="11"/>
            <w:ind w:left="360"/>
            <w:tabs>
              <w:tab w:val="right" w:leader="dot" w:pos="9026"/>
            </w:tabs>
            <w:spacing w:before="120" w:after="60"/>
          </w:pPr>
          <w:r>
            <w:t>2.1  Leistungen der Grundsicherung im Alter und bei Erwerbsminderung</w:t>
          </w:r>
          <w:r>
            <w:tab/>
          </w:r>
          <w:r>
            <w:t>4</w:t>
          </w:r>
        </w:p>
        <w:p>
          <w:pPr>
            <w:pStyle w:val="11"/>
            <w:ind w:left="360"/>
            <w:tabs>
              <w:tab w:val="right" w:leader="dot" w:pos="9026"/>
            </w:tabs>
            <w:spacing w:before="120" w:after="60"/>
          </w:pPr>
          <w:r>
            <w:t>2.2  Regelbedarfe und Mehrbedarfe</w:t>
          </w:r>
          <w:r>
            <w:tab/>
          </w:r>
          <w:r>
            <w:t>5</w:t>
          </w:r>
        </w:p>
        <w:p>
          <w:pPr>
            <w:pStyle w:val="11"/>
            <w:ind w:left="360"/>
            <w:tabs>
              <w:tab w:val="right" w:leader="dot" w:pos="9026"/>
            </w:tabs>
            <w:spacing w:before="120" w:after="60"/>
          </w:pPr>
          <w:r>
            <w:t>2.3  Kosten der Unterkunft und Heizung</w:t>
          </w:r>
          <w:r>
            <w:tab/>
          </w:r>
          <w:r>
            <w:t>5</w:t>
          </w:r>
        </w:p>
        <w:p>
          <w:pPr>
            <w:pStyle w:val="11"/>
            <w:ind w:left="360"/>
            <w:tabs>
              <w:tab w:val="right" w:leader="dot" w:pos="9026"/>
            </w:tabs>
            <w:spacing w:before="120" w:after="60"/>
          </w:pPr>
          <w:r>
            <w:t>2.4  Einkommensbereinigung nach § 82 SGB XII</w:t>
          </w:r>
          <w:r>
            <w:tab/>
          </w:r>
          <w:r>
            <w:t>6</w:t>
          </w:r>
        </w:p>
        <w:p>
          <w:pPr>
            <w:pStyle w:val="11"/>
            <w:ind w:left="360"/>
            <w:tabs>
              <w:tab w:val="right" w:leader="dot" w:pos="9026"/>
            </w:tabs>
            <w:spacing w:before="120" w:after="60"/>
          </w:pPr>
          <w:r>
            <w:t>2.5  Der Vorgang: Bedarfsgemeinschaft und SozialFall</w:t>
          </w:r>
          <w:r>
            <w:tab/>
          </w:r>
          <w:r>
            <w:t>6</w:t>
          </w:r>
        </w:p>
        <w:p>
          <w:pPr>
            <w:pStyle w:val="9"/>
            <w:tabs>
              <w:tab w:val="right" w:leader="dot" w:pos="9026"/>
            </w:tabs>
            <w:spacing w:before="120" w:after="60"/>
          </w:pPr>
          <w:r>
            <w:t>3  Anmeldung und Rollen</w:t>
          </w:r>
          <w:r>
            <w:tab/>
          </w:r>
          <w:r>
            <w:t>6</w:t>
          </w:r>
        </w:p>
        <w:p>
          <w:pPr>
            <w:pStyle w:val="11"/>
            <w:ind w:left="360"/>
            <w:tabs>
              <w:tab w:val="right" w:leader="dot" w:pos="9026"/>
            </w:tabs>
            <w:spacing w:before="120" w:after="60"/>
          </w:pPr>
          <w:r>
            <w:t>3.1  Anmelden</w:t>
          </w:r>
          <w:r>
            <w:tab/>
          </w:r>
          <w:r>
            <w:t>7</w:t>
          </w:r>
        </w:p>
        <w:p>
          <w:pPr>
            <w:pStyle w:val="11"/>
            <w:ind w:left="360"/>
            <w:tabs>
              <w:tab w:val="right" w:leader="dot" w:pos="9026"/>
            </w:tabs>
            <w:spacing w:before="120" w:after="60"/>
          </w:pPr>
          <w:r>
            <w:t>3.2  Rollen und Rechte</w:t>
          </w:r>
          <w:r>
            <w:tab/>
          </w:r>
          <w:r>
            <w:t>7</w:t>
          </w:r>
        </w:p>
        <w:p>
          <w:pPr>
            <w:pStyle w:val="11"/>
            <w:ind w:left="360"/>
            <w:tabs>
              <w:tab w:val="right" w:leader="dot" w:pos="9026"/>
            </w:tabs>
            <w:spacing w:before="120" w:after="60"/>
          </w:pPr>
          <w:r>
            <w:t>3.3  Abmelden und Sitzungsende</w:t>
          </w:r>
          <w:r>
            <w:tab/>
          </w:r>
          <w:r>
            <w:t>8</w:t>
          </w:r>
        </w:p>
        <w:p>
          <w:pPr>
            <w:pStyle w:val="9"/>
            <w:tabs>
              <w:tab w:val="right" w:leader="dot" w:pos="9026"/>
            </w:tabs>
            <w:spacing w:before="120" w:after="60"/>
          </w:pPr>
          <w:r>
            <w:t>4  Die Fallübersicht</w:t>
          </w:r>
          <w:r>
            <w:tab/>
          </w:r>
          <w:r>
            <w:t>8</w:t>
          </w:r>
        </w:p>
        <w:p>
          <w:pPr>
            <w:pStyle w:val="11"/>
            <w:ind w:left="360"/>
            <w:tabs>
              <w:tab w:val="right" w:leader="dot" w:pos="9026"/>
            </w:tabs>
            <w:spacing w:before="120" w:after="60"/>
          </w:pPr>
          <w:r>
            <w:t>4.1  Aufbau der Übersicht</w:t>
          </w:r>
          <w:r>
            <w:tab/>
          </w:r>
          <w:r>
            <w:t>8</w:t>
          </w:r>
        </w:p>
        <w:p>
          <w:pPr>
            <w:pStyle w:val="11"/>
            <w:ind w:left="360"/>
            <w:tabs>
              <w:tab w:val="right" w:leader="dot" w:pos="9026"/>
            </w:tabs>
            <w:spacing w:before="120" w:after="60"/>
          </w:pPr>
          <w:r>
            <w:t>4.2  Neuen Vorgang anlegen</w:t>
          </w:r>
          <w:r>
            <w:tab/>
          </w:r>
          <w:r>
            <w:t>9</w:t>
          </w:r>
        </w:p>
        <w:p>
          <w:pPr>
            <w:pStyle w:val="9"/>
            <w:tabs>
              <w:tab w:val="right" w:leader="dot" w:pos="9026"/>
            </w:tabs>
            <w:spacing w:before="120" w:after="60"/>
          </w:pPr>
          <w:r>
            <w:t>5  Vorgang bearbeiten</w:t>
          </w:r>
          <w:r>
            <w:tab/>
          </w:r>
          <w:r>
            <w:t>10</w:t>
          </w:r>
        </w:p>
        <w:p>
          <w:pPr>
            <w:pStyle w:val="11"/>
            <w:ind w:left="360"/>
            <w:tabs>
              <w:tab w:val="right" w:leader="dot" w:pos="9026"/>
            </w:tabs>
            <w:spacing w:before="120" w:after="60"/>
          </w:pPr>
          <w:r>
            <w:t>5.1  Aufbau der Vorgangsmaske</w:t>
          </w:r>
          <w:r>
            <w:tab/>
          </w:r>
          <w:r>
            <w:t>10</w:t>
          </w:r>
        </w:p>
        <w:p>
          <w:pPr>
            <w:pStyle w:val="11"/>
            <w:ind w:left="360"/>
            <w:tabs>
              <w:tab w:val="right" w:leader="dot" w:pos="9026"/>
            </w:tabs>
            <w:spacing w:before="120" w:after="60"/>
          </w:pPr>
          <w:r>
            <w:t>5.2  Bedarfsermittlung lesen</w:t>
          </w:r>
          <w:r>
            <w:tab/>
          </w:r>
          <w:r>
            <w:t>11</w:t>
          </w:r>
        </w:p>
        <w:p>
          <w:pPr>
            <w:pStyle w:val="11"/>
            <w:ind w:left="360"/>
            <w:tabs>
              <w:tab w:val="right" w:leader="dot" w:pos="9026"/>
            </w:tabs>
            <w:spacing w:before="120" w:after="60"/>
          </w:pPr>
          <w:r>
            <w:t>5.3  SozialFall anlegen und ändern</w:t>
          </w:r>
          <w:r>
            <w:tab/>
          </w:r>
          <w:r>
            <w:t>11</w:t>
          </w:r>
        </w:p>
        <w:p>
          <w:pPr>
            <w:pStyle w:val="11"/>
            <w:ind w:left="360"/>
            <w:tabs>
              <w:tab w:val="right" w:leader="dot" w:pos="9026"/>
            </w:tabs>
            <w:spacing w:before="120" w:after="60"/>
          </w:pPr>
          <w:r>
            <w:t>5.4  Vorgangskopf: Status, Wiedervorlage, Bankverbindung</w:t>
          </w:r>
          <w:r>
            <w:tab/>
          </w:r>
          <w:r>
            <w:t>11</w:t>
          </w:r>
        </w:p>
        <w:p>
          <w:pPr>
            <w:pStyle w:val="9"/>
            <w:tabs>
              <w:tab w:val="right" w:leader="dot" w:pos="9026"/>
            </w:tabs>
            <w:spacing w:before="120" w:after="60"/>
          </w:pPr>
          <w:r>
            <w:t>6  Zahlbarmachung: Auszahlung anordnen</w:t>
          </w:r>
          <w:r>
            <w:tab/>
          </w:r>
          <w:r>
            <w:t>12</w:t>
          </w:r>
        </w:p>
        <w:p>
          <w:pPr>
            <w:pStyle w:val="11"/>
            <w:ind w:left="360"/>
            <w:tabs>
              <w:tab w:val="right" w:leader="dot" w:pos="9026"/>
            </w:tabs>
            <w:spacing w:before="120" w:after="60"/>
          </w:pPr>
          <w:r>
            <w:t>6.1  Die Maske</w:t>
          </w:r>
          <w:r>
            <w:tab/>
          </w:r>
          <w:r>
            <w:t>12</w:t>
          </w:r>
        </w:p>
        <w:p>
          <w:pPr>
            <w:pStyle w:val="11"/>
            <w:ind w:left="360"/>
            <w:tabs>
              <w:tab w:val="right" w:leader="dot" w:pos="9026"/>
            </w:tabs>
            <w:spacing w:before="120" w:after="60"/>
          </w:pPr>
          <w:r>
            <w:t>6.2  Was beim Anordnen passiert</w:t>
          </w:r>
          <w:r>
            <w:tab/>
          </w:r>
          <w:r>
            <w:t>12</w:t>
          </w:r>
        </w:p>
        <w:p>
          <w:pPr>
            <w:pStyle w:val="11"/>
            <w:ind w:left="360"/>
            <w:tabs>
              <w:tab w:val="right" w:leader="dot" w:pos="9026"/>
            </w:tabs>
            <w:spacing w:before="120" w:after="60"/>
          </w:pPr>
          <w:r>
            <w:t>6.3  Die Vier-Augen-Checkbox</w:t>
          </w:r>
          <w:r>
            <w:tab/>
          </w:r>
          <w:r>
            <w:t>13</w:t>
          </w:r>
        </w:p>
        <w:p>
          <w:pPr>
            <w:pStyle w:val="9"/>
            <w:tabs>
              <w:tab w:val="right" w:leader="dot" w:pos="9026"/>
            </w:tabs>
            <w:spacing w:before="120" w:after="60"/>
          </w:pPr>
          <w:r>
            <w:t>7  Vier-Augen-Freigabe, Storno und Fehlerfälle</w:t>
          </w:r>
          <w:r>
            <w:tab/>
          </w:r>
          <w:r>
            <w:t>14</w:t>
          </w:r>
        </w:p>
        <w:p>
          <w:pPr>
            <w:pStyle w:val="11"/>
            <w:ind w:left="360"/>
            <w:tabs>
              <w:tab w:val="right" w:leader="dot" w:pos="9026"/>
            </w:tabs>
            <w:spacing w:before="120" w:after="60"/>
          </w:pPr>
          <w:r>
            <w:t>7.1  Der Freigabe-Schritt</w:t>
          </w:r>
          <w:r>
            <w:tab/>
          </w:r>
          <w:r>
            <w:t>14</w:t>
          </w:r>
        </w:p>
        <w:p>
          <w:pPr>
            <w:pStyle w:val="11"/>
            <w:ind w:left="360"/>
            <w:tabs>
              <w:tab w:val="right" w:leader="dot" w:pos="9026"/>
            </w:tabs>
            <w:spacing w:before="120" w:after="60"/>
          </w:pPr>
          <w:r>
            <w:t>7.2  Storno</w:t>
          </w:r>
          <w:r>
            <w:tab/>
          </w:r>
          <w:r>
            <w:t>15</w:t>
          </w:r>
        </w:p>
        <w:p>
          <w:pPr>
            <w:pStyle w:val="11"/>
            <w:ind w:left="360"/>
            <w:tabs>
              <w:tab w:val="right" w:leader="dot" w:pos="9026"/>
            </w:tabs>
            <w:spacing w:before="120" w:after="60"/>
          </w:pPr>
          <w:r>
            <w:t>7.3  Typische Fehlermeldungen beim Anordnen</w:t>
          </w:r>
          <w:r>
            <w:tab/>
          </w:r>
          <w:r>
            <w:t>15</w:t>
          </w:r>
        </w:p>
        <w:p>
          <w:pPr>
            <w:pStyle w:val="9"/>
            <w:tabs>
              <w:tab w:val="right" w:leader="dot" w:pos="9026"/>
            </w:tabs>
            <w:spacing w:before="120" w:after="60"/>
          </w:pPr>
          <w:r>
            <w:t>8  Bewilligungsbescheid (§ 37 SGB X)</w:t>
          </w:r>
          <w:r>
            <w:tab/>
          </w:r>
          <w:r>
            <w:t>16</w:t>
          </w:r>
        </w:p>
        <w:p>
          <w:pPr>
            <w:pStyle w:val="11"/>
            <w:ind w:left="360"/>
            <w:tabs>
              <w:tab w:val="right" w:leader="dot" w:pos="9026"/>
            </w:tabs>
            <w:spacing w:before="120" w:after="60"/>
          </w:pPr>
          <w:r>
            <w:t>8.1  Bescheid erteilen</w:t>
          </w:r>
          <w:r>
            <w:tab/>
          </w:r>
          <w:r>
            <w:t>16</w:t>
          </w:r>
        </w:p>
        <w:p>
          <w:pPr>
            <w:pStyle w:val="11"/>
            <w:ind w:left="360"/>
            <w:tabs>
              <w:tab w:val="right" w:leader="dot" w:pos="9026"/>
            </w:tabs>
            <w:spacing w:before="120" w:after="60"/>
          </w:pPr>
          <w:r>
            <w:t>8.2  Aufbau und Druck des Bescheids</w:t>
          </w:r>
          <w:r>
            <w:tab/>
          </w:r>
          <w:r>
            <w:t>17</w:t>
          </w:r>
        </w:p>
        <w:p>
          <w:pPr>
            <w:pStyle w:val="9"/>
            <w:tabs>
              <w:tab w:val="right" w:leader="dot" w:pos="9026"/>
            </w:tabs>
            <w:spacing w:before="120" w:after="60"/>
          </w:pPr>
          <w:r>
            <w:t>9  Das Buchungsjournal</w:t>
          </w:r>
          <w:r>
            <w:tab/>
          </w:r>
          <w:r>
            <w:t>17</w:t>
          </w:r>
        </w:p>
        <w:p>
          <w:pPr>
            <w:pStyle w:val="9"/>
            <w:tabs>
              <w:tab w:val="right" w:leader="dot" w:pos="9026"/>
            </w:tabs>
            <w:spacing w:before="120" w:after="60"/>
          </w:pPr>
          <w:r>
            <w:t>10  Die Antrags-Saga aus Anwendersicht</w:t>
          </w:r>
          <w:r>
            <w:tab/>
          </w:r>
          <w:r>
            <w:t>18</w:t>
          </w:r>
        </w:p>
        <w:p>
          <w:pPr>
            <w:pStyle w:val="11"/>
            <w:ind w:left="360"/>
            <w:tabs>
              <w:tab w:val="right" w:leader="dot" w:pos="9026"/>
            </w:tabs>
            <w:spacing w:before="120" w:after="60"/>
          </w:pPr>
          <w:r>
            <w:t>10.1  Wozu eine Saga gut ist</w:t>
          </w:r>
          <w:r>
            <w:tab/>
          </w:r>
          <w:r>
            <w:t>18</w:t>
          </w:r>
        </w:p>
        <w:p>
          <w:pPr>
            <w:pStyle w:val="11"/>
            <w:ind w:left="360"/>
            <w:tabs>
              <w:tab w:val="right" w:leader="dot" w:pos="9026"/>
            </w:tabs>
            <w:spacing w:before="120" w:after="60"/>
          </w:pPr>
          <w:r>
            <w:t>10.2  Ablauf und Ergebnis</w:t>
          </w:r>
          <w:r>
            <w:tab/>
          </w:r>
          <w:r>
            <w:t>19</w:t>
          </w:r>
        </w:p>
        <w:p>
          <w:pPr>
            <w:pStyle w:val="9"/>
            <w:tabs>
              <w:tab w:val="right" w:leader="dot" w:pos="9026"/>
            </w:tabs>
            <w:spacing w:before="120" w:after="60"/>
          </w:pPr>
          <w:r>
            <w:t>11  Adminbereich und Betriebsfunktionen</w:t>
          </w:r>
          <w:r>
            <w:tab/>
          </w:r>
          <w:r>
            <w:t>20</w:t>
          </w:r>
        </w:p>
        <w:p>
          <w:pPr>
            <w:pStyle w:val="11"/>
            <w:ind w:left="360"/>
            <w:tabs>
              <w:tab w:val="right" w:leader="dot" w:pos="9026"/>
            </w:tabs>
            <w:spacing w:before="120" w:after="60"/>
          </w:pPr>
          <w:r>
            <w:t>11.1  Systemstatus</w:t>
          </w:r>
          <w:r>
            <w:tab/>
          </w:r>
          <w:r>
            <w:t>20</w:t>
          </w:r>
        </w:p>
        <w:p>
          <w:pPr>
            <w:pStyle w:val="11"/>
            <w:ind w:left="360"/>
            <w:tabs>
              <w:tab w:val="right" w:leader="dot" w:pos="9026"/>
            </w:tabs>
            <w:spacing w:before="120" w:after="60"/>
          </w:pPr>
          <w:r>
            <w:t>11.2  Kassenlauf</w:t>
          </w:r>
          <w:r>
            <w:tab/>
          </w:r>
          <w:r>
            <w:t>20</w:t>
          </w:r>
        </w:p>
        <w:p>
          <w:pPr>
            <w:pStyle w:val="11"/>
            <w:ind w:left="360"/>
            <w:tabs>
              <w:tab w:val="right" w:leader="dot" w:pos="9026"/>
            </w:tabs>
            <w:spacing w:before="120" w:after="60"/>
          </w:pPr>
          <w:r>
            <w:t>11.3  Wiederanlauf</w:t>
          </w:r>
          <w:r>
            <w:tab/>
          </w:r>
          <w:r>
            <w:t>21</w:t>
          </w:r>
        </w:p>
        <w:p>
          <w:pPr>
            <w:pStyle w:val="11"/>
            <w:ind w:left="360"/>
            <w:tabs>
              <w:tab w:val="right" w:leader="dot" w:pos="9026"/>
            </w:tabs>
            <w:spacing w:before="120" w:after="60"/>
          </w:pPr>
          <w:r>
            <w:t>11.4  Funktionsübersicht</w:t>
          </w:r>
          <w:r>
            <w:tab/>
          </w:r>
          <w:r>
            <w:t>21</w:t>
          </w:r>
        </w:p>
        <w:p>
          <w:pPr>
            <w:pStyle w:val="9"/>
            <w:tabs>
              <w:tab w:val="right" w:leader="dot" w:pos="9026"/>
            </w:tabs>
            <w:spacing w:before="120" w:after="60"/>
          </w:pPr>
          <w:r>
            <w:t>12  Hinweise für den sicheren Betrieb der Sacharbeit</w:t>
          </w:r>
          <w:r>
            <w:tab/>
          </w:r>
          <w:r>
            <w:t>21</w:t>
          </w:r>
        </w:p>
        <w:p>
          <w:pPr>
            <w:pStyle w:val="11"/>
            <w:ind w:left="360"/>
            <w:tabs>
              <w:tab w:val="right" w:leader="dot" w:pos="9026"/>
            </w:tabs>
            <w:spacing w:before="120" w:after="60"/>
          </w:pPr>
          <w:r>
            <w:t>12.1  Arbeitsorganisation mit vier Augen</w:t>
          </w:r>
          <w:r>
            <w:tab/>
          </w:r>
          <w:r>
            <w:t>21</w:t>
          </w:r>
        </w:p>
        <w:p>
          <w:pPr>
            <w:pStyle w:val="11"/>
            <w:ind w:left="360"/>
            <w:tabs>
              <w:tab w:val="right" w:leader="dot" w:pos="9026"/>
            </w:tabs>
            <w:spacing w:before="120" w:after="60"/>
          </w:pPr>
          <w:r>
            <w:t>12.2  Gleichzeitige Bearbeitung</w:t>
          </w:r>
          <w:r>
            <w:tab/>
          </w:r>
          <w:r>
            <w:t>22</w:t>
          </w:r>
        </w:p>
        <w:p>
          <w:pPr>
            <w:pStyle w:val="11"/>
            <w:ind w:left="360"/>
            <w:tabs>
              <w:tab w:val="right" w:leader="dot" w:pos="9026"/>
            </w:tabs>
            <w:spacing w:before="120" w:after="60"/>
          </w:pPr>
          <w:r>
            <w:t>12.3  Fehlercodes und ihre Bedeutung</w:t>
          </w:r>
          <w:r>
            <w:tab/>
          </w:r>
          <w:r>
            <w:t>22</w:t>
          </w:r>
        </w:p>
        <w:p>
          <w:pPr>
            <w:pStyle w:val="11"/>
            <w:ind w:left="360"/>
            <w:tabs>
              <w:tab w:val="right" w:leader="dot" w:pos="9026"/>
            </w:tabs>
            <w:spacing w:before="120" w:after="60"/>
          </w:pPr>
          <w:r>
            <w:t>12.4  Was die Anwendung bewusst nicht tut</w:t>
          </w:r>
          <w:r>
            <w:tab/>
          </w:r>
          <w:r>
            <w:t>23</w:t>
          </w:r>
        </w:p>
        <w:p>
          <w:pPr>
            <w:pStyle w:val="9"/>
            <w:tabs>
              <w:tab w:val="right" w:leader="dot" w:pos="9026"/>
            </w:tabs>
            <w:spacing w:before="120" w:after="60"/>
          </w:pPr>
          <w:r>
            <w:t>13  Architekturüberblick</w:t>
          </w:r>
          <w:r>
            <w:tab/>
          </w:r>
          <w:r>
            <w:t>23</w:t>
          </w:r>
        </w:p>
        <w:p>
          <w:pPr>
            <w:pStyle w:val="11"/>
            <w:ind w:left="360"/>
            <w:tabs>
              <w:tab w:val="right" w:leader="dot" w:pos="9026"/>
            </w:tabs>
            <w:spacing w:before="120" w:after="60"/>
          </w:pPr>
          <w:r>
            <w:t>13.1  Leitprinzip: Die Datenbank trägt die Transaktionen</w:t>
          </w:r>
          <w:r>
            <w:tab/>
          </w:r>
          <w:r>
            <w:t>23</w:t>
          </w:r>
        </w:p>
        <w:p>
          <w:pPr>
            <w:pStyle w:val="11"/>
            <w:ind w:left="360"/>
            <w:tabs>
              <w:tab w:val="right" w:leader="dot" w:pos="9026"/>
            </w:tabs>
            <w:spacing w:before="120" w:after="60"/>
          </w:pPr>
          <w:r>
            <w:t>13.2  Schichten und Bausteine</w:t>
          </w:r>
          <w:r>
            <w:tab/>
          </w:r>
          <w:r>
            <w:t>24</w:t>
          </w:r>
        </w:p>
        <w:p>
          <w:pPr>
            <w:pStyle w:val="11"/>
            <w:ind w:left="360"/>
            <w:tabs>
              <w:tab w:val="right" w:leader="dot" w:pos="9026"/>
            </w:tabs>
            <w:spacing w:before="120" w:after="60"/>
          </w:pPr>
          <w:r>
            <w:t>13.3  Web-Schicht und Fehlerabbildung</w:t>
          </w:r>
          <w:r>
            <w:tab/>
          </w:r>
          <w:r>
            <w:t>25</w:t>
          </w:r>
        </w:p>
        <w:p>
          <w:pPr>
            <w:pStyle w:val="9"/>
            <w:tabs>
              <w:tab w:val="right" w:leader="dot" w:pos="9026"/>
            </w:tabs>
            <w:spacing w:before="120" w:after="60"/>
          </w:pPr>
          <w:r>
            <w:t>14  Die Transaktionssteuerung im Detail</w:t>
          </w:r>
          <w:r>
            <w:tab/>
          </w:r>
          <w:r>
            <w:t>25</w:t>
          </w:r>
        </w:p>
        <w:p>
          <w:pPr>
            <w:pStyle w:val="11"/>
            <w:ind w:left="360"/>
            <w:tabs>
              <w:tab w:val="right" w:leader="dot" w:pos="9026"/>
            </w:tabs>
            <w:spacing w:before="120" w:after="60"/>
          </w:pPr>
          <w:r>
            <w:t>14.1  Kurze Transaktionen als Grundbaustein</w:t>
          </w:r>
          <w:r>
            <w:tab/>
          </w:r>
          <w:r>
            <w:t>25</w:t>
          </w:r>
        </w:p>
        <w:p>
          <w:pPr>
            <w:pStyle w:val="11"/>
            <w:ind w:left="360"/>
            <w:tabs>
              <w:tab w:val="right" w:leader="dot" w:pos="9026"/>
            </w:tabs>
            <w:spacing w:before="120" w:after="60"/>
          </w:pPr>
          <w:r>
            <w:t>14.2  Wiederholung: RetryPolicy und ORA-Codes</w:t>
          </w:r>
          <w:r>
            <w:tab/>
          </w:r>
          <w:r>
            <w:t>25</w:t>
          </w:r>
        </w:p>
        <w:p>
          <w:pPr>
            <w:pStyle w:val="11"/>
            <w:ind w:left="360"/>
            <w:tabs>
              <w:tab w:val="right" w:leader="dot" w:pos="9026"/>
            </w:tabs>
            <w:spacing w:before="120" w:after="60"/>
          </w:pPr>
          <w:r>
            <w:t>14.3  Deadline und Wachhund</w:t>
          </w:r>
          <w:r>
            <w:tab/>
          </w:r>
          <w:r>
            <w:t>26</w:t>
          </w:r>
        </w:p>
        <w:p>
          <w:pPr>
            <w:pStyle w:val="11"/>
            <w:ind w:left="360"/>
            <w:tabs>
              <w:tab w:val="right" w:leader="dot" w:pos="9026"/>
            </w:tabs>
            <w:spacing w:before="120" w:after="60"/>
          </w:pPr>
          <w:r>
            <w:t>14.4  Verbindungspools</w:t>
          </w:r>
          <w:r>
            <w:tab/>
          </w:r>
          <w:r>
            <w:t>26</w:t>
          </w:r>
        </w:p>
        <w:p>
          <w:pPr>
            <w:pStyle w:val="11"/>
            <w:ind w:left="360"/>
            <w:tabs>
              <w:tab w:val="right" w:leader="dot" w:pos="9026"/>
            </w:tabs>
            <w:spacing w:before="120" w:after="60"/>
          </w:pPr>
          <w:r>
            <w:t>14.5  Audit-Log und Monitoring</w:t>
          </w:r>
          <w:r>
            <w:tab/>
          </w:r>
          <w:r>
            <w:t>27</w:t>
          </w:r>
        </w:p>
        <w:p>
          <w:pPr>
            <w:pStyle w:val="9"/>
            <w:tabs>
              <w:tab w:val="right" w:leader="dot" w:pos="9026"/>
            </w:tabs>
            <w:spacing w:before="120" w:after="60"/>
          </w:pPr>
          <w:r>
            <w:t>15  Saga-Muster, Journal und Wiederanlauf</w:t>
          </w:r>
          <w:r>
            <w:tab/>
          </w:r>
          <w:r>
            <w:t>27</w:t>
          </w:r>
        </w:p>
        <w:p>
          <w:pPr>
            <w:pStyle w:val="11"/>
            <w:ind w:left="360"/>
            <w:tabs>
              <w:tab w:val="right" w:leader="dot" w:pos="9026"/>
            </w:tabs>
            <w:spacing w:before="120" w:after="60"/>
          </w:pPr>
          <w:r>
            <w:t>15.1  Warum kein großes Rollback</w:t>
          </w:r>
          <w:r>
            <w:tab/>
          </w:r>
          <w:r>
            <w:t>27</w:t>
          </w:r>
        </w:p>
        <w:p>
          <w:pPr>
            <w:pStyle w:val="11"/>
            <w:ind w:left="360"/>
            <w:tabs>
              <w:tab w:val="right" w:leader="dot" w:pos="9026"/>
            </w:tabs>
            <w:spacing w:before="120" w:after="60"/>
          </w:pPr>
          <w:r>
            <w:t>15.2  Die vier Schritte der Antrags-Saga</w:t>
          </w:r>
          <w:r>
            <w:tab/>
          </w:r>
          <w:r>
            <w:t>27</w:t>
          </w:r>
        </w:p>
        <w:p>
          <w:pPr>
            <w:pStyle w:val="11"/>
            <w:ind w:left="360"/>
            <w:tabs>
              <w:tab w:val="right" w:leader="dot" w:pos="9026"/>
            </w:tabs>
            <w:spacing w:before="120" w:after="60"/>
          </w:pPr>
          <w:r>
            <w:t>15.3  Journal-Tabellen und Zustände</w:t>
          </w:r>
          <w:r>
            <w:tab/>
          </w:r>
          <w:r>
            <w:t>28</w:t>
          </w:r>
        </w:p>
        <w:p>
          <w:pPr>
            <w:pStyle w:val="11"/>
            <w:ind w:left="360"/>
            <w:tabs>
              <w:tab w:val="right" w:leader="dot" w:pos="9026"/>
            </w:tabs>
            <w:spacing w:before="120" w:after="60"/>
          </w:pPr>
          <w:r>
            <w:t>15.4  Wiederanlauf (recover)</w:t>
          </w:r>
          <w:r>
            <w:tab/>
          </w:r>
          <w:r>
            <w:t>28</w:t>
          </w:r>
        </w:p>
        <w:p>
          <w:pPr>
            <w:pStyle w:val="9"/>
            <w:tabs>
              <w:tab w:val="right" w:leader="dot" w:pos="9026"/>
            </w:tabs>
            <w:spacing w:before="120" w:after="60"/>
          </w:pPr>
          <w:r>
            <w:t>16  Datenmodell und Persistenz</w:t>
          </w:r>
          <w:r>
            <w:tab/>
          </w:r>
          <w:r>
            <w:t>28</w:t>
          </w:r>
        </w:p>
        <w:p>
          <w:pPr>
            <w:pStyle w:val="11"/>
            <w:ind w:left="360"/>
            <w:tabs>
              <w:tab w:val="right" w:leader="dot" w:pos="9026"/>
            </w:tabs>
            <w:spacing w:before="120" w:after="60"/>
          </w:pPr>
          <w:r>
            <w:t>16.1  Fachschema</w:t>
          </w:r>
          <w:r>
            <w:tab/>
          </w:r>
          <w:r>
            <w:t>29</w:t>
          </w:r>
        </w:p>
        <w:p>
          <w:pPr>
            <w:pStyle w:val="11"/>
            <w:ind w:left="360"/>
            <w:tabs>
              <w:tab w:val="right" w:leader="dot" w:pos="9026"/>
            </w:tabs>
            <w:spacing w:before="120" w:after="60"/>
          </w:pPr>
          <w:r>
            <w:t>16.2  Optimistisches Locking mit VERSION-Spalten und Triggern</w:t>
          </w:r>
          <w:r>
            <w:tab/>
          </w:r>
          <w:r>
            <w:t>29</w:t>
          </w:r>
        </w:p>
        <w:p>
          <w:pPr>
            <w:pStyle w:val="11"/>
            <w:ind w:left="360"/>
            <w:tabs>
              <w:tab w:val="right" w:leader="dot" w:pos="9026"/>
            </w:tabs>
            <w:spacing w:before="120" w:after="60"/>
          </w:pPr>
          <w:r>
            <w:t>16.3  Sperrverhalten im kritischen Buchungsweg</w:t>
          </w:r>
          <w:r>
            <w:tab/>
          </w:r>
          <w:r>
            <w:t>29</w:t>
          </w:r>
        </w:p>
        <w:p>
          <w:pPr>
            <w:pStyle w:val="11"/>
            <w:ind w:left="360"/>
            <w:tabs>
              <w:tab w:val="right" w:leader="dot" w:pos="9026"/>
            </w:tabs>
            <w:spacing w:before="120" w:after="60"/>
          </w:pPr>
          <w:r>
            <w:t>16.4  Saga-Journal-Schema</w:t>
          </w:r>
          <w:r>
            <w:tab/>
          </w:r>
          <w:r>
            <w:t>29</w:t>
          </w:r>
        </w:p>
        <w:p>
          <w:pPr>
            <w:pStyle w:val="9"/>
            <w:tabs>
              <w:tab w:val="right" w:leader="dot" w:pos="9026"/>
            </w:tabs>
            <w:spacing w:before="120" w:after="60"/>
          </w:pPr>
          <w:r>
            <w:t>17  Der kritische Buchungsweg im Detail</w:t>
          </w:r>
          <w:r>
            <w:tab/>
          </w:r>
          <w:r>
            <w:t>30</w:t>
          </w:r>
        </w:p>
        <w:p>
          <w:pPr>
            <w:pStyle w:val="9"/>
            <w:tabs>
              <w:tab w:val="right" w:leader="dot" w:pos="9026"/>
            </w:tabs>
            <w:spacing w:before="120" w:after="60"/>
          </w:pPr>
          <w:r>
            <w:t>18  Sicherheit: Anmeldung, Rollen und SEPA</w:t>
          </w:r>
          <w:r>
            <w:tab/>
          </w:r>
          <w:r>
            <w:t>31</w:t>
          </w:r>
        </w:p>
        <w:p>
          <w:pPr>
            <w:pStyle w:val="11"/>
            <w:ind w:left="360"/>
            <w:tabs>
              <w:tab w:val="right" w:leader="dot" w:pos="9026"/>
            </w:tabs>
            <w:spacing w:before="120" w:after="60"/>
          </w:pPr>
          <w:r>
            <w:t>18.1  Sitzungen und Token</w:t>
          </w:r>
          <w:r>
            <w:tab/>
          </w:r>
          <w:r>
            <w:t>31</w:t>
          </w:r>
        </w:p>
        <w:p>
          <w:pPr>
            <w:pStyle w:val="11"/>
            <w:ind w:left="360"/>
            <w:tabs>
              <w:tab w:val="right" w:leader="dot" w:pos="9026"/>
            </w:tabs>
            <w:spacing w:before="120" w:after="60"/>
          </w:pPr>
          <w:r>
            <w:t>18.2  Serverseitige Berechtigungsprüfung</w:t>
          </w:r>
          <w:r>
            <w:tab/>
          </w:r>
          <w:r>
            <w:t>32</w:t>
          </w:r>
        </w:p>
        <w:p>
          <w:pPr>
            <w:pStyle w:val="11"/>
            <w:ind w:left="360"/>
            <w:tabs>
              <w:tab w:val="right" w:leader="dot" w:pos="9026"/>
            </w:tabs>
            <w:spacing w:before="120" w:after="60"/>
          </w:pPr>
          <w:r>
            <w:t>18.3  SEPA-Validierung nach ISO 13616</w:t>
          </w:r>
          <w:r>
            <w:tab/>
          </w:r>
          <w:r>
            <w:t>32</w:t>
          </w:r>
        </w:p>
        <w:p>
          <w:pPr>
            <w:pStyle w:val="9"/>
            <w:tabs>
              <w:tab w:val="right" w:leader="dot" w:pos="9026"/>
            </w:tabs>
            <w:spacing w:before="120" w:after="60"/>
          </w:pPr>
          <w:r>
            <w:t>19  Konfiguration, Start und Qualitätssicherung</w:t>
          </w:r>
          <w:r>
            <w:tab/>
          </w:r>
          <w:r>
            <w:t>33</w:t>
          </w:r>
        </w:p>
        <w:p>
          <w:pPr>
            <w:pStyle w:val="11"/>
            <w:ind w:left="360"/>
            <w:tabs>
              <w:tab w:val="right" w:leader="dot" w:pos="9026"/>
            </w:tabs>
            <w:spacing w:before="120" w:after="60"/>
          </w:pPr>
          <w:r>
            <w:t>19.1  Externe Konfiguration (12-Factor)</w:t>
          </w:r>
          <w:r>
            <w:tab/>
          </w:r>
          <w:r>
            <w:t>33</w:t>
          </w:r>
        </w:p>
        <w:p>
          <w:pPr>
            <w:pStyle w:val="11"/>
            <w:ind w:left="360"/>
            <w:tabs>
              <w:tab w:val="right" w:leader="dot" w:pos="9026"/>
            </w:tabs>
            <w:spacing w:before="120" w:after="60"/>
          </w:pPr>
          <w:r>
            <w:t>19.2  Start und Wiederanlauf</w:t>
          </w:r>
          <w:r>
            <w:tab/>
          </w:r>
          <w:r>
            <w:t>33</w:t>
          </w:r>
        </w:p>
        <w:p>
          <w:pPr>
            <w:pStyle w:val="11"/>
            <w:ind w:left="360"/>
            <w:tabs>
              <w:tab w:val="right" w:leader="dot" w:pos="9026"/>
            </w:tabs>
            <w:spacing w:before="120" w:after="60"/>
          </w:pPr>
          <w:r>
            <w:t>19.3  Qualitätssicherung</w:t>
          </w:r>
          <w:r>
            <w:tab/>
          </w:r>
          <w:r>
            <w:t>33</w:t>
          </w:r>
        </w:p>
        <w:p>
          <w:pPr>
            <w:pStyle w:val="9"/>
            <w:tabs>
              <w:tab w:val="right" w:leader="dot" w:pos="9026"/>
            </w:tabs>
            <w:spacing w:before="120" w:after="60"/>
          </w:pPr>
          <w:r>
            <w:t>20  API-Referenz</w:t>
          </w:r>
          <w:r>
            <w:tab/>
          </w:r>
          <w:r>
            <w:t>34</w:t>
          </w:r>
        </w:p>
        <w:p>
          <w:pPr>
            <w:pStyle w:val="9"/>
            <w:tabs>
              <w:tab w:val="right" w:leader="dot" w:pos="9026"/>
            </w:tabs>
            <w:spacing w:before="120" w:after="60"/>
          </w:pPr>
          <w:r>
            <w:t>Glossar</w:t>
          </w:r>
          <w:r>
            <w:tab/>
          </w:r>
          <w:r>
            <w:t>34</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Times New Roman"/>
          <w:i/>
          <w:iCs/>
          <w:color w:val="888888"/>
          <w:sz w:val="18"/>
          <w:szCs w:val="18"/>
        </w:rPr>
        <w:t xml:space="preserve">Hinweis: Dieses Inhaltsverzeichnis wird über Feldcodes erzeugt. Nach Änderungen bitte mit Rechtsklick „Felder aktualisieren“ wählen.</w:t>
      </w:r>
    </w:p>
    <w:p>
      <w:pPr>
        <w:pBdr>
          <w:left w:val="single" w:color="529286" w:sz="24" w:space="16"/>
        </w:pBdr>
        <w:spacing w:after="120" w:before="3200"/>
        <w:ind w:left="240"/>
        <w:jc w:val="left"/>
      </w:pPr>
      <w:r>
        <w:rPr>
          <w:rFonts w:ascii="Times New Roman" w:eastAsia="Times New Roman"/>
          <w:b/>
          <w:bCs/>
          <w:color w:val="529286"/>
          <w:sz w:val="26"/>
          <w:szCs w:val="26"/>
        </w:rPr>
        <w:t xml:space="preserve">TEIL I</w:t>
      </w:r>
    </w:p>
    <w:p>
      <w:pPr>
        <w:pBdr>
          <w:left w:val="single" w:color="529286" w:sz="24" w:space="16"/>
        </w:pBdr>
        <w:spacing w:after="200" w:line="700" w:lineRule="atLeast"/>
        <w:ind w:left="240"/>
      </w:pPr>
      <w:r>
        <w:rPr>
          <w:rFonts w:ascii="Times New Roman" w:eastAsia="Times New Roman"/>
          <w:b/>
          <w:bCs/>
          <w:color w:val="0B1C2C"/>
          <w:sz w:val="52"/>
          <w:szCs w:val="52"/>
        </w:rPr>
        <w:t xml:space="preserve">Anwenderdokumentation</w:t>
      </w:r>
    </w:p>
    <w:p>
      <w:pPr>
        <w:ind w:left="240"/>
      </w:pPr>
      <w:r>
        <w:rPr>
          <w:rFonts w:ascii="Times New Roman" w:eastAsia="Times New Roman"/>
          <w:i/>
          <w:iCs/>
          <w:color w:val="5B6B7D"/>
          <w:sz w:val="24"/>
          <w:szCs w:val="24"/>
        </w:rPr>
        <w:t xml:space="preserve">Die Fachanwendung aus der Sicht der Sachbearbeitung: Anmeldung, Fallbearbeitung, Zahlbarmachung, Bescheid und Betrieb</w:t>
      </w:r>
      <w:r>
        <w:br w:type="page"/>
      </w:r>
    </w:p>
    <w:p>
      <w:pPr>
        <w:pStyle w:val="Heading1"/>
        <w:keepNext/>
        <w:spacing w:after="200" w:before="360" w:line="380" w:lineRule="atLeast"/>
      </w:pPr>
      <w:bookmarkStart w:name="_Toc1" w:id="1"/>
      <w:r>
        <w:rPr>
          <w:rFonts w:ascii="Times New Roman" w:eastAsia="Times New Roman"/>
          <w:b/>
          <w:bCs/>
          <w:color w:val="0B1C2C"/>
          <w:sz w:val="32"/>
          <w:szCs w:val="32"/>
        </w:rPr>
        <w:t xml:space="preserve">1  Einleitung</w:t>
      </w:r>
      <w:bookmarkEnd w:id="1"/>
    </w:p>
    <w:p>
      <w:pPr>
        <w:pStyle w:val="Heading2"/>
        <w:keepNext/>
        <w:spacing w:after="140" w:before="280" w:line="340" w:lineRule="atLeast"/>
      </w:pPr>
      <w:bookmarkStart w:name="_Toc2" w:id="2"/>
      <w:r>
        <w:rPr>
          <w:rFonts w:ascii="Times New Roman" w:eastAsia="Times New Roman"/>
          <w:b/>
          <w:bCs/>
          <w:color w:val="0B1C2C"/>
          <w:sz w:val="27"/>
          <w:szCs w:val="27"/>
        </w:rPr>
        <w:t xml:space="preserve">1.1  Zweck dieses Handbuchs</w:t>
      </w:r>
      <w:bookmarkEnd w:id="2"/>
    </w:p>
    <w:p>
      <w:pPr>
        <w:spacing w:after="120" w:line="312"/>
        <w:jc w:val="both"/>
      </w:pPr>
      <w:r>
        <w:rPr>
          <w:rFonts w:ascii="Times New Roman" w:eastAsia="Times New Roman"/>
          <w:b w:val="false"/>
          <w:bCs w:val="false"/>
          <w:i w:val="false"/>
          <w:iCs w:val="false"/>
          <w:color w:val="000000"/>
          <w:sz w:val="22"/>
          <w:szCs w:val="22"/>
        </w:rPr>
        <w:t xml:space="preserve">Dieses Benutzerhandbuch beschreibt die Fachanwendung SDN.sozial Leistungsmanagement Grundsicherung (kurz: SDN.sozial LMG) in allen Teilen, die für den Arbeitsalltag relevant sind. Es richtet sich in Teil I an Sachbearbeiterinnen und Sachbearbeiter sowie Administratorinnen und Administratoren der Sozialverwaltung, die mit dem Modul Grundsicherungsleistungen im Alter und bei Erwerbsminderung nach dem Zwölften Buch Sozialgesetzbuch (SGB XII) bearbeiten. Teil II wendet sich an technisch interessierte Leserinnen und Leser: Er erklärt die darunterliegende eigene Transaktionssteuerung, ihre Bausteine und die Art und Weise, wie die Fachfunktionen darauf realisiert sind.</w:t>
      </w:r>
    </w:p>
    <w:p>
      <w:pPr>
        <w:spacing w:after="120" w:line="312"/>
        <w:jc w:val="both"/>
      </w:pPr>
      <w:r>
        <w:rPr>
          <w:rFonts w:ascii="Times New Roman" w:eastAsia="Times New Roman"/>
          <w:b w:val="false"/>
          <w:bCs w:val="false"/>
          <w:i w:val="false"/>
          <w:iCs w:val="false"/>
          <w:color w:val="000000"/>
          <w:sz w:val="22"/>
          <w:szCs w:val="22"/>
        </w:rPr>
        <w:t xml:space="preserve">Das Handbuch verbindet beide Perspektiven bewusst in einem Dokument: Wer Leistungen sachbearbeitet, versteht nach der Lektüre von Teil I, welche fachlichen Regeln das System durchsetzt und warum Meldungen wie „KONKURRENZ“ oder „KEIN_ANSPRUCH“ auftreten. Wer die Anwendung betreibt oder weiterentwickelt, findet in Teil II die Begründung der technischen Entscheidungen bis hinunter zu den Datenbank-Tabellen und den Fehlerbehandlungsstrategien.</w:t>
      </w:r>
    </w:p>
    <w:p>
      <w:pPr>
        <w:pStyle w:val="Heading2"/>
        <w:keepNext/>
        <w:spacing w:after="140" w:before="280" w:line="340" w:lineRule="atLeast"/>
      </w:pPr>
      <w:bookmarkStart w:name="_Toc3" w:id="3"/>
      <w:r>
        <w:rPr>
          <w:rFonts w:ascii="Times New Roman" w:eastAsia="Times New Roman"/>
          <w:b/>
          <w:bCs/>
          <w:color w:val="0B1C2C"/>
          <w:sz w:val="27"/>
          <w:szCs w:val="27"/>
        </w:rPr>
        <w:t xml:space="preserve">1.2  Das System in einem Satz</w:t>
      </w:r>
      <w:bookmarkEnd w:id="3"/>
    </w:p>
    <w:p>
      <w:pPr>
        <w:spacing w:after="120" w:line="312"/>
        <w:jc w:val="both"/>
      </w:pPr>
      <w:r>
        <w:rPr>
          <w:rFonts w:ascii="Times New Roman" w:eastAsia="Times New Roman"/>
          <w:b w:val="false"/>
          <w:bCs w:val="false"/>
          <w:i w:val="false"/>
          <w:iCs w:val="false"/>
          <w:color w:val="000000"/>
          <w:sz w:val="22"/>
          <w:szCs w:val="22"/>
        </w:rPr>
        <w:t xml:space="preserve">SDN.sozial LMG ist eine Web-Anwendung, mit der Bedarfsgemeinschaften erfasst, der monatliche Leistungsanspruch nach SGB XII rechnerisch ermittelt, der Anspruch durch einen Bewilligungsbescheid nach § 37 SGB X verbindlich gemacht und die Auszahlung mit Vier-Augen-Kontrolle, revisionssicherem Journal und automatischer Kassenlauf-Übergabe angeordnet wird. Alle schreibenden Vorgänge laufen über eine eigens entwickelte Transaktionssteuerung, die die Datenbank-Transaktionen von Oracle steuert und absichert.</w:t>
      </w:r>
    </w:p>
    <w:p>
      <w:pPr>
        <w:keepNext/>
        <w:spacing w:after="60" w:before="160"/>
        <w:jc w:val="center"/>
      </w:pPr>
      <w:r>
        <w:drawing>
          <wp:inline distT="0" distB="0" distL="0" distR="0">
            <wp:extent cx="53530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53050" cy="35242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 — Bausteine und Schichten der Lösung — vom Browser bis zur Oracle-Datenbank</w:t>
      </w:r>
    </w:p>
    <w:p>
      <w:pPr>
        <w:pStyle w:val="Heading2"/>
        <w:keepNext/>
        <w:spacing w:after="140" w:before="280" w:line="340" w:lineRule="atLeast"/>
      </w:pPr>
      <w:bookmarkStart w:name="_Toc4" w:id="4"/>
      <w:r>
        <w:rPr>
          <w:rFonts w:ascii="Times New Roman" w:eastAsia="Times New Roman"/>
          <w:b/>
          <w:bCs/>
          <w:color w:val="0B1C2C"/>
          <w:sz w:val="27"/>
          <w:szCs w:val="27"/>
        </w:rPr>
        <w:t xml:space="preserve">1.3  Zielgruppen und Lesepfad</w:t>
      </w:r>
      <w:bookmarkEnd w:id="4"/>
    </w:p>
    <w:p>
      <w:pPr>
        <w:keepNext/>
        <w:spacing w:after="80" w:before="160"/>
      </w:pPr>
      <w:r>
        <w:rPr>
          <w:rFonts w:ascii="Times New Roman" w:eastAsia="Times New Roman"/>
          <w:b/>
          <w:bCs/>
          <w:color w:val="5B6B7D"/>
          <w:sz w:val="20"/>
          <w:szCs w:val="20"/>
        </w:rPr>
        <w:t xml:space="preserve">Tabelle 1 — Zielgruppen und empfohlene Lesepfade</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461"/>
        <w:gridCol w:w="2636"/>
        <w:gridCol w:w="3691"/>
      </w:tblGrid>
      <w:tr>
        <w:trPr>
          <w:cantSplit/>
          <w:tblHeader/>
        </w:trPr>
        <w:tc>
          <w:tcPr>
            <w:tcW w:type="pct" w:w="1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Zielgruppe</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Relevante Kapitel</w:t>
            </w:r>
          </w:p>
        </w:tc>
        <w:tc>
          <w:tcPr>
            <w:tcW w:type="pct" w:w="2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Ziel des Lesens</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Sachbearbeiter/in Grundsicherung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2 bis 9 und 12</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Vorgänge sicher bearbeiten, Fehlermeldungen einordnen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Teamleitung / Administrator</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3, 7, 10 bis 12, 19</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Rollen, Freigaben, Kassenlauf und Wiederanlauf beherrschen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Technische Beratung / Entwicklung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Teil II (Kapitel 13 bis 20)</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Architektur, Transaktionssteuerung und Datenmodell verstehen</w:t>
            </w:r>
          </w:p>
        </w:tc>
      </w:tr>
      <w:tr>
        <w:trPr>
          <w:cantSplit/>
        </w:trPr>
        <w:tc>
          <w:tcPr>
            <w:tcW w:type="pct" w:w="1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Betrieb / IT-Verwaltung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Kapitel 11 und 19</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Konfiguration, Start, Monitoring und Wiederanlauf</w:t>
            </w:r>
          </w:p>
        </w:tc>
      </w:tr>
    </w:tbl>
    <w:p>
      <w:pPr>
        <w:pStyle w:val="Heading2"/>
        <w:keepNext/>
        <w:spacing w:after="140" w:before="280" w:line="340" w:lineRule="atLeast"/>
      </w:pPr>
      <w:bookmarkStart w:name="_Toc5" w:id="5"/>
      <w:r>
        <w:rPr>
          <w:rFonts w:ascii="Times New Roman" w:eastAsia="Times New Roman"/>
          <w:b/>
          <w:bCs/>
          <w:color w:val="0B1C2C"/>
          <w:sz w:val="27"/>
          <w:szCs w:val="27"/>
        </w:rPr>
        <w:t xml:space="preserve">1.4  Konventionen dieses Handbuchs</w:t>
      </w:r>
      <w:bookmarkEnd w:id="5"/>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Fachbegriffe wie </w:t>
      </w:r>
      <w:r>
        <w:rPr>
          <w:rFonts w:ascii="Times New Roman" w:eastAsia="Times New Roman"/>
          <w:b/>
          <w:bCs/>
          <w:i w:val="false"/>
          <w:iCs w:val="false"/>
          <w:color w:val="000000"/>
          <w:sz w:val="22"/>
          <w:szCs w:val="22"/>
        </w:rPr>
        <w:t xml:space="preserve">Bedarfsgemeinschaft</w:t>
      </w:r>
      <w:r>
        <w:rPr>
          <w:rFonts w:ascii="Times New Roman" w:eastAsia="Times New Roman"/>
          <w:b w:val="false"/>
          <w:bCs w:val="false"/>
          <w:i w:val="false"/>
          <w:iCs w:val="false"/>
          <w:color w:val="000000"/>
          <w:sz w:val="22"/>
          <w:szCs w:val="22"/>
        </w:rPr>
        <w:t xml:space="preserve"> oder </w:t>
      </w:r>
      <w:r>
        <w:rPr>
          <w:rFonts w:ascii="Times New Roman" w:eastAsia="Times New Roman"/>
          <w:b/>
          <w:bCs/>
          <w:i w:val="false"/>
          <w:iCs w:val="false"/>
          <w:color w:val="000000"/>
          <w:sz w:val="22"/>
          <w:szCs w:val="22"/>
        </w:rPr>
        <w:t xml:space="preserve">SozialFall</w:t>
      </w:r>
      <w:r>
        <w:rPr>
          <w:rFonts w:ascii="Times New Roman" w:eastAsia="Times New Roman"/>
          <w:b w:val="false"/>
          <w:bCs w:val="false"/>
          <w:i w:val="false"/>
          <w:iCs w:val="false"/>
          <w:color w:val="000000"/>
          <w:sz w:val="22"/>
          <w:szCs w:val="22"/>
        </w:rPr>
        <w:t xml:space="preserve"> werden genau so geschrieben, wie sie auch in der Oberfläche und im Datenmodell erscheinen — Bedarfsgemeinschaft ist der Vorgang, SozialFall der Leistungsberechtigte innerhalb dieses Vorgangs.</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Oberflächenelemente stehen in Anführungszeichen, z. B. Schaltfläche „Auszahlung anordnen“ oder Karte „Zahlbarmachung“.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Technische Bezeichner (Tabellen, Klassen, Endpunkte) erscheinen in Nichtproportionalschrift, z. B. TX_SAGA, TxManager, POST /api/auszahlung.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Gesetzeszitate beziehen sich auf SGB XII, sofern nicht ausdrücklich SGB X genannt ist.</w:t>
      </w:r>
    </w:p>
    <w:p>
      <w:pPr>
        <w:spacing w:after="120" w:line="312"/>
        <w:jc w:val="both"/>
      </w:pPr>
      <w:r>
        <w:rPr>
          <w:rFonts w:ascii="Times New Roman" w:eastAsia="Times New Roman"/>
          <w:b w:val="false"/>
          <w:bCs w:val="false"/>
          <w:i w:val="false"/>
          <w:iCs w:val="false"/>
          <w:color w:val="000000"/>
          <w:sz w:val="22"/>
          <w:szCs w:val="22"/>
        </w:rPr>
        <w:t xml:space="preserve">Alle Beträge, Prozentsätze und Fristen in diesem Handbuch entsprechen dem </w:t>
      </w:r>
      <w:r>
        <w:rPr>
          <w:rFonts w:ascii="Times New Roman" w:eastAsia="Times New Roman"/>
          <w:b/>
          <w:bCs/>
          <w:i w:val="false"/>
          <w:iCs w:val="false"/>
          <w:color w:val="000000"/>
          <w:sz w:val="22"/>
          <w:szCs w:val="22"/>
        </w:rPr>
        <w:t xml:space="preserve">Referenzjahr 2026</w:t>
      </w:r>
      <w:r>
        <w:rPr>
          <w:rFonts w:ascii="Times New Roman" w:eastAsia="Times New Roman"/>
          <w:b w:val="false"/>
          <w:bCs w:val="false"/>
          <w:i w:val="false"/>
          <w:iCs w:val="false"/>
          <w:color w:val="000000"/>
          <w:sz w:val="22"/>
          <w:szCs w:val="22"/>
        </w:rPr>
        <w:t xml:space="preserve"> und dem Stand der Software-Version 0.4.0 (Oktober 2026).</w:t>
      </w:r>
    </w:p>
    <w:p>
      <w:pPr>
        <w:pStyle w:val="Heading2"/>
        <w:keepNext/>
        <w:spacing w:after="140" w:before="280" w:line="340" w:lineRule="atLeast"/>
      </w:pPr>
      <w:bookmarkStart w:name="_Toc6" w:id="6"/>
      <w:r>
        <w:rPr>
          <w:rFonts w:ascii="Times New Roman" w:eastAsia="Times New Roman"/>
          <w:b/>
          <w:bCs/>
          <w:color w:val="0B1C2C"/>
          <w:sz w:val="27"/>
          <w:szCs w:val="27"/>
        </w:rPr>
        <w:t xml:space="preserve">1.5  Demo-Zugänge</w:t>
      </w:r>
      <w:bookmarkEnd w:id="6"/>
    </w:p>
    <w:p>
      <w:pPr>
        <w:spacing w:after="120" w:line="312"/>
        <w:jc w:val="both"/>
      </w:pPr>
      <w:r>
        <w:rPr>
          <w:rFonts w:ascii="Times New Roman" w:eastAsia="Times New Roman"/>
          <w:b w:val="false"/>
          <w:bCs w:val="false"/>
          <w:i w:val="false"/>
          <w:iCs w:val="false"/>
          <w:color w:val="000000"/>
          <w:sz w:val="22"/>
          <w:szCs w:val="22"/>
        </w:rPr>
        <w:t xml:space="preserve">Die Auslieferung enthält drei vorkonfigurierte Demo-Konten (Kapitel 3). Für eine Produktivnutzung werden die Konten über die Umgebungsvariable LMG_BENUTZER beziehungsweise den Konfigurationsschlüssel des Servers gesetzt (Kapitel 19).</w:t>
      </w:r>
    </w:p>
    <w:p>
      <w:pPr>
        <w:keepNext/>
        <w:spacing w:after="80" w:before="160"/>
      </w:pPr>
      <w:r>
        <w:rPr>
          <w:rFonts w:ascii="Times New Roman" w:eastAsia="Times New Roman"/>
          <w:b/>
          <w:bCs/>
          <w:color w:val="5B6B7D"/>
          <w:sz w:val="20"/>
          <w:szCs w:val="20"/>
        </w:rPr>
        <w:t xml:space="preserve">Tabelle 2 — Vorkonfigurierte Demo-Konten</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406"/>
        <w:gridCol w:w="1230"/>
        <w:gridCol w:w="1933"/>
        <w:gridCol w:w="4218"/>
      </w:tblGrid>
      <w:tr>
        <w:trPr>
          <w:cantSplit/>
          <w:tblHeader/>
        </w:trPr>
        <w:tc>
          <w:tcPr>
            <w:tcW w:type="pct" w:w="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Kennung</w:t>
            </w:r>
          </w:p>
        </w:tc>
        <w:tc>
          <w:tcPr>
            <w:tcW w:type="pct" w:w="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Passwort</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Rolle</w:t>
            </w:r>
          </w:p>
        </w:tc>
        <w:tc>
          <w:tcPr>
            <w:tcW w:type="pct" w:w="2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Typische Aufgaben</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admin-01</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Systemstatus, Kassenlauf, Storno bereit-Buchungen, Wiederanlauf</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sb-01</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sb-01</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Vorgänge bearbeiten, Auszahlungen anordnen, Freigaben</w:t>
            </w:r>
          </w:p>
        </w:tc>
      </w:tr>
      <w:tr>
        <w:trPr>
          <w:cantSplit/>
        </w:trPr>
        <w:tc>
          <w:tcPr>
            <w:tcW w:type="pct" w:w="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sb-02</w:t>
            </w:r>
          </w:p>
        </w:tc>
        <w:tc>
          <w:tcPr>
            <w:tcW w:type="pct" w:w="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sb-02</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sachbearbeiter</w:t>
            </w:r>
          </w:p>
        </w:tc>
        <w:tc>
          <w:tcPr>
            <w:tcW w:type="pct" w:w="2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wie sb-01 — zweite Kennung für das Vier-Augen-Prinzip</w:t>
            </w:r>
          </w:p>
        </w:tc>
      </w:tr>
    </w:tbl>
    <w:p>
      <w:pPr>
        <w:pStyle w:val="Heading1"/>
        <w:keepNext/>
        <w:spacing w:after="200" w:before="360" w:line="380" w:lineRule="atLeast"/>
      </w:pPr>
      <w:bookmarkStart w:name="_Toc7" w:id="7"/>
      <w:r>
        <w:rPr>
          <w:rFonts w:ascii="Times New Roman" w:eastAsia="Times New Roman"/>
          <w:b/>
          <w:bCs/>
          <w:color w:val="0B1C2C"/>
          <w:sz w:val="32"/>
          <w:szCs w:val="32"/>
        </w:rPr>
        <w:t xml:space="preserve">2  Fachliche und rechtliche Grundlagen (SGB XII)</w:t>
      </w:r>
      <w:bookmarkEnd w:id="7"/>
    </w:p>
    <w:p>
      <w:pPr>
        <w:pStyle w:val="Heading2"/>
        <w:keepNext/>
        <w:spacing w:after="140" w:before="280" w:line="340" w:lineRule="atLeast"/>
      </w:pPr>
      <w:bookmarkStart w:name="_Toc8" w:id="8"/>
      <w:r>
        <w:rPr>
          <w:rFonts w:ascii="Times New Roman" w:eastAsia="Times New Roman"/>
          <w:b/>
          <w:bCs/>
          <w:color w:val="0B1C2C"/>
          <w:sz w:val="27"/>
          <w:szCs w:val="27"/>
        </w:rPr>
        <w:t xml:space="preserve">2.1  Leistungen der Grundsicherung im Alter und bei Erwerbsminderung</w:t>
      </w:r>
      <w:bookmarkEnd w:id="8"/>
    </w:p>
    <w:p>
      <w:pPr>
        <w:spacing w:after="120" w:line="312"/>
        <w:jc w:val="both"/>
      </w:pPr>
      <w:r>
        <w:rPr>
          <w:rFonts w:ascii="Times New Roman" w:eastAsia="Times New Roman"/>
          <w:b w:val="false"/>
          <w:bCs w:val="false"/>
          <w:i w:val="false"/>
          <w:iCs w:val="false"/>
          <w:color w:val="000000"/>
          <w:sz w:val="22"/>
          <w:szCs w:val="22"/>
        </w:rPr>
        <w:t xml:space="preserve">Die Grundsicherung im Alter und bei Erwerbsminderung ist in den §§ 41 bis 46b SGB XII geregelt. Sie steht Personen zu, die die Altersgrenze erreicht haben oder dauerhaft voll erwerbsgemindert sind und ihren notwendigen Lebensunterhalt nicht aus eigenen Mitteln und Einkünften bestreiten können. Anders als beim Arbeitslosengeld II steht diese Leistung nicht zur Arbeitsmarktvermittlung, sondern zur existenzsichernden Sicherung des Lebensunterhalts. Der Anspruch umfasst den Regelbedarf zum Leben, die Kosten der Unterkunft und Heizung sowie Mehrbedarfe in besonderen Lebenslagen; Einkommen und Vermögen werden nach §§ 82 und 90 SGB XII angerechnet.</w:t>
      </w:r>
    </w:p>
    <w:p>
      <w:pPr>
        <w:spacing w:after="120" w:line="312"/>
        <w:jc w:val="both"/>
      </w:pPr>
      <w:r>
        <w:rPr>
          <w:rFonts w:ascii="Times New Roman" w:eastAsia="Times New Roman"/>
          <w:b w:val="false"/>
          <w:bCs w:val="false"/>
          <w:i w:val="false"/>
          <w:iCs w:val="false"/>
          <w:color w:val="000000"/>
          <w:sz w:val="22"/>
          <w:szCs w:val="22"/>
        </w:rPr>
        <w:t xml:space="preserve">SDN.sozial LMG bildet genau diese Prüfung rechnerisch ab: Die Anwendung ermittelt je Leistungsberechtigtem (SozialFall) den Bedarf, summiert ihn auf die Bedarfsgemeinschaft, rechnet das zu berücksichtigende Einkommen gegen und weist den verbleibenden Zahlbetrag aus. Die rechtliche Verbindlichkeit erhält das Ergebnis durch den Bewilligungsbescheid nach § 37 SGB X (Kapitel 8).</w:t>
      </w:r>
    </w:p>
    <w:p>
      <w:pPr>
        <w:pStyle w:val="Heading2"/>
        <w:keepNext/>
        <w:spacing w:after="140" w:before="280" w:line="340" w:lineRule="atLeast"/>
      </w:pPr>
      <w:bookmarkStart w:name="_Toc9" w:id="9"/>
      <w:r>
        <w:rPr>
          <w:rFonts w:ascii="Times New Roman" w:eastAsia="Times New Roman"/>
          <w:b/>
          <w:bCs/>
          <w:color w:val="0B1C2C"/>
          <w:sz w:val="27"/>
          <w:szCs w:val="27"/>
        </w:rPr>
        <w:t xml:space="preserve">2.2  Regelbedarfe und Mehrbedarfe</w:t>
      </w:r>
      <w:bookmarkEnd w:id="9"/>
    </w:p>
    <w:p>
      <w:pPr>
        <w:spacing w:after="120" w:line="312"/>
        <w:jc w:val="both"/>
      </w:pPr>
      <w:r>
        <w:rPr>
          <w:rFonts w:ascii="Times New Roman" w:eastAsia="Times New Roman"/>
          <w:b w:val="false"/>
          <w:bCs w:val="false"/>
          <w:i w:val="false"/>
          <w:iCs w:val="false"/>
          <w:color w:val="000000"/>
          <w:sz w:val="22"/>
          <w:szCs w:val="22"/>
        </w:rPr>
        <w:t xml:space="preserve">Der Regelbedarf deckt den Lebensunterhalt mit Nahrung, Kleidung, Körperpflege, Hausrat, Haushaltsenergie (ohne Heizung) und persönlichen Bedürfnissen des Tages. Er ist nach Regelbedarfsstufen (RBS) gestaffelt, die sich nach dem Personenkreis richten. Für das Referenzjahr 2026 sind in der Anwendung alle sechs Stufen hinterlegt:</w:t>
      </w:r>
    </w:p>
    <w:p>
      <w:pPr>
        <w:keepNext/>
        <w:spacing w:after="80" w:before="160"/>
      </w:pPr>
      <w:r>
        <w:rPr>
          <w:rFonts w:ascii="Times New Roman" w:eastAsia="Times New Roman"/>
          <w:b/>
          <w:bCs/>
          <w:color w:val="5B6B7D"/>
          <w:sz w:val="20"/>
          <w:szCs w:val="20"/>
        </w:rPr>
        <w:t xml:space="preserve">Tabelle 3 — Regelbedarfsstufen 2026 (hinterlegte Werte der Anwendung)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055"/>
        <w:gridCol w:w="1758"/>
        <w:gridCol w:w="5976"/>
      </w:tblGrid>
      <w:tr>
        <w:trPr>
          <w:cantSplit/>
          <w:tblHeader/>
        </w:trPr>
        <w:tc>
          <w:tcPr>
            <w:tcW w:type="pct" w:w="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Stufe</w:t>
            </w:r>
          </w:p>
        </w:tc>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Betrag 2026</w:t>
            </w:r>
          </w:p>
        </w:tc>
        <w:tc>
          <w:tcPr>
            <w:tcW w:type="pct" w:w="34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Typischer Personenkreis</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1</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563,00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alleinstehende volljährige Personen (Hauptfall)</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2</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506,00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Ehegatten/Lebenspartner in Bedarfsgemeinschaft</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3</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451,00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volljährige Personen ohne eigenen Haushalt (sonstige BG-Mitglieder)</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4</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471,00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Jugendliche von 14 bis 17 Jahren</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5</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390,00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Kinder von 6 bis 13 Jahren</w:t>
            </w:r>
          </w:p>
        </w:tc>
      </w:tr>
      <w:tr>
        <w:trPr>
          <w:cantSplit/>
        </w:trPr>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 6</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357,00 EUR</w:t>
            </w:r>
          </w:p>
        </w:tc>
        <w:tc>
          <w:tcPr>
            <w:tcW w:type="pct" w:w="34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Kinder bis 5 Jahre</w:t>
            </w:r>
          </w:p>
        </w:tc>
      </w:tr>
    </w:tbl>
    <w:p>
      <w:pPr>
        <w:spacing w:after="120" w:line="312"/>
        <w:jc w:val="both"/>
      </w:pPr>
      <w:r>
        <w:rPr>
          <w:rFonts w:ascii="Times New Roman" w:eastAsia="Times New Roman"/>
          <w:b w:val="false"/>
          <w:bCs w:val="false"/>
          <w:i w:val="false"/>
          <w:iCs w:val="false"/>
          <w:color w:val="000000"/>
          <w:sz w:val="22"/>
          <w:szCs w:val="22"/>
        </w:rPr>
        <w:t xml:space="preserve">Zu dem Regelbedarf treten Mehrbedarfe nach § 30 SGB XII. Die Anwendung unterstützt die beiden automatisierbaren Fallgruppen: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Merkzeichen G (§ 30 Abs. 1 SGB XII): </w:t>
      </w:r>
      <w:r>
        <w:rPr>
          <w:rFonts w:ascii="Times New Roman" w:eastAsia="Times New Roman"/>
          <w:b w:val="false"/>
          <w:bCs w:val="false"/>
          <w:i w:val="false"/>
          <w:iCs w:val="false"/>
          <w:color w:val="000000"/>
          <w:sz w:val="22"/>
          <w:szCs w:val="22"/>
        </w:rPr>
        <w:t xml:space="preserve">17 % des Regelbedarfs für behinderungsbedingte Mehrkosten bei gehinderter Fortbewegung — bei RBS 1 genau 95,71 EUR, bei RBS 2 genau 86,02 EUR.</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Dezentrale Warmwassererzeugung (§ 30 Abs. 7 SGB XII): </w:t>
      </w:r>
      <w:r>
        <w:rPr>
          <w:rFonts w:ascii="Times New Roman" w:eastAsia="Times New Roman"/>
          <w:b w:val="false"/>
          <w:bCs w:val="false"/>
          <w:i w:val="false"/>
          <w:iCs w:val="false"/>
          <w:color w:val="000000"/>
          <w:sz w:val="22"/>
          <w:szCs w:val="22"/>
        </w:rPr>
        <w:t xml:space="preserve">2,3 % des Regelbedarfs, wenn Warmwasser nicht zentral bereitgestellt wird — bei RBS 1 genau 12,95 EUR, bei RBS 2 genau 11,64 EUR.</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Fachliche Sorgfalt</w:t>
            </w:r>
          </w:p>
          <w:p>
            <w:pPr>
              <w:spacing w:line="300"/>
              <w:jc w:val="both"/>
            </w:pPr>
            <w:r>
              <w:rPr>
                <w:rFonts w:ascii="Times New Roman" w:eastAsia="Times New Roman"/>
                <w:color w:val="1F3A4D"/>
                <w:sz w:val="21"/>
                <w:szCs w:val="21"/>
              </w:rPr>
              <w:t xml:space="preserve">Die Anwendung berechnet Mehrbedarfe nur, wenn sie in der SozialFall-Maske ausdrücklich angekreuzt sind. Die Prüfung, ob ein Merkzeichen nachweislich vorliegt oder Warmwasser tatsächlich dezentral erzeugt wird, bleibt Aufgabe der Sachbearbeitung — das System verhindert keine Überprüfung, es rechnet korrekt.</w:t>
            </w:r>
          </w:p>
        </w:tc>
      </w:tr>
    </w:tbl>
    <w:p>
      <w:pPr>
        <w:pStyle w:val="Heading2"/>
        <w:keepNext/>
        <w:spacing w:after="140" w:before="280" w:line="340" w:lineRule="atLeast"/>
      </w:pPr>
      <w:bookmarkStart w:name="_Toc10" w:id="10"/>
      <w:r>
        <w:rPr>
          <w:rFonts w:ascii="Times New Roman" w:eastAsia="Times New Roman"/>
          <w:b/>
          <w:bCs/>
          <w:color w:val="0B1C2C"/>
          <w:sz w:val="27"/>
          <w:szCs w:val="27"/>
        </w:rPr>
        <w:t xml:space="preserve">2.3  Kosten der Unterkunft und Heizung</w:t>
      </w:r>
      <w:bookmarkEnd w:id="10"/>
    </w:p>
    <w:p>
      <w:pPr>
        <w:spacing w:after="120" w:line="312"/>
        <w:jc w:val="both"/>
      </w:pPr>
      <w:r>
        <w:rPr>
          <w:rFonts w:ascii="Times New Roman" w:eastAsia="Times New Roman"/>
          <w:b w:val="false"/>
          <w:bCs w:val="false"/>
          <w:i w:val="false"/>
          <w:iCs w:val="false"/>
          <w:color w:val="000000"/>
          <w:sz w:val="22"/>
          <w:szCs w:val="22"/>
        </w:rPr>
        <w:t xml:space="preserve">Die Kosten der Unterkunft (KdU) nach § 35 SGB XII werden nach der „Dreiteilung“ erfasst: anerkannte Kaltmiete, kalte Betriebskosten und Heizkosten. Die Anwendung erfasst alle drei Beträge je SozialFall und summiert sie bedarfsgemeinschaftsweit. Eine Angemessenheitsprüfung (Ortsüblichkeit der Miete) nimmt das System nicht vor — sie bleibt der Fachprüfung vorbehalten, die erfassten Beträge gelten als anerkannt.</w:t>
      </w:r>
    </w:p>
    <w:p>
      <w:pPr>
        <w:pStyle w:val="Heading2"/>
        <w:keepNext/>
        <w:spacing w:after="140" w:before="280" w:line="340" w:lineRule="atLeast"/>
      </w:pPr>
      <w:bookmarkStart w:name="_Toc11" w:id="11"/>
      <w:r>
        <w:rPr>
          <w:rFonts w:ascii="Times New Roman" w:eastAsia="Times New Roman"/>
          <w:b/>
          <w:bCs/>
          <w:color w:val="0B1C2C"/>
          <w:sz w:val="27"/>
          <w:szCs w:val="27"/>
        </w:rPr>
        <w:t xml:space="preserve">2.4  Einkommensbereinigung nach § 82 SGB XII</w:t>
      </w:r>
      <w:bookmarkEnd w:id="11"/>
    </w:p>
    <w:p>
      <w:pPr>
        <w:spacing w:after="120" w:line="312"/>
        <w:jc w:val="both"/>
      </w:pPr>
      <w:r>
        <w:rPr>
          <w:rFonts w:ascii="Times New Roman" w:eastAsia="Times New Roman"/>
          <w:b w:val="false"/>
          <w:bCs w:val="false"/>
          <w:i w:val="false"/>
          <w:iCs w:val="false"/>
          <w:color w:val="000000"/>
          <w:sz w:val="22"/>
          <w:szCs w:val="22"/>
        </w:rPr>
        <w:t xml:space="preserve">Dem Bedarf wird das Einkommen gegen gerechnet. Die Anwendung behandelt die beiden typischen Einkommensarten der Zielgruppe unterschiedlich: Renteneinkünfte werden voll angerechnet; aus brutto Erwerbseinkommen wird ein Erwerbsfreibetrag abgezogen, der dem Gesetzestext von § 82 Abs. 3 SGB XII folgt: 30 % des Brutto-Erwerbseinkommens, begrenzt auf die Hälfte der Regelbedarfsstufe 1 — im Referenzjahr also höchstens 281,50 EUR. Beispiel: Wer 1.500,00 EUR brutto verdient, behält 281,50 EUR anrechnungsfrei; wer 800,00 EUR verdient, behält 30 % davon, also 240,00 EUR, weil der Betrag unter der Kappungsgrenze liegt.</w:t>
      </w:r>
    </w:p>
    <w:p>
      <w:pPr>
        <w:spacing w:after="120" w:line="312"/>
        <w:jc w:val="both"/>
      </w:pPr>
      <w:r>
        <w:rPr>
          <w:rFonts w:ascii="Times New Roman" w:eastAsia="Times New Roman"/>
          <w:b w:val="false"/>
          <w:bCs w:val="false"/>
          <w:i w:val="false"/>
          <w:iCs w:val="false"/>
          <w:color w:val="000000"/>
          <w:sz w:val="22"/>
          <w:szCs w:val="22"/>
        </w:rPr>
        <w:t xml:space="preserve">Der Zahlbetrag ergibt sich als Gesamtbedarf der Bedarfsgemeinschaft minus anrechenbarem Einkommen. Ist das Ergebnis null oder negativ, besteht kein Leistungsanspruch — die Anwendung meldet in diesem Fall KEIN_ANSPRUCH und lässt keine Auszahlung zu (Abbildung 11).</w:t>
      </w:r>
    </w:p>
    <w:p>
      <w:pPr>
        <w:keepNext/>
        <w:spacing w:after="60" w:before="160"/>
        <w:jc w:val="center"/>
      </w:pPr>
      <w:r>
        <w:drawing>
          <wp:inline distT="0" distB="0" distL="0" distR="0">
            <wp:extent cx="5353050" cy="2800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53050" cy="28003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 — Berechnungsfluss von Regelbedarf, Mehrbedarf, KdU und Einkommen zum Zahlbetrag</w:t>
      </w:r>
    </w:p>
    <w:p>
      <w:pPr>
        <w:pStyle w:val="Heading2"/>
        <w:keepNext/>
        <w:spacing w:after="140" w:before="280" w:line="340" w:lineRule="atLeast"/>
      </w:pPr>
      <w:bookmarkStart w:name="_Toc12" w:id="12"/>
      <w:r>
        <w:rPr>
          <w:rFonts w:ascii="Times New Roman" w:eastAsia="Times New Roman"/>
          <w:b/>
          <w:bCs/>
          <w:color w:val="0B1C2C"/>
          <w:sz w:val="27"/>
          <w:szCs w:val="27"/>
        </w:rPr>
        <w:t xml:space="preserve">2.5  Der Vorgang: Bedarfsgemeinschaft und SozialFall</w:t>
      </w:r>
      <w:bookmarkEnd w:id="12"/>
    </w:p>
    <w:p>
      <w:pPr>
        <w:spacing w:after="120" w:line="312"/>
        <w:jc w:val="both"/>
      </w:pPr>
      <w:r>
        <w:rPr>
          <w:rFonts w:ascii="Times New Roman" w:eastAsia="Times New Roman"/>
          <w:b w:val="false"/>
          <w:bCs w:val="false"/>
          <w:i w:val="false"/>
          <w:iCs w:val="false"/>
          <w:color w:val="000000"/>
          <w:sz w:val="22"/>
          <w:szCs w:val="22"/>
        </w:rPr>
        <w:t xml:space="preserve">Die Anwendung arbeitet mit zwei zentralen Fachbegriffen: Die </w:t>
      </w:r>
      <w:r>
        <w:rPr>
          <w:rFonts w:ascii="Times New Roman" w:eastAsia="Times New Roman"/>
          <w:b/>
          <w:bCs/>
          <w:i w:val="false"/>
          <w:iCs w:val="false"/>
          <w:color w:val="000000"/>
          <w:sz w:val="22"/>
          <w:szCs w:val="22"/>
        </w:rPr>
        <w:t xml:space="preserve">Bedarfsgemeinschaft</w:t>
      </w:r>
      <w:r>
        <w:rPr>
          <w:rFonts w:ascii="Times New Roman" w:eastAsia="Times New Roman"/>
          <w:b w:val="false"/>
          <w:bCs w:val="false"/>
          <w:i w:val="false"/>
          <w:iCs w:val="false"/>
          <w:color w:val="000000"/>
          <w:sz w:val="22"/>
          <w:szCs w:val="22"/>
        </w:rPr>
        <w:t xml:space="preserve"> ist der Vorgang — sie trägt ein eindeutiges Aktenzeichen, eine Hauptperson, ein Restbudget für die laufende Bewilligung und die SEPA-Bankverbindung. Der </w:t>
      </w:r>
      <w:r>
        <w:rPr>
          <w:rFonts w:ascii="Times New Roman" w:eastAsia="Times New Roman"/>
          <w:b/>
          <w:bCs/>
          <w:i w:val="false"/>
          <w:iCs w:val="false"/>
          <w:color w:val="000000"/>
          <w:sz w:val="22"/>
          <w:szCs w:val="22"/>
        </w:rPr>
        <w:t xml:space="preserve">SozialFall</w:t>
      </w:r>
      <w:r>
        <w:rPr>
          <w:rFonts w:ascii="Times New Roman" w:eastAsia="Times New Roman"/>
          <w:b w:val="false"/>
          <w:bCs w:val="false"/>
          <w:i w:val="false"/>
          <w:iCs w:val="false"/>
          <w:color w:val="000000"/>
          <w:sz w:val="22"/>
          <w:szCs w:val="22"/>
        </w:rPr>
        <w:t xml:space="preserve"> ist ein einzelner Leistungsberechtigter innerhalb der Bedarfsgemeinschaft mit seiner Regelbedarfsstufe, seinen Mehrbedarf-Merkzeichen, seinen Unterkunftskosten und seinem Einkommen. Ein Paar in einer gemeinsamen Wohnung ist ein Vorgang mit zwei SozialFällen; der Zahlbetrag wird über beide Fälle summiert und auf die Bedarfsgemeinschaft ausgezahlt.</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Namenskonvention</w:t>
            </w:r>
          </w:p>
          <w:p>
            <w:pPr>
              <w:spacing w:line="300"/>
              <w:jc w:val="both"/>
            </w:pPr>
            <w:r>
              <w:rPr>
                <w:rFonts w:ascii="Times New Roman" w:eastAsia="Times New Roman"/>
                <w:color w:val="1F3A4D"/>
                <w:sz w:val="21"/>
                <w:szCs w:val="21"/>
              </w:rPr>
              <w:t xml:space="preserve">Die Begriffe Bedarfsgemeinschaft und SozialFall durchdringen Oberfläche, Datenmodell und Dokumentation einheitlich (Tabelle SOZIAL_FALL). Wer aus anderen Fachverfahren „Leistungsfall“ oder „BG“ gewohnt ist, findet beides wieder: „BG“ steht in Aktenzeichen wie BG-2026-0001.</w:t>
            </w:r>
          </w:p>
        </w:tc>
      </w:tr>
    </w:tbl>
    <w:p>
      <w:pPr>
        <w:pStyle w:val="Heading1"/>
        <w:keepNext/>
        <w:spacing w:after="200" w:before="360" w:line="380" w:lineRule="atLeast"/>
      </w:pPr>
      <w:bookmarkStart w:name="_Toc13" w:id="13"/>
      <w:r>
        <w:rPr>
          <w:rFonts w:ascii="Times New Roman" w:eastAsia="Times New Roman"/>
          <w:b/>
          <w:bCs/>
          <w:color w:val="0B1C2C"/>
          <w:sz w:val="32"/>
          <w:szCs w:val="32"/>
        </w:rPr>
        <w:t xml:space="preserve">3  Anmeldung und Rollen</w:t>
      </w:r>
      <w:bookmarkEnd w:id="13"/>
    </w:p>
    <w:p>
      <w:pPr>
        <w:pStyle w:val="Heading2"/>
        <w:keepNext/>
        <w:spacing w:after="140" w:before="280" w:line="340" w:lineRule="atLeast"/>
      </w:pPr>
      <w:bookmarkStart w:name="_Toc14" w:id="14"/>
      <w:r>
        <w:rPr>
          <w:rFonts w:ascii="Times New Roman" w:eastAsia="Times New Roman"/>
          <w:b/>
          <w:bCs/>
          <w:color w:val="0B1C2C"/>
          <w:sz w:val="27"/>
          <w:szCs w:val="27"/>
        </w:rPr>
        <w:t xml:space="preserve">3.1  Anmelden</w:t>
      </w:r>
      <w:bookmarkEnd w:id="14"/>
    </w:p>
    <w:p>
      <w:pPr>
        <w:spacing w:after="120" w:line="312"/>
        <w:jc w:val="both"/>
      </w:pPr>
      <w:r>
        <w:rPr>
          <w:rFonts w:ascii="Times New Roman" w:eastAsia="Times New Roman"/>
          <w:b w:val="false"/>
          <w:bCs w:val="false"/>
          <w:i w:val="false"/>
          <w:iCs w:val="false"/>
          <w:color w:val="000000"/>
          <w:sz w:val="22"/>
          <w:szCs w:val="22"/>
        </w:rPr>
        <w:t xml:space="preserve">Die Oberfläche zeigt vor der ersten Aktion eine Anmeldemaske. Anmelden mit der Behörden-Kennung und dem zugehörigen Passwort; die Schaltfläche „Anmelden“ bestätigt. Nach erfolgreicher Anmeldung zeigt die Seitenleiste unten die angemeldete Kennung mit der Rolle, zum Beispiel „Angemeldet: admin-01 (Admin)“.</w:t>
      </w:r>
    </w:p>
    <w:p>
      <w:pPr>
        <w:keepNext/>
        <w:spacing w:after="60" w:before="160"/>
        <w:jc w:val="center"/>
      </w:pPr>
      <w:r>
        <w:drawing>
          <wp:inline distT="0" distB="0" distL="0" distR="0">
            <wp:extent cx="5353050" cy="3343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3 — Anmeldemaske der SDN.sozial-Oberfläche</w:t>
      </w:r>
    </w:p>
    <w:p>
      <w:pPr>
        <w:spacing w:after="120" w:line="312"/>
        <w:jc w:val="both"/>
      </w:pPr>
      <w:r>
        <w:rPr>
          <w:rFonts w:ascii="Times New Roman" w:eastAsia="Times New Roman"/>
          <w:b w:val="false"/>
          <w:bCs w:val="false"/>
          <w:i w:val="false"/>
          <w:iCs w:val="false"/>
          <w:color w:val="000000"/>
          <w:sz w:val="22"/>
          <w:szCs w:val="22"/>
        </w:rPr>
        <w:t xml:space="preserve">Technisch stellt die Anmeldung ein Sitzungs-Token aus, das der Browser zu jeder weiteren Anfrage mitsendet. Sitzungen liegen im Speicher des Servers: Nach einem Server-Neustart ist eine neue Anmeldung erforderlich. Das ist bewusst so gebaut — für den echten Betrieb gehört an diese Stelle ein Verzeichnisdienst (LDAP/Active Directory) hinter HTTPS, das Handbuch von Teil II (Kapitel 18) beschreibt die serverseitige Prüfung im Detail.</w:t>
      </w:r>
    </w:p>
    <w:p>
      <w:pPr>
        <w:pStyle w:val="Heading2"/>
        <w:keepNext/>
        <w:spacing w:after="140" w:before="280" w:line="340" w:lineRule="atLeast"/>
      </w:pPr>
      <w:bookmarkStart w:name="_Toc15" w:id="15"/>
      <w:r>
        <w:rPr>
          <w:rFonts w:ascii="Times New Roman" w:eastAsia="Times New Roman"/>
          <w:b/>
          <w:bCs/>
          <w:color w:val="0B1C2C"/>
          <w:sz w:val="27"/>
          <w:szCs w:val="27"/>
        </w:rPr>
        <w:t xml:space="preserve">3.2  Rollen und Rechte</w:t>
      </w:r>
      <w:bookmarkEnd w:id="15"/>
    </w:p>
    <w:p>
      <w:pPr>
        <w:spacing w:after="120" w:line="312"/>
        <w:jc w:val="both"/>
      </w:pPr>
      <w:r>
        <w:rPr>
          <w:rFonts w:ascii="Times New Roman" w:eastAsia="Times New Roman"/>
          <w:b w:val="false"/>
          <w:bCs w:val="false"/>
          <w:i w:val="false"/>
          <w:iCs w:val="false"/>
          <w:color w:val="000000"/>
          <w:sz w:val="22"/>
          <w:szCs w:val="22"/>
        </w:rPr>
        <w:t xml:space="preserve">Die Anwendung kennt zwei Rollen. Die Rechteprüfung findet ausschließlich auf dem Server statt — die Oberfläche blendet Funktionen lediglich aus, ein Umgehen über die Schnittstelle ist dadurch wirkungslos:</w:t>
      </w:r>
    </w:p>
    <w:p>
      <w:pPr>
        <w:keepNext/>
        <w:spacing w:after="80" w:before="160"/>
      </w:pPr>
      <w:r>
        <w:rPr>
          <w:rFonts w:ascii="Times New Roman" w:eastAsia="Times New Roman"/>
          <w:b/>
          <w:bCs/>
          <w:color w:val="5B6B7D"/>
          <w:sz w:val="20"/>
          <w:szCs w:val="20"/>
        </w:rPr>
        <w:t xml:space="preserve">Tabelle 4 — Rollen und Berechtigungen im Überblick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4921"/>
        <w:gridCol w:w="1758"/>
        <w:gridCol w:w="2109"/>
      </w:tblGrid>
      <w:tr>
        <w:trPr>
          <w:cantSplit/>
          <w:tblHeader/>
        </w:trPr>
        <w:tc>
          <w:tcPr>
            <w:tcW w:type="pct" w:w="2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Funktion</w:t>
            </w:r>
          </w:p>
        </w:tc>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sachbearbeiter</w:t>
            </w:r>
          </w:p>
        </w:tc>
        <w:tc>
          <w:tcPr>
            <w:tcW w:type="pct" w:w="1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admin</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Fallübersicht, Vorgänge öffnen und speichern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SozialFälle anlegen und ändern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Auszahlung anordnen (Zahlbarmachung)</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freigeben (Vier-Augen, als zweite Person)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 (mit Ausnahme bei Kennung „admin“)</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Buchungsjournal einsehen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Systemstatus (Adminbereich) einsehen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Kassenlauf ausführen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Storno einer freigegebenen (BEREIT) Zahlung</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r>
        <w:trPr>
          <w:cantSplit/>
        </w:trPr>
        <w:tc>
          <w:tcPr>
            <w:tcW w:type="pct" w:w="2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Saga-Wiederanlauf anstoßen</w:t>
            </w:r>
          </w:p>
        </w:tc>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nein (403)</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ja</w:t>
            </w:r>
          </w:p>
        </w:tc>
      </w:tr>
    </w:tbl>
    <w:p>
      <w:pPr>
        <w:spacing w:after="120" w:line="312"/>
        <w:jc w:val="both"/>
      </w:pPr>
      <w:r>
        <w:rPr>
          <w:rFonts w:ascii="Times New Roman" w:eastAsia="Times New Roman"/>
          <w:b/>
          <w:bCs/>
          <w:i w:val="false"/>
          <w:iCs w:val="false"/>
          <w:color w:val="000000"/>
          <w:sz w:val="22"/>
          <w:szCs w:val="22"/>
        </w:rPr>
        <w:t xml:space="preserve">Wichtig für die Praxis: </w:t>
      </w:r>
      <w:r>
        <w:rPr>
          <w:rFonts w:ascii="Times New Roman" w:eastAsia="Times New Roman"/>
          <w:b w:val="false"/>
          <w:bCs w:val="false"/>
          <w:i w:val="false"/>
          <w:iCs w:val="false"/>
          <w:color w:val="000000"/>
          <w:sz w:val="22"/>
          <w:szCs w:val="22"/>
        </w:rPr>
        <w:t xml:space="preserve">die Sachbearbeiter-Kennung, die im Buchungsjournal erscheint, kommt ausschließlich aus der Anmeldung. Eine Kennung im Anfragekörper wird ignoriert — jedes Journal-Ereignis ist damit der angemeldeten Person zugeordnet.</w:t>
      </w:r>
    </w:p>
    <w:p>
      <w:pPr>
        <w:pStyle w:val="Heading2"/>
        <w:keepNext/>
        <w:spacing w:after="140" w:before="280" w:line="340" w:lineRule="atLeast"/>
      </w:pPr>
      <w:bookmarkStart w:name="_Toc16" w:id="16"/>
      <w:r>
        <w:rPr>
          <w:rFonts w:ascii="Times New Roman" w:eastAsia="Times New Roman"/>
          <w:b/>
          <w:bCs/>
          <w:color w:val="0B1C2C"/>
          <w:sz w:val="27"/>
          <w:szCs w:val="27"/>
        </w:rPr>
        <w:t xml:space="preserve">3.3  Abmelden und Sitzungsende</w:t>
      </w:r>
      <w:bookmarkEnd w:id="16"/>
    </w:p>
    <w:p>
      <w:pPr>
        <w:spacing w:after="120" w:line="312"/>
        <w:jc w:val="both"/>
      </w:pPr>
      <w:r>
        <w:rPr>
          <w:rFonts w:ascii="Times New Roman" w:eastAsia="Times New Roman"/>
          <w:b w:val="false"/>
          <w:bCs w:val="false"/>
          <w:i w:val="false"/>
          <w:iCs w:val="false"/>
          <w:color w:val="000000"/>
          <w:sz w:val="22"/>
          <w:szCs w:val="22"/>
        </w:rPr>
        <w:t xml:space="preserve">Über „Abmelden“ in der Seitenleiste endet die Sitzung; das Token wird serverseitig verworfen. Weil Sitzungen im Speicher liegen, enden sie auch beim Neustart des Servers. In beiden Fällen zeigt die Oberfläche beim nächsten Aufruf wieder die Anmeldemaske.</w:t>
      </w:r>
    </w:p>
    <w:p>
      <w:pPr>
        <w:pStyle w:val="Heading1"/>
        <w:keepNext/>
        <w:spacing w:after="200" w:before="360" w:line="380" w:lineRule="atLeast"/>
      </w:pPr>
      <w:bookmarkStart w:name="_Toc17" w:id="17"/>
      <w:r>
        <w:rPr>
          <w:rFonts w:ascii="Times New Roman" w:eastAsia="Times New Roman"/>
          <w:b/>
          <w:bCs/>
          <w:color w:val="0B1C2C"/>
          <w:sz w:val="32"/>
          <w:szCs w:val="32"/>
        </w:rPr>
        <w:t xml:space="preserve">4  Die Fallübersicht</w:t>
      </w:r>
      <w:bookmarkEnd w:id="17"/>
    </w:p>
    <w:p>
      <w:pPr>
        <w:pStyle w:val="Heading2"/>
        <w:keepNext/>
        <w:spacing w:after="140" w:before="280" w:line="340" w:lineRule="atLeast"/>
      </w:pPr>
      <w:bookmarkStart w:name="_Toc18" w:id="18"/>
      <w:r>
        <w:rPr>
          <w:rFonts w:ascii="Times New Roman" w:eastAsia="Times New Roman"/>
          <w:b/>
          <w:bCs/>
          <w:color w:val="0B1C2C"/>
          <w:sz w:val="27"/>
          <w:szCs w:val="27"/>
        </w:rPr>
        <w:t xml:space="preserve">4.1  Aufbau der Übersicht</w:t>
      </w:r>
      <w:bookmarkEnd w:id="18"/>
    </w:p>
    <w:p>
      <w:pPr>
        <w:spacing w:after="120" w:line="312"/>
        <w:jc w:val="both"/>
      </w:pPr>
      <w:r>
        <w:rPr>
          <w:rFonts w:ascii="Times New Roman" w:eastAsia="Times New Roman"/>
          <w:b w:val="false"/>
          <w:bCs w:val="false"/>
          <w:i w:val="false"/>
          <w:iCs w:val="false"/>
          <w:color w:val="000000"/>
          <w:sz w:val="22"/>
          <w:szCs w:val="22"/>
        </w:rPr>
        <w:t xml:space="preserve">Nach der Anmeldung landet man in der Fallübersicht. Sie kombiniert vier Kennzahlen-Karten mit der Vorgangstabelle: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Aktive Vorgänge: </w:t>
      </w:r>
      <w:r>
        <w:rPr>
          <w:rFonts w:ascii="Times New Roman" w:eastAsia="Times New Roman"/>
          <w:b w:val="false"/>
          <w:bCs w:val="false"/>
          <w:i w:val="false"/>
          <w:iCs w:val="false"/>
          <w:color w:val="000000"/>
          <w:sz w:val="22"/>
          <w:szCs w:val="22"/>
        </w:rPr>
        <w:t xml:space="preserve">Anzahl der Bedarfsgemeinschaften im Status „aktiv“ (historisierte zählen nicht).</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Zahlbetrag-Vorschau (Summe): </w:t>
      </w:r>
      <w:r>
        <w:rPr>
          <w:rFonts w:ascii="Times New Roman" w:eastAsia="Times New Roman"/>
          <w:b w:val="false"/>
          <w:bCs w:val="false"/>
          <w:i w:val="false"/>
          <w:iCs w:val="false"/>
          <w:color w:val="000000"/>
          <w:sz w:val="22"/>
          <w:szCs w:val="22"/>
        </w:rPr>
        <w:t xml:space="preserve">Summe der aktuell berechneten Zahlbeträge aller aktiven Vorgänge — die unmittelbare Monatslast-Vorschau.</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Zahlungen bereit (30 Tage): </w:t>
      </w:r>
      <w:r>
        <w:rPr>
          <w:rFonts w:ascii="Times New Roman" w:eastAsia="Times New Roman"/>
          <w:b w:val="false"/>
          <w:bCs w:val="false"/>
          <w:i w:val="false"/>
          <w:iCs w:val="false"/>
          <w:color w:val="000000"/>
          <w:sz w:val="22"/>
          <w:szCs w:val="22"/>
        </w:rPr>
        <w:t xml:space="preserve">Anzahl und Umfang der Zahlungen im Status BEREIT, die beim nächsten Kassenlauf übergeben werden.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Fristen / Wiedervorlage: </w:t>
      </w:r>
      <w:r>
        <w:rPr>
          <w:rFonts w:ascii="Times New Roman" w:eastAsia="Times New Roman"/>
          <w:b w:val="false"/>
          <w:bCs w:val="false"/>
          <w:i w:val="false"/>
          <w:iCs w:val="false"/>
          <w:color w:val="000000"/>
          <w:sz w:val="22"/>
          <w:szCs w:val="22"/>
        </w:rPr>
        <w:t xml:space="preserve">Anzahl der Vorgänge, deren Wiedervorlagedatum erreicht ist oder bevorsteht.</w:t>
      </w:r>
    </w:p>
    <w:p>
      <w:pPr>
        <w:keepNext/>
        <w:spacing w:after="60" w:before="160"/>
        <w:jc w:val="center"/>
      </w:pPr>
      <w:r>
        <w:drawing>
          <wp:inline distT="0" distB="0" distL="0" distR="0">
            <wp:extent cx="5353050" cy="3343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4 — Fallübersicht mit Kennzahlen-Karten, Suchfeld und Vorgangstabelle</w:t>
      </w:r>
    </w:p>
    <w:p>
      <w:pPr>
        <w:spacing w:after="120" w:line="312"/>
        <w:jc w:val="both"/>
      </w:pPr>
      <w:r>
        <w:rPr>
          <w:rFonts w:ascii="Times New Roman" w:eastAsia="Times New Roman"/>
          <w:b w:val="false"/>
          <w:bCs w:val="false"/>
          <w:i w:val="false"/>
          <w:iCs w:val="false"/>
          <w:color w:val="000000"/>
          <w:sz w:val="22"/>
          <w:szCs w:val="22"/>
        </w:rPr>
        <w:t xml:space="preserve">Die Vorgangstabelle listet Aktenzeichen, Hauptperson, Status (Chip „aktiv“ oder „historisiert“), Restbudget, Zahlbetrag-Vorschau und Wiedervorlagedatum. Mit „Öffnen“ gelangt man in die Vorgangsmaske (Kapitel 5). Das Suchfeld rechts oben filtert inkrementell nach Aktenzeichen oder Name — bereits beim Tippen.</w:t>
      </w:r>
    </w:p>
    <w:p>
      <w:pPr>
        <w:pStyle w:val="Heading2"/>
        <w:keepNext/>
        <w:spacing w:after="140" w:before="280" w:line="340" w:lineRule="atLeast"/>
      </w:pPr>
      <w:bookmarkStart w:name="_Toc19" w:id="19"/>
      <w:r>
        <w:rPr>
          <w:rFonts w:ascii="Times New Roman" w:eastAsia="Times New Roman"/>
          <w:b/>
          <w:bCs/>
          <w:color w:val="0B1C2C"/>
          <w:sz w:val="27"/>
          <w:szCs w:val="27"/>
        </w:rPr>
        <w:t xml:space="preserve">4.2  Neuen Vorgang anlegen</w:t>
      </w:r>
      <w:bookmarkEnd w:id="19"/>
    </w:p>
    <w:p>
      <w:pPr>
        <w:spacing w:after="120" w:line="312"/>
        <w:jc w:val="both"/>
      </w:pPr>
      <w:r>
        <w:rPr>
          <w:rFonts w:ascii="Times New Roman" w:eastAsia="Times New Roman"/>
          <w:b w:val="false"/>
          <w:bCs w:val="false"/>
          <w:i w:val="false"/>
          <w:iCs w:val="false"/>
          <w:color w:val="000000"/>
          <w:sz w:val="22"/>
          <w:szCs w:val="22"/>
        </w:rPr>
        <w:t xml:space="preserve">Über die Schaltfläche „+ Neuer Vorgang“ klappt die Anlagemaske auf. Pflichtangaben sind ein eindeutiges Aktenzeichen und der Name der Hauptperson; empfohlen sind Startbudget, Wiedervorlage und die SEPA-Bankverbindung (IBAN, BIC, Kontoinhaber), die als Standard für spätere Auszahlungen dient.</w:t>
      </w:r>
    </w:p>
    <w:p>
      <w:pPr>
        <w:keepNext/>
        <w:spacing w:after="60" w:before="160"/>
        <w:jc w:val="center"/>
      </w:pPr>
      <w:r>
        <w:drawing>
          <wp:inline distT="0" distB="0" distL="0" distR="0">
            <wp:extent cx="5353050" cy="3343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5 — Anlagemaske „Neuen Vorgang anlegen“ über der Fallübersicht</w:t>
      </w:r>
    </w:p>
    <w:p>
      <w:pPr>
        <w:spacing w:after="120" w:line="312"/>
        <w:jc w:val="both"/>
      </w:pPr>
      <w:r>
        <w:rPr>
          <w:rFonts w:ascii="Times New Roman" w:eastAsia="Times New Roman"/>
          <w:b/>
          <w:bCs/>
          <w:i w:val="false"/>
          <w:iCs w:val="false"/>
          <w:color w:val="000000"/>
          <w:sz w:val="22"/>
          <w:szCs w:val="22"/>
        </w:rPr>
        <w:t xml:space="preserve">Zu beachten: </w:t>
      </w:r>
      <w:r>
        <w:rPr>
          <w:rFonts w:ascii="Times New Roman" w:eastAsia="Times New Roman"/>
          <w:b w:val="false"/>
          <w:bCs w:val="false"/>
          <w:i w:val="false"/>
          <w:iCs w:val="false"/>
          <w:color w:val="000000"/>
          <w:sz w:val="22"/>
          <w:szCs w:val="22"/>
        </w:rPr>
        <w:t xml:space="preserve">das Aktenzeichen wird auf Eindeutigkeit geprüft — ein Doppeldatum bricht mit dem fachlichen Hinweis VALIDATION ab (die Datenbank erzwingt die Eindeutigkeit über einen UNIQUE-Schlüssel). Das Startbudget begrenzt die Auszahlungen der laufenden Bewilligung: Bei jeder Anordnung mindert das System es, bei Storno bucht es zurück. Wer das Budget auf 0 lässt, kann zunächst keine Auszahlungen anordnen (BUDGET_ERSCHOEPFT).</w:t>
      </w:r>
    </w:p>
    <w:p>
      <w:pPr>
        <w:spacing w:after="120" w:line="312"/>
        <w:jc w:val="both"/>
      </w:pPr>
      <w:r>
        <w:rPr>
          <w:rFonts w:ascii="Times New Roman" w:eastAsia="Times New Roman"/>
          <w:b w:val="false"/>
          <w:bCs w:val="false"/>
          <w:i w:val="false"/>
          <w:iCs w:val="false"/>
          <w:color w:val="000000"/>
          <w:sz w:val="22"/>
          <w:szCs w:val="22"/>
        </w:rPr>
        <w:t xml:space="preserve">Nach dem Anlegen öffnet sich die Vorgangsmaske; der erste SozialFall lässt sich direkt im Bereich „SozialFälle bearbeiten“ hinzufügen. Beide Aktionen erscheinen sofort revisionssicher im Buchungsjournal.</w:t>
      </w:r>
    </w:p>
    <w:p>
      <w:pPr>
        <w:pStyle w:val="Heading1"/>
        <w:keepNext/>
        <w:spacing w:after="200" w:before="360" w:line="380" w:lineRule="atLeast"/>
      </w:pPr>
      <w:bookmarkStart w:name="_Toc20" w:id="20"/>
      <w:r>
        <w:rPr>
          <w:rFonts w:ascii="Times New Roman" w:eastAsia="Times New Roman"/>
          <w:b/>
          <w:bCs/>
          <w:color w:val="0B1C2C"/>
          <w:sz w:val="32"/>
          <w:szCs w:val="32"/>
        </w:rPr>
        <w:t xml:space="preserve">5  Vorgang bearbeiten</w:t>
      </w:r>
      <w:bookmarkEnd w:id="20"/>
    </w:p>
    <w:p>
      <w:pPr>
        <w:pStyle w:val="Heading2"/>
        <w:keepNext/>
        <w:spacing w:after="140" w:before="280" w:line="340" w:lineRule="atLeast"/>
      </w:pPr>
      <w:bookmarkStart w:name="_Toc21" w:id="21"/>
      <w:r>
        <w:rPr>
          <w:rFonts w:ascii="Times New Roman" w:eastAsia="Times New Roman"/>
          <w:b/>
          <w:bCs/>
          <w:color w:val="0B1C2C"/>
          <w:sz w:val="27"/>
          <w:szCs w:val="27"/>
        </w:rPr>
        <w:t xml:space="preserve">5.1  Aufbau der Vorgangsmaske</w:t>
      </w:r>
      <w:bookmarkEnd w:id="21"/>
    </w:p>
    <w:p>
      <w:pPr>
        <w:spacing w:after="120" w:line="312"/>
        <w:jc w:val="both"/>
      </w:pPr>
      <w:r>
        <w:rPr>
          <w:rFonts w:ascii="Times New Roman" w:eastAsia="Times New Roman"/>
          <w:b w:val="false"/>
          <w:bCs w:val="false"/>
          <w:i w:val="false"/>
          <w:iCs w:val="false"/>
          <w:color w:val="000000"/>
          <w:sz w:val="22"/>
          <w:szCs w:val="22"/>
        </w:rPr>
        <w:t xml:space="preserve">Die Vorgangsmaske bündelt alles zu einem Vorgang: oben die Bedarfsermittlung, darunter die editierbaren SozialFall-Masken, dann Zahlbarmachung, Bewilligungsbescheid und Zahlungshistorie; rechts stehen der Vorgangskopf und das Journal des Vorgangs.</w:t>
      </w:r>
    </w:p>
    <w:p>
      <w:pPr>
        <w:keepNext/>
        <w:spacing w:after="60" w:before="160"/>
        <w:jc w:val="center"/>
      </w:pPr>
      <w:r>
        <w:drawing>
          <wp:inline distT="0" distB="0" distL="0" distR="0">
            <wp:extent cx="5353050" cy="3343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6 — Vorgangsmaske mit Bedarfsermittlung, SozialFall-Maske, Zahlbarmachung, Vorgangskopf und Journal</w:t>
      </w:r>
    </w:p>
    <w:p>
      <w:pPr>
        <w:pStyle w:val="Heading2"/>
        <w:keepNext/>
        <w:spacing w:after="140" w:before="280" w:line="340" w:lineRule="atLeast"/>
      </w:pPr>
      <w:bookmarkStart w:name="_Toc22" w:id="22"/>
      <w:r>
        <w:rPr>
          <w:rFonts w:ascii="Times New Roman" w:eastAsia="Times New Roman"/>
          <w:b/>
          <w:bCs/>
          <w:color w:val="0B1C2C"/>
          <w:sz w:val="27"/>
          <w:szCs w:val="27"/>
        </w:rPr>
        <w:t xml:space="preserve">5.2  Bedarfsermittlung lesen</w:t>
      </w:r>
      <w:bookmarkEnd w:id="22"/>
    </w:p>
    <w:p>
      <w:pPr>
        <w:spacing w:after="120" w:line="312"/>
        <w:jc w:val="both"/>
      </w:pPr>
      <w:r>
        <w:rPr>
          <w:rFonts w:ascii="Times New Roman" w:eastAsia="Times New Roman"/>
          <w:b w:val="false"/>
          <w:bCs w:val="false"/>
          <w:i w:val="false"/>
          <w:iCs w:val="false"/>
          <w:color w:val="000000"/>
          <w:sz w:val="22"/>
          <w:szCs w:val="22"/>
        </w:rPr>
        <w:t xml:space="preserve">Der Bereich „Bedarfsermittlung (SGB XII)“ ist rein lesend. Die Tabelle zeigt je SozialFall den Regelbedarf, die Mehrbedarfe (mit Aufschlüsselung als Hinweistext), die Kosten der Unterkunft, den Gesamtbedarf, den Erwerbsfreibetrag, das anrechenbare Einkommen und den Zahlbetrag des Falls. Der Ergebnisstreifen darunter fasst zusammen: Gesamtbedarf, anrechenbares Einkommen und Auszahlungsbetrag der ganzen Bedarfsgemeinschaft. Jede Änderung an einem SozialFall aktualisiert diese Werte unmittelbar.</w:t>
      </w:r>
    </w:p>
    <w:p>
      <w:pPr>
        <w:spacing w:after="120" w:line="312"/>
        <w:jc w:val="both"/>
      </w:pPr>
      <w:r>
        <w:rPr>
          <w:rFonts w:ascii="Times New Roman" w:eastAsia="Times New Roman"/>
          <w:b/>
          <w:bCs/>
          <w:i w:val="false"/>
          <w:iCs w:val="false"/>
          <w:color w:val="000000"/>
          <w:sz w:val="22"/>
          <w:szCs w:val="22"/>
        </w:rPr>
        <w:t xml:space="preserve">Ein negativer Auszahlungsbetrag ist keine Fehlfunktion, sondern das fachliche Signal „Einkommen übersteigt den Bedarf“: </w:t>
      </w:r>
      <w:r>
        <w:rPr>
          <w:rFonts w:ascii="Times New Roman" w:eastAsia="Times New Roman"/>
          <w:b w:val="false"/>
          <w:bCs w:val="false"/>
          <w:i w:val="false"/>
          <w:iCs w:val="false"/>
          <w:color w:val="000000"/>
          <w:sz w:val="22"/>
          <w:szCs w:val="22"/>
        </w:rPr>
        <w:t xml:space="preserve">die Auszahlungsanordnung wird dann abgewiesen (Kapitel 7, Abbildung 15).</w:t>
      </w:r>
    </w:p>
    <w:p>
      <w:pPr>
        <w:pStyle w:val="Heading2"/>
        <w:keepNext/>
        <w:spacing w:after="140" w:before="280" w:line="340" w:lineRule="atLeast"/>
      </w:pPr>
      <w:bookmarkStart w:name="_Toc23" w:id="23"/>
      <w:r>
        <w:rPr>
          <w:rFonts w:ascii="Times New Roman" w:eastAsia="Times New Roman"/>
          <w:b/>
          <w:bCs/>
          <w:color w:val="0B1C2C"/>
          <w:sz w:val="27"/>
          <w:szCs w:val="27"/>
        </w:rPr>
        <w:t xml:space="preserve">5.3  SozialFall anlegen und ändern</w:t>
      </w:r>
      <w:bookmarkEnd w:id="23"/>
    </w:p>
    <w:p>
      <w:pPr>
        <w:spacing w:after="120" w:line="312"/>
        <w:jc w:val="both"/>
      </w:pPr>
      <w:r>
        <w:rPr>
          <w:rFonts w:ascii="Times New Roman" w:eastAsia="Times New Roman"/>
          <w:b w:val="false"/>
          <w:bCs w:val="false"/>
          <w:i w:val="false"/>
          <w:iCs w:val="false"/>
          <w:color w:val="000000"/>
          <w:sz w:val="22"/>
          <w:szCs w:val="22"/>
        </w:rPr>
        <w:t xml:space="preserve">Über „+ Weiteren SozialFall anlegen“ erhält der Vorgang einen weiteren Leistungsberechtigten — typisch für Paare. Die Fallmaske enthält Regelbedarfsstufe (Stufen 1 bis 6), die drei KdU-Komponenten, Renten- und Erwerbseinkommen sowie die beiden Mehrbedarf-Ankreuzfelder. „Speichern“ schreibt die Änderung mit einer Journalzeile fort.</w:t>
      </w:r>
    </w:p>
    <w:p>
      <w:pPr>
        <w:spacing w:after="120" w:line="312"/>
        <w:jc w:val="both"/>
      </w:pPr>
      <w:r>
        <w:rPr>
          <w:rFonts w:ascii="Times New Roman" w:eastAsia="Times New Roman"/>
          <w:b/>
          <w:bCs/>
          <w:i w:val="false"/>
          <w:iCs w:val="false"/>
          <w:color w:val="000000"/>
          <w:sz w:val="22"/>
          <w:szCs w:val="22"/>
        </w:rPr>
        <w:t xml:space="preserve">Sperrschutz beim Speichern: </w:t>
      </w:r>
      <w:r>
        <w:rPr>
          <w:rFonts w:ascii="Times New Roman" w:eastAsia="Times New Roman"/>
          <w:b w:val="false"/>
          <w:bCs w:val="false"/>
          <w:i w:val="false"/>
          <w:iCs w:val="false"/>
          <w:color w:val="000000"/>
          <w:sz w:val="22"/>
          <w:szCs w:val="22"/>
        </w:rPr>
        <w:t xml:space="preserve">jede Fallmaske trägt eine Versionsnummer. Speichern zwei Bearbeiter gleichzeitig, gewinnt der erste; der zweite erhält die Meldung „Änderung durch anderen Bearbeiter“ (Fachcode KONKURRENZ), und die Maske lädt den neuen Stand automatisch neu. Es kann also nie jemand unabsichtlich die Änderung eines Kollegen überschreiben (kein „Lost Update“). Einfach erneut bearbeiten und wieder speichern.</w:t>
      </w:r>
    </w:p>
    <w:p>
      <w:pPr>
        <w:pStyle w:val="Heading2"/>
        <w:keepNext/>
        <w:spacing w:after="140" w:before="280" w:line="340" w:lineRule="atLeast"/>
      </w:pPr>
      <w:bookmarkStart w:name="_Toc24" w:id="24"/>
      <w:r>
        <w:rPr>
          <w:rFonts w:ascii="Times New Roman" w:eastAsia="Times New Roman"/>
          <w:b/>
          <w:bCs/>
          <w:color w:val="0B1C2C"/>
          <w:sz w:val="27"/>
          <w:szCs w:val="27"/>
        </w:rPr>
        <w:t xml:space="preserve">5.4  Vorgangskopf: Status, Wiedervorlage, Bankverbindung</w:t>
      </w:r>
      <w:bookmarkEnd w:id="24"/>
    </w:p>
    <w:p>
      <w:pPr>
        <w:spacing w:after="120" w:line="312"/>
        <w:jc w:val="both"/>
      </w:pPr>
      <w:r>
        <w:rPr>
          <w:rFonts w:ascii="Times New Roman" w:eastAsia="Times New Roman"/>
          <w:b w:val="false"/>
          <w:bCs w:val="false"/>
          <w:i w:val="false"/>
          <w:iCs w:val="false"/>
          <w:color w:val="000000"/>
          <w:sz w:val="22"/>
          <w:szCs w:val="22"/>
        </w:rPr>
        <w:t xml:space="preserve">Im Vorgangskopf stehen Aktenzeichen, Hauptperson, Restbudget und Version als Leseinfos; änderbar sind Status und Wiedervorlagedatum sowie die Standard-Bankverbindung. Der Statuswechsel von „aktiv“ auf „historisiert“ schließt den Vorgang: Historisierte Vorgänge akzeptieren keine neuen Auszahlungen mehr, bleiben aber samt Journal lesbar. Die Standard-Bankverbindung greift, wenn eine Auszahlung ohne abweichende Empfängerangabe angeordnet wird — sie sollte daher stets gepflegt sein (Kapitel 8 zeigt den Bescheid mit dieser Verbindung).</w:t>
      </w:r>
    </w:p>
    <w:p>
      <w:pPr>
        <w:spacing w:after="120" w:line="312"/>
        <w:jc w:val="both"/>
      </w:pPr>
      <w:r>
        <w:rPr>
          <w:rFonts w:ascii="Times New Roman" w:eastAsia="Times New Roman"/>
          <w:b w:val="false"/>
          <w:bCs w:val="false"/>
          <w:i w:val="false"/>
          <w:iCs w:val="false"/>
          <w:color w:val="000000"/>
          <w:sz w:val="22"/>
          <w:szCs w:val="22"/>
        </w:rPr>
        <w:t xml:space="preserve">Das Wiedervorlagedatum steuert das Fristen-Widget der Fallübersicht — übliche Nutzung ist die Wiederholungsbearbeitung zum Bewilligungsende oder eine Rückfrage-Frist.</w:t>
      </w:r>
    </w:p>
    <w:p>
      <w:pPr>
        <w:pStyle w:val="Heading1"/>
        <w:keepNext/>
        <w:spacing w:after="200" w:before="360" w:line="380" w:lineRule="atLeast"/>
      </w:pPr>
      <w:bookmarkStart w:name="_Toc25" w:id="25"/>
      <w:r>
        <w:rPr>
          <w:rFonts w:ascii="Times New Roman" w:eastAsia="Times New Roman"/>
          <w:b/>
          <w:bCs/>
          <w:color w:val="0B1C2C"/>
          <w:sz w:val="32"/>
          <w:szCs w:val="32"/>
        </w:rPr>
        <w:t xml:space="preserve">6  Zahlbarmachung: Auszahlung anordnen</w:t>
      </w:r>
      <w:bookmarkEnd w:id="25"/>
    </w:p>
    <w:p>
      <w:pPr>
        <w:pStyle w:val="Heading2"/>
        <w:keepNext/>
        <w:spacing w:after="140" w:before="280" w:line="340" w:lineRule="atLeast"/>
      </w:pPr>
      <w:bookmarkStart w:name="_Toc26" w:id="26"/>
      <w:r>
        <w:rPr>
          <w:rFonts w:ascii="Times New Roman" w:eastAsia="Times New Roman"/>
          <w:b/>
          <w:bCs/>
          <w:color w:val="0B1C2C"/>
          <w:sz w:val="27"/>
          <w:szCs w:val="27"/>
        </w:rPr>
        <w:t xml:space="preserve">6.1  Die Maske</w:t>
      </w:r>
      <w:bookmarkEnd w:id="26"/>
    </w:p>
    <w:p>
      <w:pPr>
        <w:spacing w:after="120" w:line="312"/>
        <w:jc w:val="both"/>
      </w:pPr>
      <w:r>
        <w:rPr>
          <w:rFonts w:ascii="Times New Roman" w:eastAsia="Times New Roman"/>
          <w:b w:val="false"/>
          <w:bCs w:val="false"/>
          <w:i w:val="false"/>
          <w:iCs w:val="false"/>
          <w:color w:val="000000"/>
          <w:sz w:val="22"/>
          <w:szCs w:val="22"/>
        </w:rPr>
        <w:t xml:space="preserve">Der Bereich „Zahlbarmachung“ der Vorgangsmaske ordnet die Auszahlung an: Empfänger/Kontoinhaber, IBAN, BIC und Zahlungsmonat (Monat des Anspruchs, nicht des Zahlungslaufs). Vorbefüllt sind der Hauptperson-Name und der laufende Monat.</w:t>
      </w:r>
    </w:p>
    <w:p>
      <w:pPr>
        <w:keepNext/>
        <w:spacing w:after="60" w:before="160"/>
        <w:jc w:val="center"/>
      </w:pPr>
      <w:r>
        <w:drawing>
          <wp:inline distT="0" distB="0" distL="0" distR="0">
            <wp:extent cx="5353050" cy="33432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7 — Zahlbarmachung mit Vier-Augen-Checkbox, Bewilligungsbescheid-Bereich und Zahlungshistorie</w:t>
      </w:r>
    </w:p>
    <w:p>
      <w:pPr>
        <w:pStyle w:val="Heading2"/>
        <w:keepNext/>
        <w:spacing w:after="140" w:before="280" w:line="340" w:lineRule="atLeast"/>
      </w:pPr>
      <w:bookmarkStart w:name="_Toc27" w:id="27"/>
      <w:r>
        <w:rPr>
          <w:rFonts w:ascii="Times New Roman" w:eastAsia="Times New Roman"/>
          <w:b/>
          <w:bCs/>
          <w:color w:val="0B1C2C"/>
          <w:sz w:val="27"/>
          <w:szCs w:val="27"/>
        </w:rPr>
        <w:t xml:space="preserve">6.2  Was beim Anordnen passiert</w:t>
      </w:r>
      <w:bookmarkEnd w:id="27"/>
    </w:p>
    <w:p>
      <w:pPr>
        <w:spacing w:after="120" w:line="312"/>
        <w:jc w:val="both"/>
      </w:pPr>
      <w:r>
        <w:rPr>
          <w:rFonts w:ascii="Times New Roman" w:eastAsia="Times New Roman"/>
          <w:b w:val="false"/>
          <w:bCs w:val="false"/>
          <w:i w:val="false"/>
          <w:iCs w:val="false"/>
          <w:color w:val="000000"/>
          <w:sz w:val="22"/>
          <w:szCs w:val="22"/>
        </w:rPr>
        <w:t xml:space="preserve">Hinter der Schaltfläche „Auszahlung anordnen“ läuft eine einzige kurze Datenbank-Transaktion ab, die mehrere Schutzmechanismen in festen Reihenfolge kombiniert (Teil II, Kapitel 17, zeigt die technische Seite):</w:t>
      </w:r>
    </w:p>
    <w:p>
      <w:pPr>
        <w:spacing w:after="60" w:line="312"/>
        <w:ind w:left="360" w:hanging="360"/>
        <w:jc w:val="both"/>
      </w:pPr>
      <w:r>
        <w:rPr>
          <w:rFonts w:ascii="Times New Roman" w:eastAsia="Times New Roman"/>
          <w:b/>
          <w:bCs/>
          <w:color w:val="529286"/>
          <w:sz w:val="22"/>
          <w:szCs w:val="22"/>
        </w:rPr>
        <w:t xml:space="preserve">1.  </w:t>
      </w:r>
      <w:r>
        <w:rPr>
          <w:rFonts w:ascii="Times New Roman" w:eastAsia="Times New Roman"/>
          <w:b/>
          <w:bCs/>
          <w:color w:val="000000"/>
          <w:sz w:val="22"/>
          <w:szCs w:val="22"/>
        </w:rPr>
        <w:t xml:space="preserve">Idempotenz: </w:t>
      </w:r>
      <w:r>
        <w:rPr>
          <w:rFonts w:ascii="Times New Roman" w:eastAsia="Times New Roman"/>
          <w:b w:val="false"/>
          <w:bCs w:val="false"/>
          <w:color w:val="000000"/>
          <w:sz w:val="22"/>
          <w:szCs w:val="22"/>
        </w:rPr>
        <w:t xml:space="preserve">Die Vorgangsnummer der Zahlung ist eindeutig. Wird dieselbe Anordnung ein zweites Mal geschickt (Doppelklick, Wiederholung), antwortet das System mit „Bereits gebucht“ und bucht nichts erneut.</w:t>
      </w:r>
    </w:p>
    <w:p>
      <w:pPr>
        <w:spacing w:after="60" w:line="312"/>
        <w:ind w:left="360" w:hanging="360"/>
        <w:jc w:val="both"/>
      </w:pPr>
      <w:r>
        <w:rPr>
          <w:rFonts w:ascii="Times New Roman" w:eastAsia="Times New Roman"/>
          <w:b/>
          <w:bCs/>
          <w:color w:val="529286"/>
          <w:sz w:val="22"/>
          <w:szCs w:val="22"/>
        </w:rPr>
        <w:t xml:space="preserve">2.  </w:t>
      </w:r>
      <w:r>
        <w:rPr>
          <w:rFonts w:ascii="Times New Roman" w:eastAsia="Times New Roman"/>
          <w:b/>
          <w:bCs/>
          <w:color w:val="000000"/>
          <w:sz w:val="22"/>
          <w:szCs w:val="22"/>
        </w:rPr>
        <w:t xml:space="preserve">Sperre: </w:t>
      </w:r>
      <w:r>
        <w:rPr>
          <w:rFonts w:ascii="Times New Roman" w:eastAsia="Times New Roman"/>
          <w:b w:val="false"/>
          <w:bCs w:val="false"/>
          <w:color w:val="000000"/>
          <w:sz w:val="22"/>
          <w:szCs w:val="22"/>
        </w:rPr>
        <w:t xml:space="preserve">Der Vorgang wird für die Dauer der Buchung exklusiv gesperrt; parallele Anordnungen zweier Sachbearbeiter laufen nacheinander ab.</w:t>
      </w:r>
    </w:p>
    <w:p>
      <w:pPr>
        <w:spacing w:after="60" w:line="312"/>
        <w:ind w:left="360" w:hanging="360"/>
        <w:jc w:val="both"/>
      </w:pPr>
      <w:r>
        <w:rPr>
          <w:rFonts w:ascii="Times New Roman" w:eastAsia="Times New Roman"/>
          <w:b/>
          <w:bCs/>
          <w:color w:val="529286"/>
          <w:sz w:val="22"/>
          <w:szCs w:val="22"/>
        </w:rPr>
        <w:t xml:space="preserve">3.  </w:t>
      </w:r>
      <w:r>
        <w:rPr>
          <w:rFonts w:ascii="Times New Roman" w:eastAsia="Times New Roman"/>
          <w:b/>
          <w:bCs/>
          <w:color w:val="000000"/>
          <w:sz w:val="22"/>
          <w:szCs w:val="22"/>
        </w:rPr>
        <w:t xml:space="preserve">Anspruchsprüfung: </w:t>
      </w:r>
      <w:r>
        <w:rPr>
          <w:rFonts w:ascii="Times New Roman" w:eastAsia="Times New Roman"/>
          <w:b w:val="false"/>
          <w:bCs w:val="false"/>
          <w:color w:val="000000"/>
          <w:sz w:val="22"/>
          <w:szCs w:val="22"/>
        </w:rPr>
        <w:t xml:space="preserve">Der Zahlbetrag wird frisch berechnet. Er muss größer null sein (sonst KEIN_ANSPRUCH) und darf das Restbudget nicht übersteigen (sonst BUDGET_ERSCHOEPFT).</w:t>
      </w:r>
    </w:p>
    <w:p>
      <w:pPr>
        <w:spacing w:after="60" w:line="312"/>
        <w:ind w:left="360" w:hanging="360"/>
        <w:jc w:val="both"/>
      </w:pPr>
      <w:r>
        <w:rPr>
          <w:rFonts w:ascii="Times New Roman" w:eastAsia="Times New Roman"/>
          <w:b/>
          <w:bCs/>
          <w:color w:val="529286"/>
          <w:sz w:val="22"/>
          <w:szCs w:val="22"/>
        </w:rPr>
        <w:t xml:space="preserve">4.  </w:t>
      </w:r>
      <w:r>
        <w:rPr>
          <w:rFonts w:ascii="Times New Roman" w:eastAsia="Times New Roman"/>
          <w:b/>
          <w:bCs/>
          <w:color w:val="000000"/>
          <w:sz w:val="22"/>
          <w:szCs w:val="22"/>
        </w:rPr>
        <w:t xml:space="preserve">SEPA-Prüfung: </w:t>
      </w:r>
      <w:r>
        <w:rPr>
          <w:rFonts w:ascii="Times New Roman" w:eastAsia="Times New Roman"/>
          <w:b w:val="false"/>
          <w:bCs w:val="false"/>
          <w:color w:val="000000"/>
          <w:sz w:val="22"/>
          <w:szCs w:val="22"/>
        </w:rPr>
        <w:t xml:space="preserve">IBAN und BIC werden nach ISO 13616 (Modulo-97-Prüfziffer) geprüft; ungültige Verbindungen brechen mit VALIDATION ab.</w:t>
      </w:r>
    </w:p>
    <w:p>
      <w:pPr>
        <w:spacing w:after="60" w:line="312"/>
        <w:ind w:left="360" w:hanging="360"/>
        <w:jc w:val="both"/>
      </w:pPr>
      <w:r>
        <w:rPr>
          <w:rFonts w:ascii="Times New Roman" w:eastAsia="Times New Roman"/>
          <w:b/>
          <w:bCs/>
          <w:color w:val="529286"/>
          <w:sz w:val="22"/>
          <w:szCs w:val="22"/>
        </w:rPr>
        <w:t xml:space="preserve">5.  </w:t>
      </w:r>
      <w:r>
        <w:rPr>
          <w:rFonts w:ascii="Times New Roman" w:eastAsia="Times New Roman"/>
          <w:b/>
          <w:bCs/>
          <w:color w:val="000000"/>
          <w:sz w:val="22"/>
          <w:szCs w:val="22"/>
        </w:rPr>
        <w:t xml:space="preserve">Buchung: </w:t>
      </w:r>
      <w:r>
        <w:rPr>
          <w:rFonts w:ascii="Times New Roman" w:eastAsia="Times New Roman"/>
          <w:b w:val="false"/>
          <w:bCs w:val="false"/>
          <w:color w:val="000000"/>
          <w:sz w:val="22"/>
          <w:szCs w:val="22"/>
        </w:rPr>
        <w:t xml:space="preserve">Die Zahlung entsteht im Status ANGELEGT (mit Vier-Augen) oder BEREIT (ohne), das Restbudget mindert sich, und der Journaleintrag entsteht unter der eigenen Kennung.</w:t>
      </w:r>
    </w:p>
    <w:p>
      <w:pPr>
        <w:pStyle w:val="Heading2"/>
        <w:keepNext/>
        <w:spacing w:after="140" w:before="280" w:line="340" w:lineRule="atLeast"/>
      </w:pPr>
      <w:bookmarkStart w:name="_Toc28" w:id="28"/>
      <w:r>
        <w:rPr>
          <w:rFonts w:ascii="Times New Roman" w:eastAsia="Times New Roman"/>
          <w:b/>
          <w:bCs/>
          <w:color w:val="0B1C2C"/>
          <w:sz w:val="27"/>
          <w:szCs w:val="27"/>
        </w:rPr>
        <w:t xml:space="preserve">6.3  Die Vier-Augen-Checkbox</w:t>
      </w:r>
      <w:bookmarkEnd w:id="28"/>
    </w:p>
    <w:p>
      <w:pPr>
        <w:spacing w:after="120" w:line="312"/>
        <w:jc w:val="both"/>
      </w:pPr>
      <w:r>
        <w:rPr>
          <w:rFonts w:ascii="Times New Roman" w:eastAsia="Times New Roman"/>
          <w:b w:val="false"/>
          <w:bCs w:val="false"/>
          <w:i w:val="false"/>
          <w:iCs w:val="false"/>
          <w:color w:val="000000"/>
          <w:sz w:val="22"/>
          <w:szCs w:val="22"/>
        </w:rPr>
        <w:t xml:space="preserve">Standardmäßig ist „Vier-Augen-Prüfung erforderlich“ angekreuzt. Die Zahlung entsteht dann im Status ANGELEGT und wartet auf die Freigabe durch eine zweite Person (Kapitel 7). Nur wer die Checkbox bewusst entfernt, ordnet sofort im Status BEREIT an — der Erfasser erscheint dann zugleich als Freigebender, was nur für die Sonderkennung „admin“ zulässig ist, wenn später doch eine zweite Freigabe erforderlich wird.</w:t>
      </w:r>
    </w:p>
    <w:p>
      <w:pPr>
        <w:keepNext/>
        <w:spacing w:after="60" w:before="160"/>
        <w:jc w:val="center"/>
      </w:pPr>
      <w:r>
        <w:drawing>
          <wp:inline distT="0" distB="0" distL="0" distR="0">
            <wp:extent cx="5353050" cy="33432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8 — Bestätigungsdialog nach der Anordnung — Status „angelegt“, neues Restbudget</w:t>
      </w:r>
    </w:p>
    <w:p>
      <w:pPr>
        <w:pStyle w:val="Heading1"/>
        <w:keepNext/>
        <w:spacing w:after="200" w:before="360" w:line="380" w:lineRule="atLeast"/>
      </w:pPr>
      <w:bookmarkStart w:name="_Toc29" w:id="29"/>
      <w:r>
        <w:rPr>
          <w:rFonts w:ascii="Times New Roman" w:eastAsia="Times New Roman"/>
          <w:b/>
          <w:bCs/>
          <w:color w:val="0B1C2C"/>
          <w:sz w:val="32"/>
          <w:szCs w:val="32"/>
        </w:rPr>
        <w:t xml:space="preserve">7  Vier-Augen-Freigabe, Storno und Fehlerfälle</w:t>
      </w:r>
      <w:bookmarkEnd w:id="29"/>
    </w:p>
    <w:p>
      <w:pPr>
        <w:pStyle w:val="Heading2"/>
        <w:keepNext/>
        <w:spacing w:after="140" w:before="280" w:line="340" w:lineRule="atLeast"/>
      </w:pPr>
      <w:bookmarkStart w:name="_Toc30" w:id="30"/>
      <w:r>
        <w:rPr>
          <w:rFonts w:ascii="Times New Roman" w:eastAsia="Times New Roman"/>
          <w:b/>
          <w:bCs/>
          <w:color w:val="0B1C2C"/>
          <w:sz w:val="27"/>
          <w:szCs w:val="27"/>
        </w:rPr>
        <w:t xml:space="preserve">7.1  Der Freigabe-Schritt</w:t>
      </w:r>
      <w:bookmarkEnd w:id="30"/>
    </w:p>
    <w:p>
      <w:pPr>
        <w:spacing w:after="120" w:line="312"/>
        <w:jc w:val="both"/>
      </w:pPr>
      <w:r>
        <w:rPr>
          <w:rFonts w:ascii="Times New Roman" w:eastAsia="Times New Roman"/>
          <w:b w:val="false"/>
          <w:bCs w:val="false"/>
          <w:i w:val="false"/>
          <w:iCs w:val="false"/>
          <w:color w:val="000000"/>
          <w:sz w:val="22"/>
          <w:szCs w:val="22"/>
        </w:rPr>
        <w:t xml:space="preserve">Eine ANGELEGT-Zahlung erscheint in der Zahlungshistorie mit den Schaltflächen „Freigeben“ und „Storno“. Die Freigabe ist die rechnerische Feststellung durch den Zweitsachbearbeiter: Das System prüft beim Freigeben erneut Anspruch und Budget und stellt dadurch sicher, dass zwischen Erfassung und Freigabe keine Änderung unbemerkt bleibt. Nach der Freigabe steht die Zahlung im Status BEREIT für den Kassenlauf.</w:t>
      </w:r>
    </w:p>
    <w:p>
      <w:pPr>
        <w:spacing w:after="120" w:line="312"/>
        <w:jc w:val="both"/>
      </w:pPr>
      <w:r>
        <w:rPr>
          <w:rFonts w:ascii="Times New Roman" w:eastAsia="Times New Roman"/>
          <w:b/>
          <w:bCs/>
          <w:i w:val="false"/>
          <w:iCs w:val="false"/>
          <w:color w:val="000000"/>
          <w:sz w:val="22"/>
          <w:szCs w:val="22"/>
        </w:rPr>
        <w:t xml:space="preserve">Selbstfreigabe ist ausgeschlossen: </w:t>
      </w:r>
      <w:r>
        <w:rPr>
          <w:rFonts w:ascii="Times New Roman" w:eastAsia="Times New Roman"/>
          <w:b w:val="false"/>
          <w:bCs w:val="false"/>
          <w:i w:val="false"/>
          <w:iCs w:val="false"/>
          <w:color w:val="000000"/>
          <w:sz w:val="22"/>
          <w:szCs w:val="22"/>
        </w:rPr>
        <w:t xml:space="preserve">Wer eine Zahlung selbst erfasst hat, kann sie nicht selbst freigeben — das System antwortet mit „Vier-Augen-Prinzip verletzt: Erfasser und Freigebender dürfen nicht identisch sein“ (Abbildung 9). Die Freigabe gehört also zwingend einer zweiten Kennung.</w:t>
      </w:r>
    </w:p>
    <w:p>
      <w:pPr>
        <w:keepNext/>
        <w:spacing w:after="60" w:before="160"/>
        <w:jc w:val="center"/>
      </w:pPr>
      <w:r>
        <w:drawing>
          <wp:inline distT="0" distB="0" distL="0" distR="0">
            <wp:extent cx="5353050" cy="3343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9 — Abwehr der Selbstfreigabe — der Erfasser kann seine eigene Zahlung nicht freigeben</w:t>
      </w:r>
    </w:p>
    <w:p>
      <w:pPr>
        <w:spacing w:after="120" w:line="312"/>
        <w:jc w:val="both"/>
      </w:pPr>
      <w:r>
        <w:rPr>
          <w:rFonts w:ascii="Times New Roman" w:eastAsia="Times New Roman"/>
          <w:b w:val="false"/>
          <w:bCs w:val="false"/>
          <w:i w:val="false"/>
          <w:iCs w:val="false"/>
          <w:color w:val="000000"/>
          <w:sz w:val="22"/>
          <w:szCs w:val="22"/>
        </w:rPr>
        <w:t xml:space="preserve">Abbildung 10 zeigt dieselbe Zahlung aus der Sicht der zweiten Person (sb-01): Die Freigabe wird nach der Sicherheitsabfrage vollzogen, der Status-Chip wechselt auf „bereit“, die Spalte „Freigegeben“ trägt die Kennung des Freigebenden, und das Journal vermerkt die Freigabe als „rechnerisch festgestellt“.</w:t>
      </w:r>
    </w:p>
    <w:p>
      <w:pPr>
        <w:keepNext/>
        <w:spacing w:after="60" w:before="160"/>
        <w:jc w:val="center"/>
      </w:pPr>
      <w:r>
        <w:drawing>
          <wp:inline distT="0" distB="0" distL="0" distR="0">
            <wp:extent cx="5353050" cy="33432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10 — Freigabe durch die zweite Person — Status „bereit“, Journal-Eintrag mit „rechnerisch festgestellt“</w:t>
      </w:r>
    </w:p>
    <w:p>
      <w:pPr>
        <w:pStyle w:val="Heading2"/>
        <w:keepNext/>
        <w:spacing w:after="140" w:before="280" w:line="340" w:lineRule="atLeast"/>
      </w:pPr>
      <w:bookmarkStart w:name="_Toc31" w:id="31"/>
      <w:r>
        <w:rPr>
          <w:rFonts w:ascii="Times New Roman" w:eastAsia="Times New Roman"/>
          <w:b/>
          <w:bCs/>
          <w:color w:val="0B1C2C"/>
          <w:sz w:val="27"/>
          <w:szCs w:val="27"/>
        </w:rPr>
        <w:t xml:space="preserve">7.2  Storno</w:t>
      </w:r>
      <w:bookmarkEnd w:id="31"/>
    </w:p>
    <w:p>
      <w:pPr>
        <w:spacing w:after="120" w:line="312"/>
        <w:jc w:val="both"/>
      </w:pPr>
      <w:r>
        <w:rPr>
          <w:rFonts w:ascii="Times New Roman" w:eastAsia="Times New Roman"/>
          <w:b w:val="false"/>
          <w:bCs w:val="false"/>
          <w:i w:val="false"/>
          <w:iCs w:val="false"/>
          <w:color w:val="000000"/>
          <w:sz w:val="22"/>
          <w:szCs w:val="22"/>
        </w:rPr>
        <w:t xml:space="preserve">Zahlungen im Status ANGELEGT kann jede Sachbearbeiterkennung stornieren; im Status BEREIT ist das der Administration vorbehalten (übergebene Zahlungen im Status ÜBERGEBEN sind endgültig). Beim Storno setzt das System den Status auf STORNIERT, bucht den Betrag auf das Restbudget zurück und schreibt einen Journaleintrag — alles atomar in einer Transaktion. Die Sicherheitsabfrage weist ausdrücklich auf die Rückbuchung hin.</w:t>
      </w:r>
    </w:p>
    <w:p>
      <w:pPr>
        <w:pStyle w:val="Heading2"/>
        <w:keepNext/>
        <w:spacing w:after="140" w:before="280" w:line="340" w:lineRule="atLeast"/>
      </w:pPr>
      <w:bookmarkStart w:name="_Toc32" w:id="32"/>
      <w:r>
        <w:rPr>
          <w:rFonts w:ascii="Times New Roman" w:eastAsia="Times New Roman"/>
          <w:b/>
          <w:bCs/>
          <w:color w:val="0B1C2C"/>
          <w:sz w:val="27"/>
          <w:szCs w:val="27"/>
        </w:rPr>
        <w:t xml:space="preserve">7.3  Typische Fehlermeldungen beim Anordnen</w:t>
      </w:r>
      <w:bookmarkEnd w:id="32"/>
    </w:p>
    <w:p>
      <w:pPr>
        <w:spacing w:after="120" w:line="312"/>
        <w:jc w:val="both"/>
      </w:pPr>
      <w:r>
        <w:rPr>
          <w:rFonts w:ascii="Times New Roman" w:eastAsia="Times New Roman"/>
          <w:b w:val="false"/>
          <w:bCs w:val="false"/>
          <w:i w:val="false"/>
          <w:iCs w:val="false"/>
          <w:color w:val="000000"/>
          <w:sz w:val="22"/>
          <w:szCs w:val="22"/>
        </w:rPr>
        <w:t xml:space="preserve">Die Anwendung formuliert fachliche Abweisungen verständlich und nennt im Dialog stets den Grund. Die beiden häufigsten Fälle bei der Anordnung sind: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KEIN_ANSPRUCH: </w:t>
      </w:r>
      <w:r>
        <w:rPr>
          <w:rFonts w:ascii="Times New Roman" w:eastAsia="Times New Roman"/>
          <w:b w:val="false"/>
          <w:bCs w:val="false"/>
          <w:i w:val="false"/>
          <w:iCs w:val="false"/>
          <w:color w:val="000000"/>
          <w:sz w:val="22"/>
          <w:szCs w:val="22"/>
        </w:rPr>
        <w:t xml:space="preserve">Das anrechenbare Einkommen übersteigt den Gesamtbedarf — der Zahlbetrag ist null oder negativ. Prüfen Sie Einkommens- und Bedarfsangaben; bei rechtmäßiger Rechnung besteht keine Leistung zu bewilligen.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BUDGET_ERSCHOEPFT: </w:t>
      </w:r>
      <w:r>
        <w:rPr>
          <w:rFonts w:ascii="Times New Roman" w:eastAsia="Times New Roman"/>
          <w:b w:val="false"/>
          <w:bCs w:val="false"/>
          <w:i w:val="false"/>
          <w:iCs w:val="false"/>
          <w:color w:val="000000"/>
          <w:sz w:val="22"/>
          <w:szCs w:val="22"/>
        </w:rPr>
        <w:t xml:space="preserve">Der Zahlbetrag übersteigt das Restbudget des Vorgangs. Restbudget prüfen und entweder das Startbudget anheben oder eine ältere Zahlung stornieren, um Raum zu schaffen.</w:t>
      </w:r>
    </w:p>
    <w:p>
      <w:pPr>
        <w:keepNext/>
        <w:spacing w:after="120" w:line="312"/>
        <w:jc w:val="both"/>
      </w:pPr>
      <w:r>
        <w:rPr>
          <w:rFonts w:ascii="Times New Roman" w:eastAsia="Times New Roman"/>
          <w:b w:val="false"/>
          <w:bCs w:val="false"/>
          <w:i w:val="false"/>
          <w:iCs w:val="false"/>
          <w:color w:val="000000"/>
          <w:sz w:val="22"/>
          <w:szCs w:val="22"/>
        </w:rPr>
        <w:t xml:space="preserve">Abbildung 11 zeigt die Abweisung am Demovorgang BG-2026-0003 (Yilmaz, Cem): Die Bedarfsermittlung weist einen negativen Auszahlungsbetrag von −195,50 EUR aus, der Dialog begründet die Abweisung mit dem negativen Zahlbetrag — gebucht wurde in diesem Fall nichts:</w:t>
      </w:r>
    </w:p>
    <w:p>
      <w:pPr>
        <w:keepNext/>
        <w:spacing w:after="60" w:before="160"/>
        <w:jc w:val="center"/>
      </w:pPr>
      <w:r>
        <w:drawing>
          <wp:inline distT="0" distB="0" distL="0" distR="0">
            <wp:extent cx="5353050" cy="33432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11 — Fachliche Abweisung KEIN_ANSPRUCH — das anrechenbare Einkommen übersteigt den Gesamtbedarf</w:t>
      </w:r>
    </w:p>
    <w:p>
      <w:pPr>
        <w:spacing w:after="120" w:line="312"/>
        <w:jc w:val="both"/>
      </w:pPr>
      <w:r>
        <w:rPr>
          <w:rFonts w:ascii="Times New Roman" w:eastAsia="Times New Roman"/>
          <w:b w:val="false"/>
          <w:bCs w:val="false"/>
          <w:i w:val="false"/>
          <w:iCs w:val="false"/>
          <w:color w:val="000000"/>
          <w:sz w:val="22"/>
          <w:szCs w:val="22"/>
        </w:rPr>
        <w:t xml:space="preserve">Die vollständige Liste aller Fachcodes mit Bedeutung und typischer Lösung steht in Kapitel 12.3.</w:t>
      </w:r>
    </w:p>
    <w:p>
      <w:pPr>
        <w:pStyle w:val="Heading1"/>
        <w:keepNext/>
        <w:spacing w:after="200" w:before="360" w:line="380" w:lineRule="atLeast"/>
      </w:pPr>
      <w:bookmarkStart w:name="_Toc33" w:id="33"/>
      <w:r>
        <w:rPr>
          <w:rFonts w:ascii="Times New Roman" w:eastAsia="Times New Roman"/>
          <w:b/>
          <w:bCs/>
          <w:color w:val="0B1C2C"/>
          <w:sz w:val="32"/>
          <w:szCs w:val="32"/>
        </w:rPr>
        <w:t xml:space="preserve">8  Bewilligungsbescheid (§ 37 SGB X)</w:t>
      </w:r>
      <w:bookmarkEnd w:id="33"/>
    </w:p>
    <w:p>
      <w:pPr>
        <w:pStyle w:val="Heading2"/>
        <w:keepNext/>
        <w:spacing w:after="140" w:before="280" w:line="340" w:lineRule="atLeast"/>
      </w:pPr>
      <w:bookmarkStart w:name="_Toc34" w:id="34"/>
      <w:r>
        <w:rPr>
          <w:rFonts w:ascii="Times New Roman" w:eastAsia="Times New Roman"/>
          <w:b/>
          <w:bCs/>
          <w:color w:val="0B1C2C"/>
          <w:sz w:val="27"/>
          <w:szCs w:val="27"/>
        </w:rPr>
        <w:t xml:space="preserve">8.1  Bescheid erteilen</w:t>
      </w:r>
      <w:bookmarkEnd w:id="34"/>
    </w:p>
    <w:p>
      <w:pPr>
        <w:spacing w:after="120" w:line="312"/>
        <w:jc w:val="both"/>
      </w:pPr>
      <w:r>
        <w:rPr>
          <w:rFonts w:ascii="Times New Roman" w:eastAsia="Times New Roman"/>
          <w:b w:val="false"/>
          <w:bCs w:val="false"/>
          <w:i w:val="false"/>
          <w:iCs w:val="false"/>
          <w:color w:val="000000"/>
          <w:sz w:val="22"/>
          <w:szCs w:val="22"/>
        </w:rPr>
        <w:t xml:space="preserve">Der Bereich „Bewilligungsbescheid (§ 37 SGB X)“ macht den rechnerischen Anspruch rechtlich verbindlich. Bewilligungszeitraum festlegen (Vorbefüllung: laufender Monat bis zwölf Monate später) und „Bescheid erteilen“ drücken. Das System erzeugt eine eindeutige Bescheidnummer nach dem Muster BESCH-&lt;Aktenzeichen&gt;-&lt;Monat&gt;-&lt;Nummer&gt;, übernimmt den aktuell berechneten Zahlbetrag als monatlichen Bewilligungsbetrag und journalisiert die Erteilung.</w:t>
      </w:r>
    </w:p>
    <w:p>
      <w:pPr>
        <w:keepNext/>
        <w:spacing w:after="60" w:before="160"/>
        <w:jc w:val="center"/>
      </w:pPr>
      <w:r>
        <w:drawing>
          <wp:inline distT="0" distB="0" distL="0" distR="0">
            <wp:extent cx="5353050" cy="33432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12 — Erteilter Bewilligungsbescheid mit Nummer, Zeitraum und monatlichem Zahlbetrag</w:t>
      </w:r>
    </w:p>
    <w:p>
      <w:pPr>
        <w:pStyle w:val="Heading2"/>
        <w:keepNext/>
        <w:spacing w:after="140" w:before="280" w:line="340" w:lineRule="atLeast"/>
      </w:pPr>
      <w:bookmarkStart w:name="_Toc35" w:id="35"/>
      <w:r>
        <w:rPr>
          <w:rFonts w:ascii="Times New Roman" w:eastAsia="Times New Roman"/>
          <w:b/>
          <w:bCs/>
          <w:color w:val="0B1C2C"/>
          <w:sz w:val="27"/>
          <w:szCs w:val="27"/>
        </w:rPr>
        <w:t xml:space="preserve">8.2  Aufbau und Druck des Bescheids</w:t>
      </w:r>
      <w:bookmarkEnd w:id="35"/>
    </w:p>
    <w:p>
      <w:pPr>
        <w:spacing w:after="120" w:line="312"/>
        <w:jc w:val="both"/>
      </w:pPr>
      <w:r>
        <w:rPr>
          <w:rFonts w:ascii="Times New Roman" w:eastAsia="Times New Roman"/>
          <w:b w:val="false"/>
          <w:bCs w:val="false"/>
          <w:i w:val="false"/>
          <w:iCs w:val="false"/>
          <w:color w:val="000000"/>
          <w:sz w:val="22"/>
          <w:szCs w:val="22"/>
        </w:rPr>
        <w:t xml:space="preserve">Der amtliche Bescheid enthält alle Pflichtelemente des § 37 SGB X: den Verfügungssatz (was wird für welchen Zeitraum in welcher Höhe bewilligt), die Berechnung des monatlichen Leistungsanspruchs je Person, die Zahlungsanweisung mit der hinterlegten SEPA-Verbindung, die Begründung nach § 35 SGB X (Verweis auf die Anspruchsgrundlagen der §§ 41 ff. SGB XII, die KdU-Berücksichtigung nach § 35 SGB XII und die Einkommensanrechnung nach § 82 SGB XII) sowie die Rechtsbehelfsbelehrung nach § 36 SGB X (Widerspruch binnen eines Monats nach Bekanntgabe).</w:t>
      </w:r>
    </w:p>
    <w:p>
      <w:pPr>
        <w:keepNext/>
        <w:spacing w:after="60" w:before="160"/>
        <w:jc w:val="center"/>
      </w:pPr>
      <w:r>
        <w:drawing>
          <wp:inline distT="0" distB="0" distL="0" distR="0">
            <wp:extent cx="5353050" cy="33432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13 — Amtliche Druckansicht des Bewilligungsbescheids — Briefkopf, Verfügungssatz, Berechnung, Begründung, Rechtsbehelfsbelehrung</w:t>
      </w:r>
    </w:p>
    <w:p>
      <w:pPr>
        <w:spacing w:after="120" w:line="312"/>
        <w:jc w:val="both"/>
      </w:pPr>
      <w:r>
        <w:rPr>
          <w:rFonts w:ascii="Times New Roman" w:eastAsia="Times New Roman"/>
          <w:b w:val="false"/>
          <w:bCs w:val="false"/>
          <w:i w:val="false"/>
          <w:iCs w:val="false"/>
          <w:color w:val="000000"/>
          <w:sz w:val="22"/>
          <w:szCs w:val="22"/>
        </w:rPr>
        <w:t xml:space="preserve">Über „Amtlichen Bescheid drucken (PDF)“ öffnet sich die Druckansicht in einem eigenen Browserfenster; der Druckdialog des Browsers erzeugt daraus das PDF für die Akte. Ein Vorgang trägt jeweils den letzten erteilten Bescheid; Aufhebung (etwa durch eine Saga-Kompensation, Kapitel 10) setzt den Status auf AUFGEHOBEN.</w:t>
      </w:r>
    </w:p>
    <w:p>
      <w:pPr>
        <w:pStyle w:val="Heading1"/>
        <w:keepNext/>
        <w:spacing w:after="200" w:before="360" w:line="380" w:lineRule="atLeast"/>
      </w:pPr>
      <w:bookmarkStart w:name="_Toc36" w:id="36"/>
      <w:r>
        <w:rPr>
          <w:rFonts w:ascii="Times New Roman" w:eastAsia="Times New Roman"/>
          <w:b/>
          <w:bCs/>
          <w:color w:val="0B1C2C"/>
          <w:sz w:val="32"/>
          <w:szCs w:val="32"/>
        </w:rPr>
        <w:t xml:space="preserve">9  Das Buchungsjournal</w:t>
      </w:r>
      <w:bookmarkEnd w:id="36"/>
    </w:p>
    <w:p>
      <w:pPr>
        <w:spacing w:after="120" w:line="312"/>
        <w:jc w:val="both"/>
      </w:pPr>
      <w:r>
        <w:rPr>
          <w:rFonts w:ascii="Times New Roman" w:eastAsia="Times New Roman"/>
          <w:b w:val="false"/>
          <w:bCs w:val="false"/>
          <w:i w:val="false"/>
          <w:iCs w:val="false"/>
          <w:color w:val="000000"/>
          <w:sz w:val="22"/>
          <w:szCs w:val="22"/>
        </w:rPr>
        <w:t xml:space="preserve">Das Buchungsjournal ist das revisionssichere Gedächtnis der Anwendung. Jede fachlich relevante Aktion erzeugt einen unveränderlichen Eintrag mit Zeitpunkt, Vorgangsbezug, Klartext der Aktion und der zuständigen Sachbearbeiter-Kennung aus der Anmeldung. Systemisch ausgelöste Änderungen (etwa die Versions-Erhöhung beim Speichern) erscheinen mit der Kennung „system“.</w:t>
      </w:r>
    </w:p>
    <w:p>
      <w:pPr>
        <w:keepNext/>
        <w:spacing w:after="60" w:before="160"/>
        <w:jc w:val="center"/>
      </w:pPr>
      <w:r>
        <w:drawing>
          <wp:inline distT="0" distB="0" distL="0" distR="0">
            <wp:extent cx="5353050" cy="33432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14 — Buchungsjournal mit zeitreversibler Ereignisliste — Kassenläufe, Anordnungen, Freigaben, Bescheide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Überlebt Historisierung: </w:t>
      </w:r>
      <w:r>
        <w:rPr>
          <w:rFonts w:ascii="Times New Roman" w:eastAsia="Times New Roman"/>
          <w:b w:val="false"/>
          <w:bCs w:val="false"/>
          <w:i w:val="false"/>
          <w:iCs w:val="false"/>
          <w:color w:val="000000"/>
          <w:sz w:val="22"/>
          <w:szCs w:val="22"/>
        </w:rPr>
        <w:t xml:space="preserve">das Journal referenziert Vorgänge logisch (ohne Fremdschlüssel-Abhängigkeit). Auch ein gelöschter oder historisierter Vorgang lässt seine Geschichte weiterlesen.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Vier-Augen sichtbar: </w:t>
      </w:r>
      <w:r>
        <w:rPr>
          <w:rFonts w:ascii="Times New Roman" w:eastAsia="Times New Roman"/>
          <w:b w:val="false"/>
          <w:bCs w:val="false"/>
          <w:i w:val="false"/>
          <w:iCs w:val="false"/>
          <w:color w:val="000000"/>
          <w:sz w:val="22"/>
          <w:szCs w:val="22"/>
        </w:rPr>
        <w:t xml:space="preserve">Erfassung und Freigabe erscheinen als getrennte Einträge unterschiedlicher Kennungen — revisionssicher nachvollziehbar.</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Kassenlauf-Sammelsatz: </w:t>
      </w:r>
      <w:r>
        <w:rPr>
          <w:rFonts w:ascii="Times New Roman" w:eastAsia="Times New Roman"/>
          <w:b w:val="false"/>
          <w:bCs w:val="false"/>
          <w:i w:val="false"/>
          <w:iCs w:val="false"/>
          <w:color w:val="000000"/>
          <w:sz w:val="22"/>
          <w:szCs w:val="22"/>
        </w:rPr>
        <w:t xml:space="preserve">der Kassenlauf schreibt eine einzige Zeile mit Anzahl und Summe (z. B. „Kassenlauf: 4 Zahlungen über 3.117,71 EUR übergeben“).</w:t>
      </w:r>
    </w:p>
    <w:p>
      <w:pPr>
        <w:spacing w:after="120" w:line="312"/>
        <w:jc w:val="both"/>
      </w:pPr>
      <w:r>
        <w:rPr>
          <w:rFonts w:ascii="Times New Roman" w:eastAsia="Times New Roman"/>
          <w:b w:val="false"/>
          <w:bCs w:val="false"/>
          <w:i w:val="false"/>
          <w:iCs w:val="false"/>
          <w:color w:val="000000"/>
          <w:sz w:val="22"/>
          <w:szCs w:val="22"/>
        </w:rPr>
        <w:t xml:space="preserve">Zusätzlich zeigt die Vorgangsmaske rechts unten das „Journal (Vorgang)“ — dieselbe Historie gefiltert auf den geöffneten Vorgang.</w:t>
      </w:r>
    </w:p>
    <w:p>
      <w:pPr>
        <w:pStyle w:val="Heading1"/>
        <w:keepNext/>
        <w:spacing w:after="200" w:before="360" w:line="380" w:lineRule="atLeast"/>
      </w:pPr>
      <w:bookmarkStart w:name="_Toc37" w:id="37"/>
      <w:r>
        <w:rPr>
          <w:rFonts w:ascii="Times New Roman" w:eastAsia="Times New Roman"/>
          <w:b/>
          <w:bCs/>
          <w:color w:val="0B1C2C"/>
          <w:sz w:val="32"/>
          <w:szCs w:val="32"/>
        </w:rPr>
        <w:t xml:space="preserve">10  Die Antrags-Saga aus Anwendersicht</w:t>
      </w:r>
      <w:bookmarkEnd w:id="37"/>
    </w:p>
    <w:p>
      <w:pPr>
        <w:pStyle w:val="Heading2"/>
        <w:keepNext/>
        <w:spacing w:after="140" w:before="280" w:line="340" w:lineRule="atLeast"/>
      </w:pPr>
      <w:bookmarkStart w:name="_Toc38" w:id="38"/>
      <w:r>
        <w:rPr>
          <w:rFonts w:ascii="Times New Roman" w:eastAsia="Times New Roman"/>
          <w:b/>
          <w:bCs/>
          <w:color w:val="0B1C2C"/>
          <w:sz w:val="27"/>
          <w:szCs w:val="27"/>
        </w:rPr>
        <w:t xml:space="preserve">10.1  Wozu eine Saga gut ist</w:t>
      </w:r>
      <w:bookmarkEnd w:id="38"/>
    </w:p>
    <w:p>
      <w:pPr>
        <w:spacing w:after="120" w:line="312"/>
        <w:jc w:val="both"/>
      </w:pPr>
      <w:r>
        <w:rPr>
          <w:rFonts w:ascii="Times New Roman" w:eastAsia="Times New Roman"/>
          <w:b w:val="false"/>
          <w:bCs w:val="false"/>
          <w:i w:val="false"/>
          <w:iCs w:val="false"/>
          <w:color w:val="000000"/>
          <w:sz w:val="22"/>
          <w:szCs w:val="22"/>
        </w:rPr>
        <w:t xml:space="preserve">Der komplette Antragseingang — Vorgang erfassen, Bedarfsprüfung, Bescheid erteilen, Erstauszahlung anweisen — besteht aus vier voneinander unabhängigen Schritten. Kein Datenbanksystem kann vier getrennte Fachentscheidungen in einem einzigen unteilbaren Schritt abwickeln, wenn zwischen ihnen gewartet oder gerechnet wird. Genau dafür ist die Saga da: Jeder Schritt ist eine eigene kurze Transaktion und wird im Saga-Journal festgehalten; scheitert ein Schritt, laufen die bereits abgeschlossenen Schritte rückwärts zurück (Kompensation). Es bleibt nie ein halbfertiger Vorgang liegen.</w:t>
      </w:r>
    </w:p>
    <w:p>
      <w:pPr>
        <w:keepNext/>
        <w:spacing w:after="60" w:before="160"/>
        <w:jc w:val="center"/>
      </w:pPr>
      <w:r>
        <w:drawing>
          <wp:inline distT="0" distB="0" distL="0" distR="0">
            <wp:extent cx="5353050" cy="3343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15 — Maske „End-to-End-Antrag als Saga ausführen“ mit den vier Transaktionsschritten</w:t>
      </w:r>
    </w:p>
    <w:p>
      <w:pPr>
        <w:pStyle w:val="Heading2"/>
        <w:keepNext/>
        <w:spacing w:after="140" w:before="280" w:line="340" w:lineRule="atLeast"/>
      </w:pPr>
      <w:bookmarkStart w:name="_Toc39" w:id="39"/>
      <w:r>
        <w:rPr>
          <w:rFonts w:ascii="Times New Roman" w:eastAsia="Times New Roman"/>
          <w:b/>
          <w:bCs/>
          <w:color w:val="0B1C2C"/>
          <w:sz w:val="27"/>
          <w:szCs w:val="27"/>
        </w:rPr>
        <w:t xml:space="preserve">10.2  Ablauf und Ergebnis</w:t>
      </w:r>
      <w:bookmarkEnd w:id="39"/>
    </w:p>
    <w:p>
      <w:pPr>
        <w:spacing w:after="120" w:line="312"/>
        <w:jc w:val="both"/>
      </w:pPr>
      <w:r>
        <w:rPr>
          <w:rFonts w:ascii="Times New Roman" w:eastAsia="Times New Roman"/>
          <w:b w:val="false"/>
          <w:bCs w:val="false"/>
          <w:i w:val="false"/>
          <w:iCs w:val="false"/>
          <w:color w:val="000000"/>
          <w:sz w:val="22"/>
          <w:szCs w:val="22"/>
        </w:rPr>
        <w:t xml:space="preserve">Die Maske „⚡ Antrags-Saga (E2E)“ in der Fallübersicht führt den vierstufigen Ablauf mit einen Klick aus: Vorgang erfassen (Bedarfsgemeinschaft plus erster SozialFall), Bedarfsprüfung (bricht bei fehlendem Anspruch ab), Bescheid erteilen und Erstauszahlung anweisen. Der Erfolgsdialog zeigt die Saga-ID; der neue Vorgang erscheint anschließend in der Fallübersicht.</w:t>
      </w:r>
    </w:p>
    <w:p>
      <w:pPr>
        <w:keepNext/>
        <w:spacing w:after="60" w:before="160"/>
        <w:jc w:val="center"/>
      </w:pPr>
      <w:r>
        <w:drawing>
          <wp:inline distT="0" distB="0" distL="0" distR="0">
            <wp:extent cx="5353050" cy="2628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262890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16 — Ablauf der Antrags-Saga mit den vier Schritten und ihren Kompensationen</w:t>
      </w:r>
    </w:p>
    <w:p>
      <w:pPr>
        <w:spacing w:after="120" w:line="312"/>
        <w:jc w:val="both"/>
      </w:pPr>
      <w:r>
        <w:rPr>
          <w:rFonts w:ascii="Times New Roman" w:eastAsia="Times New Roman"/>
          <w:b/>
          <w:bCs/>
          <w:i w:val="false"/>
          <w:iCs w:val="false"/>
          <w:color w:val="000000"/>
          <w:sz w:val="22"/>
          <w:szCs w:val="22"/>
        </w:rPr>
        <w:t xml:space="preserve">Bei fehlendem Anspruch (Zahlbetrag ≤ 0) bricht Schritt 2 ab: </w:t>
      </w:r>
      <w:r>
        <w:rPr>
          <w:rFonts w:ascii="Times New Roman" w:eastAsia="Times New Roman"/>
          <w:b w:val="false"/>
          <w:bCs w:val="false"/>
          <w:i w:val="false"/>
          <w:iCs w:val="false"/>
          <w:color w:val="000000"/>
          <w:sz w:val="22"/>
          <w:szCs w:val="22"/>
        </w:rPr>
        <w:t xml:space="preserve">die Saga kompensiert automatisch rückwärts — ein angelegter Bescheid wird aufgehoben, ein angelegter Vorgang gelöscht, die Erstauszahlung storniert. Die Fehlermeldung weist auf die erfolgte Rückwärtskompensation hin; im Journal ist die ganze Geschichte nachlesbar. Aus Sicht der Sachbearbeitung entsteht kein Müll-Datensatz.</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Halbfertige Sagas nach einem Absturz</w:t>
            </w:r>
          </w:p>
          <w:p>
            <w:pPr>
              <w:spacing w:line="300"/>
              <w:jc w:val="both"/>
            </w:pPr>
            <w:r>
              <w:rPr>
                <w:rFonts w:ascii="Times New Roman" w:eastAsia="Times New Roman"/>
                <w:color w:val="1F3A4D"/>
                <w:sz w:val="21"/>
                <w:szCs w:val="21"/>
              </w:rPr>
              <w:t xml:space="preserve">Stürzt der Server mitten in einer Saga ab, bleibt das Journal unverändert bestehen. Beim nächsten Start führt das System automatisch einen Wiederanlauf durch; zusätzlich steht im Adminbereich die Schaltfläche „Wiederanlauf ausführen“ bereit. Mehrfaches Ausführen ist unschädlich — Kompensationen sind idempotent gebaut (Kapitel 15).</w:t>
            </w:r>
          </w:p>
        </w:tc>
      </w:tr>
    </w:tbl>
    <w:p>
      <w:pPr>
        <w:pStyle w:val="Heading1"/>
        <w:keepNext/>
        <w:spacing w:after="200" w:before="360" w:line="380" w:lineRule="atLeast"/>
      </w:pPr>
      <w:bookmarkStart w:name="_Toc40" w:id="40"/>
      <w:r>
        <w:rPr>
          <w:rFonts w:ascii="Times New Roman" w:eastAsia="Times New Roman"/>
          <w:b/>
          <w:bCs/>
          <w:color w:val="0B1C2C"/>
          <w:sz w:val="32"/>
          <w:szCs w:val="32"/>
        </w:rPr>
        <w:t xml:space="preserve">11  Adminbereich und Betriebsfunktionen</w:t>
      </w:r>
      <w:bookmarkEnd w:id="40"/>
    </w:p>
    <w:p>
      <w:pPr>
        <w:pStyle w:val="Heading2"/>
        <w:keepNext/>
        <w:spacing w:after="140" w:before="280" w:line="340" w:lineRule="atLeast"/>
      </w:pPr>
      <w:bookmarkStart w:name="_Toc41" w:id="41"/>
      <w:r>
        <w:rPr>
          <w:rFonts w:ascii="Times New Roman" w:eastAsia="Times New Roman"/>
          <w:b/>
          <w:bCs/>
          <w:color w:val="0B1C2C"/>
          <w:sz w:val="27"/>
          <w:szCs w:val="27"/>
        </w:rPr>
        <w:t xml:space="preserve">11.1  Systemstatus</w:t>
      </w:r>
      <w:bookmarkEnd w:id="41"/>
    </w:p>
    <w:p>
      <w:pPr>
        <w:spacing w:after="120" w:line="312"/>
        <w:jc w:val="both"/>
      </w:pPr>
      <w:r>
        <w:rPr>
          <w:rFonts w:ascii="Times New Roman" w:eastAsia="Times New Roman"/>
          <w:b w:val="false"/>
          <w:bCs w:val="false"/>
          <w:i w:val="false"/>
          <w:iCs w:val="false"/>
          <w:color w:val="000000"/>
          <w:sz w:val="22"/>
          <w:szCs w:val="22"/>
        </w:rPr>
        <w:t xml:space="preserve">Der Adminbereich (nur Rolle admin) prüft mit einem Klick auf „Status prüfen“ die fünf Säulen des Betriebs: Datenbank (Erreichbarkeit, Produktkennung, Antwortzeit, Datenbank-Zeit), Fachschema (Bestandszahlen der Vorgänge, SozialFälle und Zahlungen), Transaktionssteuerung (TxManager aktiv, Retry-Verhalten), Task-Steuerung (Parallelität, Statistik inkl. mittlerer Dauer) und Wiederanlauf-Lage (offene versus abgebrochene Sagas). Grün in allen Zeilen bedeutet: „Datenbank ok und alles gestartet“.</w:t>
      </w:r>
    </w:p>
    <w:p>
      <w:pPr>
        <w:keepNext/>
        <w:spacing w:after="60" w:before="160"/>
        <w:jc w:val="center"/>
      </w:pPr>
      <w:r>
        <w:drawing>
          <wp:inline distT="0" distB="0" distL="0" distR="0">
            <wp:extent cx="5353050" cy="33432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17 — Adminbereich mit Systemstatus, Laufzeitumgebung und Betriebsaktionen</w:t>
      </w:r>
    </w:p>
    <w:p>
      <w:pPr>
        <w:pStyle w:val="Heading2"/>
        <w:keepNext/>
        <w:spacing w:after="140" w:before="280" w:line="340" w:lineRule="atLeast"/>
      </w:pPr>
      <w:bookmarkStart w:name="_Toc42" w:id="42"/>
      <w:r>
        <w:rPr>
          <w:rFonts w:ascii="Times New Roman" w:eastAsia="Times New Roman"/>
          <w:b/>
          <w:bCs/>
          <w:color w:val="0B1C2C"/>
          <w:sz w:val="27"/>
          <w:szCs w:val="27"/>
        </w:rPr>
        <w:t xml:space="preserve">11.2  Kassenlauf</w:t>
      </w:r>
      <w:bookmarkEnd w:id="42"/>
    </w:p>
    <w:p>
      <w:pPr>
        <w:spacing w:after="120" w:line="312"/>
        <w:jc w:val="both"/>
      </w:pPr>
      <w:r>
        <w:rPr>
          <w:rFonts w:ascii="Times New Roman" w:eastAsia="Times New Roman"/>
          <w:b w:val="false"/>
          <w:bCs w:val="false"/>
          <w:i w:val="false"/>
          <w:iCs w:val="false"/>
          <w:color w:val="000000"/>
          <w:sz w:val="22"/>
          <w:szCs w:val="22"/>
        </w:rPr>
        <w:t xml:space="preserve">Der Kassenlauf ist die fachliche Übergabe an die Kasse beziehungsweise den Zahlungsdienst: Er setzt alle Zahlungen im Status BEREIT in einer einzigen Transaktion auf ÜBERGEBEN, sperrt sie dabei gegen zwischenzeitliche Änderung und schreibt einen Sammel-Journaleintrag mit Anzahl und Summe. Übergebene Zahlungen sind endgültig und erscheinen danach im Widget „Zahlungen bereit (30 Tage)“ nicht mehr.</w:t>
      </w:r>
    </w:p>
    <w:p>
      <w:pPr>
        <w:spacing w:after="120" w:line="312"/>
        <w:jc w:val="both"/>
      </w:pPr>
      <w:r>
        <w:rPr>
          <w:rFonts w:ascii="Times New Roman" w:eastAsia="Times New Roman"/>
          <w:b w:val="false"/>
          <w:bCs w:val="false"/>
          <w:i w:val="false"/>
          <w:iCs w:val="false"/>
          <w:color w:val="000000"/>
          <w:sz w:val="22"/>
          <w:szCs w:val="22"/>
        </w:rPr>
        <w:t xml:space="preserve">Üblicher Rhythmus: Freigaben durch die zweite Person im Tagesverlauf, Kassenlauf zum Tagesabschluss durch die Administration. Ein leerer Kassenlauf ist kein Fehler — das System meldet dann 0 Zahlungen über 0,00 EUR.</w:t>
      </w:r>
    </w:p>
    <w:p>
      <w:pPr>
        <w:pStyle w:val="Heading2"/>
        <w:keepNext/>
        <w:spacing w:after="140" w:before="280" w:line="340" w:lineRule="atLeast"/>
      </w:pPr>
      <w:bookmarkStart w:name="_Toc43" w:id="43"/>
      <w:r>
        <w:rPr>
          <w:rFonts w:ascii="Times New Roman" w:eastAsia="Times New Roman"/>
          <w:b/>
          <w:bCs/>
          <w:color w:val="0B1C2C"/>
          <w:sz w:val="27"/>
          <w:szCs w:val="27"/>
        </w:rPr>
        <w:t xml:space="preserve">11.3  Wiederanlauf</w:t>
      </w:r>
      <w:bookmarkEnd w:id="43"/>
    </w:p>
    <w:p>
      <w:pPr>
        <w:spacing w:after="120" w:line="312"/>
        <w:jc w:val="both"/>
      </w:pPr>
      <w:r>
        <w:rPr>
          <w:rFonts w:ascii="Times New Roman" w:eastAsia="Times New Roman"/>
          <w:b w:val="false"/>
          <w:bCs w:val="false"/>
          <w:i w:val="false"/>
          <w:iCs w:val="false"/>
          <w:color w:val="000000"/>
          <w:sz w:val="22"/>
          <w:szCs w:val="22"/>
        </w:rPr>
        <w:t xml:space="preserve">Die Schaltfläche „Wiederanlauf ausführen“ beendet halbfertige Sagas nach einem Absturz: laufende Vorgänge werden sauber kompensiert, abgeschlossene bleiben unberührt. Der Adminbereich trennt bewusst „offen“ und „abgebrochen“: Eine abgebrochene Saga ohne committete Schritte hat nichts zu kompensieren und braucht den Wiederanlauf nicht.</w:t>
      </w:r>
    </w:p>
    <w:p>
      <w:pPr>
        <w:pStyle w:val="Heading2"/>
        <w:keepNext/>
        <w:spacing w:after="140" w:before="280" w:line="340" w:lineRule="atLeast"/>
      </w:pPr>
      <w:bookmarkStart w:name="_Toc44" w:id="44"/>
      <w:r>
        <w:rPr>
          <w:rFonts w:ascii="Times New Roman" w:eastAsia="Times New Roman"/>
          <w:b/>
          <w:bCs/>
          <w:color w:val="0B1C2C"/>
          <w:sz w:val="27"/>
          <w:szCs w:val="27"/>
        </w:rPr>
        <w:t xml:space="preserve">11.4  Funktionsübersicht</w:t>
      </w:r>
      <w:bookmarkEnd w:id="44"/>
    </w:p>
    <w:p>
      <w:pPr>
        <w:spacing w:after="120" w:line="312"/>
        <w:jc w:val="both"/>
      </w:pPr>
      <w:r>
        <w:rPr>
          <w:rFonts w:ascii="Times New Roman" w:eastAsia="Times New Roman"/>
          <w:b w:val="false"/>
          <w:bCs w:val="false"/>
          <w:i w:val="false"/>
          <w:iCs w:val="false"/>
          <w:color w:val="000000"/>
          <w:sz w:val="22"/>
          <w:szCs w:val="22"/>
        </w:rPr>
        <w:t xml:space="preserve">Die Ansicht „Funktionsübersicht“ dokumentiert alle Fach- und Kernfunktionen mit ihren technischen Bausteinen und Schnittstellen-Endpunkten — als eingebaute Kurzreferenz der Anwendung.</w:t>
      </w:r>
    </w:p>
    <w:p>
      <w:pPr>
        <w:keepNext/>
        <w:spacing w:after="60" w:before="160"/>
        <w:jc w:val="center"/>
      </w:pPr>
      <w:r>
        <w:drawing>
          <wp:inline distT="0" distB="0" distL="0" distR="0">
            <wp:extent cx="5353050" cy="3343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18 — Eingebaute Funktionsübersicht mit Fachfunktionen und Transaktionssteuerung</w:t>
      </w:r>
    </w:p>
    <w:p>
      <w:pPr>
        <w:pStyle w:val="Heading1"/>
        <w:keepNext/>
        <w:spacing w:after="200" w:before="360" w:line="380" w:lineRule="atLeast"/>
      </w:pPr>
      <w:bookmarkStart w:name="_Toc45" w:id="45"/>
      <w:r>
        <w:rPr>
          <w:rFonts w:ascii="Times New Roman" w:eastAsia="Times New Roman"/>
          <w:b/>
          <w:bCs/>
          <w:color w:val="0B1C2C"/>
          <w:sz w:val="32"/>
          <w:szCs w:val="32"/>
        </w:rPr>
        <w:t xml:space="preserve">12  Hinweise für den sicheren Betrieb der Sacharbeit</w:t>
      </w:r>
      <w:bookmarkEnd w:id="45"/>
    </w:p>
    <w:p>
      <w:pPr>
        <w:pStyle w:val="Heading2"/>
        <w:keepNext/>
        <w:spacing w:after="140" w:before="280" w:line="340" w:lineRule="atLeast"/>
      </w:pPr>
      <w:bookmarkStart w:name="_Toc46" w:id="46"/>
      <w:r>
        <w:rPr>
          <w:rFonts w:ascii="Times New Roman" w:eastAsia="Times New Roman"/>
          <w:b/>
          <w:bCs/>
          <w:color w:val="0B1C2C"/>
          <w:sz w:val="27"/>
          <w:szCs w:val="27"/>
        </w:rPr>
        <w:t xml:space="preserve">12.1  Arbeitsorganisation mit vier Augen</w:t>
      </w:r>
      <w:bookmarkEnd w:id="46"/>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Ordne Auszahlungen grundsätzlich mit aktiver Vier-Augen-Checkbox an; den Direktweg ohne Prüfung nur in begründeten Ausnahmen.</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Nutze zwei unterscheidbare Kennungen (z. B. sb-01 und sb-02), damit Erfassung und Freigabe nachvollziehbar verschiedenen Personen zugeordnet sind.</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Führe den Kassenlauf erst nach Abschluss aller Freigaben des Tages durch; danach sind übergebene Zahlungen endgültig.</w:t>
      </w:r>
    </w:p>
    <w:p>
      <w:pPr>
        <w:pStyle w:val="ListParagraph"/>
        <w:numPr>
          <w:ilvl w:val="0"/>
          <w:numId w:val="1"/>
        </w:numPr>
        <w:spacing w:after="60" w:line="312"/>
        <w:jc w:val="both"/>
      </w:pPr>
      <w:r>
        <w:rPr>
          <w:rFonts w:ascii="Times New Roman" w:eastAsia="Times New Roman"/>
          <w:b w:val="false"/>
          <w:bCs w:val="false"/>
          <w:i w:val="false"/>
          <w:iCs w:val="false"/>
          <w:color w:val="000000"/>
          <w:sz w:val="22"/>
          <w:szCs w:val="22"/>
        </w:rPr>
        <w:t xml:space="preserve">Pflege die Standard-Bankverbindung des Vorgangs sofort bei der Neuanlage — der Bescheid und die Standard-Auszahlung greifen darauf zurück.</w:t>
      </w:r>
    </w:p>
    <w:p>
      <w:pPr>
        <w:pStyle w:val="Heading2"/>
        <w:keepNext/>
        <w:spacing w:after="140" w:before="280" w:line="340" w:lineRule="atLeast"/>
      </w:pPr>
      <w:bookmarkStart w:name="_Toc47" w:id="47"/>
      <w:r>
        <w:rPr>
          <w:rFonts w:ascii="Times New Roman" w:eastAsia="Times New Roman"/>
          <w:b/>
          <w:bCs/>
          <w:color w:val="0B1C2C"/>
          <w:sz w:val="27"/>
          <w:szCs w:val="27"/>
        </w:rPr>
        <w:t xml:space="preserve">12.2  Gleichzeitige Bearbeitung</w:t>
      </w:r>
      <w:bookmarkEnd w:id="47"/>
    </w:p>
    <w:p>
      <w:pPr>
        <w:spacing w:after="120" w:line="312"/>
        <w:jc w:val="both"/>
      </w:pPr>
      <w:r>
        <w:rPr>
          <w:rFonts w:ascii="Times New Roman" w:eastAsia="Times New Roman"/>
          <w:b w:val="false"/>
          <w:bCs w:val="false"/>
          <w:i w:val="false"/>
          <w:iCs w:val="false"/>
          <w:color w:val="000000"/>
          <w:sz w:val="22"/>
          <w:szCs w:val="22"/>
        </w:rPr>
        <w:t xml:space="preserve">Arbeiten mehrere Personen am selben Vorgang, ist die Meldung „Änderung durch anderen Bearbeiter“ normal und kein Fehler: Der Speichern-Schutz verhindert verlorengegangene Änderungen. Vorgehen: Ansicht neu laden (geschieht automatisch), die eigenen Anpassungen erneut eintragen, speichern. Nachträglich angeordnete Auszahlungen anderer Bearbeiter sieht man anhand der Zahlungshistorie und des Journals.</w:t>
      </w:r>
    </w:p>
    <w:p>
      <w:pPr>
        <w:pStyle w:val="Heading2"/>
        <w:keepNext/>
        <w:spacing w:after="140" w:before="280" w:line="340" w:lineRule="atLeast"/>
      </w:pPr>
      <w:bookmarkStart w:name="_Toc48" w:id="48"/>
      <w:r>
        <w:rPr>
          <w:rFonts w:ascii="Times New Roman" w:eastAsia="Times New Roman"/>
          <w:b/>
          <w:bCs/>
          <w:color w:val="0B1C2C"/>
          <w:sz w:val="27"/>
          <w:szCs w:val="27"/>
        </w:rPr>
        <w:t xml:space="preserve">12.3  Fehlercodes und ihre Bedeutung</w:t>
      </w:r>
      <w:bookmarkEnd w:id="48"/>
    </w:p>
    <w:p>
      <w:pPr>
        <w:spacing w:after="120" w:line="312"/>
        <w:jc w:val="both"/>
      </w:pPr>
      <w:r>
        <w:rPr>
          <w:rFonts w:ascii="Times New Roman" w:eastAsia="Times New Roman"/>
          <w:b w:val="false"/>
          <w:bCs w:val="false"/>
          <w:i w:val="false"/>
          <w:iCs w:val="false"/>
          <w:color w:val="000000"/>
          <w:sz w:val="22"/>
          <w:szCs w:val="22"/>
        </w:rPr>
        <w:t xml:space="preserve">Alle fachlichen Meldungen der Oberfläche tragen einen stabilen Code. Die Tabelle ordnet ihn Bedeutung und üblicher Lösung zu:</w:t>
      </w:r>
    </w:p>
    <w:p>
      <w:pPr>
        <w:keepNext/>
        <w:spacing w:after="80" w:before="160"/>
      </w:pPr>
      <w:r>
        <w:rPr>
          <w:rFonts w:ascii="Times New Roman" w:eastAsia="Times New Roman"/>
          <w:b/>
          <w:bCs/>
          <w:color w:val="5B6B7D"/>
          <w:sz w:val="20"/>
          <w:szCs w:val="20"/>
        </w:rPr>
        <w:t xml:space="preserve">Tabelle 5 — Fachliche Fehlercodes der Anwendung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900"/>
        <w:gridCol w:w="3164"/>
        <w:gridCol w:w="2724"/>
      </w:tblGrid>
      <w:tr>
        <w:trPr>
          <w:cantSplit/>
          <w:tblHeader/>
        </w:trPr>
        <w:tc>
          <w:tcPr>
            <w:tcW w:type="pct" w:w="165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Code</w:t>
            </w:r>
          </w:p>
        </w:tc>
        <w:tc>
          <w:tcPr>
            <w:tcW w:type="pct" w:w="1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c>
          <w:tcPr>
            <w:tcW w:type="pct" w:w="155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Übliche Lösung</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VALIDATION</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Eingabefehler: Pflichtfeld leer, Format verletzt (Zahlungsmonat, IBAN/BIC), doppeltes Aktenzeichen, historisierter Vorgang</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Eingabe prüfen und korrigieren; Aktenzeichen ändern; historisierte Vorgänge nicht mehr buchen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KEIN_ANSPRUCH</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 ≤ 0: anrechenbares Einkommen übersteigt den Gesamtbedarf</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Einkommens- und Bedarfsangaben prüfen; bei rechtmäßigem Ergebnis keine Leistung bewilligen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BUDGET_ERSCHOEPFT</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 übersteigt das Restbudget des Vorgangs</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Restbudget prüfen, ggf. Startbudget erhöhen oder ältere Zahlung stornieren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KONKURRENZ</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 anderer Bearbeiter hat den Vorgang/SozialFall zwischenzeitlich geändert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Neustand automatisch geladen — Änderung erneut eintragen und speichern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BERECHTIGUNG</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Funktion erfordert die Admin-Rolle oder verletzt das Vier-Augen-Prinzip</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Admin-Funktion durch Administrator ausführen lassen; Freigabe durch zweite Person vornehmen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RBS_NICHT_KONFIGURIERT</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Eine Regelbedarfsstufe außerhalb 1–6 ist gesetzt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Regelbedarfsstufe des SozialFalls korrigieren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ANMELDUNG</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Nicht angemeldet oder Sitzung abgelaufen (Server-Neustart)</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Erneut anmelden</w:t>
            </w:r>
          </w:p>
        </w:tc>
      </w:tr>
      <w:tr>
        <w:trPr>
          <w:cantSplit/>
        </w:trPr>
        <w:tc>
          <w:tcPr>
            <w:tcW w:type="pct" w:w="16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NICHT_GEFUNDEN</w:t>
            </w:r>
          </w:p>
        </w:tc>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Vorgang/Zahlung existiert nicht (mehr)</w:t>
            </w:r>
          </w:p>
        </w:tc>
        <w:tc>
          <w:tcPr>
            <w:tcW w:type="pct" w:w="155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Übersicht aktualisieren; Verweis prüfen</w:t>
            </w:r>
          </w:p>
        </w:tc>
      </w:tr>
    </w:tbl>
    <w:p>
      <w:pPr>
        <w:pStyle w:val="Heading2"/>
        <w:keepNext/>
        <w:spacing w:after="140" w:before="280" w:line="340" w:lineRule="atLeast"/>
      </w:pPr>
      <w:bookmarkStart w:name="_Toc49" w:id="49"/>
      <w:r>
        <w:rPr>
          <w:rFonts w:ascii="Times New Roman" w:eastAsia="Times New Roman"/>
          <w:b/>
          <w:bCs/>
          <w:color w:val="0B1C2C"/>
          <w:sz w:val="27"/>
          <w:szCs w:val="27"/>
        </w:rPr>
        <w:t xml:space="preserve">12.4  Was die Anwendung bewusst nicht tut</w:t>
      </w:r>
      <w:bookmarkEnd w:id="49"/>
    </w:p>
    <w:p>
      <w:pPr>
        <w:spacing w:after="120" w:line="312"/>
        <w:jc w:val="both"/>
      </w:pPr>
      <w:r>
        <w:rPr>
          <w:rFonts w:ascii="Times New Roman" w:eastAsia="Times New Roman"/>
          <w:b w:val="false"/>
          <w:bCs w:val="false"/>
          <w:i w:val="false"/>
          <w:iCs w:val="false"/>
          <w:color w:val="000000"/>
          <w:sz w:val="22"/>
          <w:szCs w:val="22"/>
        </w:rPr>
        <w:t xml:space="preserve">Die Abgrenzung gehört zu einem ehrlichen Handbuch: Die Anwendung prüft weder die Angemessenheit der Miete am Ort noch das Vermögen nach § 90 SGB XII; sie archiviert keine Belege und versendet keinen echten SEPA-Zahlungsstrom — der Kassenlauf ist die fachliche Übergabe an das nachgelagerte Zahlungssystem. Merkzeichen-G-Einträge und Warmwasser-Mehrbedarf werden nicht gegen Nachweise validiert. Diese Prüfungen bleiben der Fachkraft; die Anwendung stellt sicher, dass alles Erfaßte rechnerisch korrekt, revisionssicher und im Vier-Augen-Wege zur Auszahlung gelangt.</w:t>
      </w:r>
    </w:p>
    <w:p>
      <w:pPr>
        <w:pBdr>
          <w:left w:val="single" w:color="529286" w:sz="24" w:space="16"/>
        </w:pBdr>
        <w:spacing w:after="120" w:before="3200"/>
        <w:ind w:left="240"/>
        <w:jc w:val="left"/>
      </w:pPr>
      <w:r>
        <w:rPr>
          <w:rFonts w:ascii="Times New Roman" w:eastAsia="Times New Roman"/>
          <w:b/>
          <w:bCs/>
          <w:color w:val="529286"/>
          <w:sz w:val="26"/>
          <w:szCs w:val="26"/>
        </w:rPr>
        <w:t xml:space="preserve">TEIL II</w:t>
      </w:r>
    </w:p>
    <w:p>
      <w:pPr>
        <w:pBdr>
          <w:left w:val="single" w:color="529286" w:sz="24" w:space="16"/>
        </w:pBdr>
        <w:spacing w:after="200" w:line="700" w:lineRule="atLeast"/>
        <w:ind w:left="240"/>
      </w:pPr>
      <w:r>
        <w:rPr>
          <w:rFonts w:ascii="Times New Roman" w:eastAsia="Times New Roman"/>
          <w:b/>
          <w:bCs/>
          <w:color w:val="0B1C2C"/>
          <w:sz w:val="52"/>
          <w:szCs w:val="52"/>
        </w:rPr>
        <w:t xml:space="preserve">Technische Dokumentation</w:t>
      </w:r>
    </w:p>
    <w:p>
      <w:pPr>
        <w:ind w:left="240"/>
      </w:pPr>
      <w:r>
        <w:rPr>
          <w:rFonts w:ascii="Times New Roman" w:eastAsia="Times New Roman"/>
          <w:i/>
          <w:iCs/>
          <w:color w:val="5B6B7D"/>
          <w:sz w:val="24"/>
          <w:szCs w:val="24"/>
        </w:rPr>
        <w:t xml:space="preserve">Architektur, Transaktionssteuerung, Saga-Muster, Datenmodell, Sicherheit und Betrieb</w:t>
      </w:r>
      <w:r>
        <w:br w:type="page"/>
      </w:r>
    </w:p>
    <w:p>
      <w:pPr>
        <w:pStyle w:val="Heading1"/>
        <w:keepNext/>
        <w:spacing w:after="200" w:before="360" w:line="380" w:lineRule="atLeast"/>
      </w:pPr>
      <w:bookmarkStart w:name="_Toc50" w:id="50"/>
      <w:r>
        <w:rPr>
          <w:rFonts w:ascii="Times New Roman" w:eastAsia="Times New Roman"/>
          <w:b/>
          <w:bCs/>
          <w:color w:val="0B1C2C"/>
          <w:sz w:val="32"/>
          <w:szCs w:val="32"/>
        </w:rPr>
        <w:t xml:space="preserve">13  Architekturüberblick</w:t>
      </w:r>
      <w:bookmarkEnd w:id="50"/>
    </w:p>
    <w:p>
      <w:pPr>
        <w:pStyle w:val="Heading2"/>
        <w:keepNext/>
        <w:spacing w:after="140" w:before="280" w:line="340" w:lineRule="atLeast"/>
      </w:pPr>
      <w:bookmarkStart w:name="_Toc51" w:id="51"/>
      <w:r>
        <w:rPr>
          <w:rFonts w:ascii="Times New Roman" w:eastAsia="Times New Roman"/>
          <w:b/>
          <w:bCs/>
          <w:color w:val="0B1C2C"/>
          <w:sz w:val="27"/>
          <w:szCs w:val="27"/>
        </w:rPr>
        <w:t xml:space="preserve">13.1  Leitprinzip: Die Datenbank trägt die Transaktionen</w:t>
      </w:r>
      <w:bookmarkEnd w:id="51"/>
    </w:p>
    <w:p>
      <w:pPr>
        <w:spacing w:after="120" w:line="312"/>
        <w:jc w:val="both"/>
      </w:pPr>
      <w:r>
        <w:rPr>
          <w:rFonts w:ascii="Times New Roman" w:eastAsia="Times New Roman"/>
          <w:b w:val="false"/>
          <w:bCs w:val="false"/>
          <w:i w:val="false"/>
          <w:iCs w:val="false"/>
          <w:color w:val="000000"/>
          <w:sz w:val="22"/>
          <w:szCs w:val="22"/>
        </w:rPr>
        <w:t xml:space="preserve">Das Projekt ersetzt einen klassischen Transaktionsmonitor durch eine Eigenentwicklung auf dem JDK. Das Leitprinzip lautet: Oracle liefert den transaktionalen Kern — ACID-Eigenschaften, Sperrverwaltung, Redo-Logging und Wiederanlauf nach Absturz kommen aus dem Datenbanksystem und werden nicht nachgebaut. Die Eigenentwicklung programmiert ausschließlich die Steuerungsschicht darüber: begrenzte Parallelität, Zeitüberwachung, Wiederholung bei Sperrkonflikten und die Orchestrierung längerer Geschäftsvorgänge als Saga. Bewusst wurden keine Frameworks eingesetzt (kein Spring, kein Applikationsserver); die Webschicht läuft auf dem in Java 21 enthaltenen HttpServer, JSON wird über eine eigene schlanke Klasse gelesen und geschrieben.</w:t>
      </w:r>
    </w:p>
    <w:p>
      <w:pPr>
        <w:pStyle w:val="Heading2"/>
        <w:keepNext/>
        <w:spacing w:after="140" w:before="280" w:line="340" w:lineRule="atLeast"/>
      </w:pPr>
      <w:bookmarkStart w:name="_Toc52" w:id="52"/>
      <w:r>
        <w:rPr>
          <w:rFonts w:ascii="Times New Roman" w:eastAsia="Times New Roman"/>
          <w:b/>
          <w:bCs/>
          <w:color w:val="0B1C2C"/>
          <w:sz w:val="27"/>
          <w:szCs w:val="27"/>
        </w:rPr>
        <w:t xml:space="preserve">13.2  Schichten und Bausteine</w:t>
      </w:r>
      <w:bookmarkEnd w:id="52"/>
    </w:p>
    <w:p>
      <w:pPr>
        <w:spacing w:after="120" w:line="312"/>
        <w:jc w:val="both"/>
      </w:pPr>
      <w:r>
        <w:rPr>
          <w:rFonts w:ascii="Times New Roman" w:eastAsia="Times New Roman"/>
          <w:b w:val="false"/>
          <w:bCs w:val="false"/>
          <w:i w:val="false"/>
          <w:iCs w:val="false"/>
          <w:color w:val="000000"/>
          <w:sz w:val="22"/>
          <w:szCs w:val="22"/>
        </w:rPr>
        <w:t xml:space="preserve">Die Anwendung ist in vier Schichten gegliedert (Abbildung 1 am Anfang des Handbuchs zeigt das Gesamtbild):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Oberfläche (webapp): </w:t>
      </w:r>
      <w:r>
        <w:rPr>
          <w:rFonts w:ascii="Times New Roman" w:eastAsia="Times New Roman"/>
          <w:b w:val="false"/>
          <w:bCs w:val="false"/>
          <w:i w:val="false"/>
          <w:iCs w:val="false"/>
          <w:color w:val="000000"/>
          <w:sz w:val="22"/>
          <w:szCs w:val="22"/>
        </w:rPr>
        <w:t xml:space="preserve">Vanilla HTML/CSS/JavaScript als Single-Page-Anwendung ohne externe Abhängigkeiten; Widget-Dashboard, Vorgangsmaske, Journal, Adminbereich.</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Webschicht (de.allgemein.lmg.web): </w:t>
      </w:r>
      <w:r>
        <w:rPr>
          <w:rFonts w:ascii="Times New Roman" w:eastAsia="Times New Roman"/>
          <w:b w:val="false"/>
          <w:bCs w:val="false"/>
          <w:i w:val="false"/>
          <w:iCs w:val="false"/>
          <w:color w:val="000000"/>
          <w:sz w:val="22"/>
          <w:szCs w:val="22"/>
        </w:rPr>
        <w:t xml:space="preserve">LmgServer auf dem JDK-HttpServer mit JSON-API und Berechtigungsprüfung; Json als eigener Parser/Writer; Benutzerverwaltung für Konten, Rollen und Sitzungs-Token.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Fachschicht (de.allgemein.lmg): </w:t>
      </w:r>
      <w:r>
        <w:rPr>
          <w:rFonts w:ascii="Times New Roman" w:eastAsia="Times New Roman"/>
          <w:b w:val="false"/>
          <w:bCs w:val="false"/>
          <w:i w:val="false"/>
          <w:iCs w:val="false"/>
          <w:color w:val="000000"/>
          <w:sz w:val="22"/>
          <w:szCs w:val="22"/>
        </w:rPr>
        <w:t xml:space="preserve">SozialLeistungsService mit den Fachdiensten, Leistungsberechnung als reine Funktion (ohne Datenbank, vollständig unit-getestet), SepaValidator, BescheidGenerator und die DAOs.</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Transaktionssteuerung (de.allgemein.tx): </w:t>
      </w:r>
      <w:r>
        <w:rPr>
          <w:rFonts w:ascii="Times New Roman" w:eastAsia="Times New Roman"/>
          <w:b w:val="false"/>
          <w:bCs w:val="false"/>
          <w:i w:val="false"/>
          <w:iCs w:val="false"/>
          <w:color w:val="000000"/>
          <w:sz w:val="22"/>
          <w:szCs w:val="22"/>
        </w:rPr>
        <w:t xml:space="preserve">TaskController, TxManager mit RetryPolicy, SagaEngine mit Journal und der Verbindungspool — die Kernbibliothek, die in Kapitel 14 bis 15 im Detail beschrieben wird.</w:t>
      </w:r>
    </w:p>
    <w:p>
      <w:pPr>
        <w:keepNext/>
        <w:spacing w:after="80" w:before="160"/>
      </w:pPr>
      <w:r>
        <w:rPr>
          <w:rFonts w:ascii="Times New Roman" w:eastAsia="Times New Roman"/>
          <w:b/>
          <w:bCs/>
          <w:color w:val="5B6B7D"/>
          <w:sz w:val="20"/>
          <w:szCs w:val="20"/>
        </w:rPr>
        <w:t xml:space="preserve">Tabelle 6 — Zentrale Bausteine der Kernbibliothek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Baustein</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Verantwortung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TxManager</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Führt Facharbeit in einer Oracle-Transaktion aus: Verbindung aus dem Pool, AutoCommit aus, Commit bei Erfolg, Rollback bei jedem Fehler, Wiederholung nur bei wiederholbaren Datenbank-Konflikten.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TxContext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Repräsentiert die laufende Transaktion: Verbindung, Deadline (Start + Timeout), Status, Savepoints; prüft die Deadline zwischen Teilarbeiten.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TxOptions</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Wertobjekt: Isolationsebene (Standard READ COMMITTED), Timeout (Standard 30 s), maximale Versuche (Standard 3).</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RetryPolicy</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Klassifiziert SQLException: ORA-00054/00060/08177 und SQLState 40001/61000 gelten als wiederholbar; exponentieller Backoff mit Zufallsanteil.</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TaskController</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Fester Thread-Pool mit begrenzter Warteschlange, Zeitlimit-Wachhund (Interrupt), Statistik (TaskStats).</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SagaEngine</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Führt SagaDefinition als Kette kurzer Transaktionen aus; kompensiert rückwärts; recover() beendet halbfertige Vorgänge nach Neustart.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DAO für TX_SAGA und TX_SAGA_STEP; jede Journal-Schreiboperation committet sofort, getrennt von den Fachtransaktionen.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UcpConnectionPool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Oracle Universal Connection Pool mit Validierung bei Ausleihe; ersatzweise SimpleConnectionPool (bewusst minimal).</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TxAuditLog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Revisionssicheres Audit-Log: Ringpuffer (1.000 Einträge), Listener, optionaler Dateiausschrieb.</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TxMonitoring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JMX-MBeans für Task-Statistik und Pool-Auslastung (Domain de.allgemein.tx).</w:t>
            </w:r>
          </w:p>
        </w:tc>
      </w:tr>
    </w:tbl>
    <w:p>
      <w:pPr>
        <w:pStyle w:val="Heading2"/>
        <w:keepNext/>
        <w:spacing w:after="140" w:before="280" w:line="340" w:lineRule="atLeast"/>
      </w:pPr>
      <w:bookmarkStart w:name="_Toc53" w:id="53"/>
      <w:r>
        <w:rPr>
          <w:rFonts w:ascii="Times New Roman" w:eastAsia="Times New Roman"/>
          <w:b/>
          <w:bCs/>
          <w:color w:val="0B1C2C"/>
          <w:sz w:val="27"/>
          <w:szCs w:val="27"/>
        </w:rPr>
        <w:t xml:space="preserve">13.3  Web-Schicht und Fehlerabbildung</w:t>
      </w:r>
      <w:bookmarkEnd w:id="53"/>
    </w:p>
    <w:p>
      <w:pPr>
        <w:spacing w:after="120" w:line="312"/>
        <w:jc w:val="both"/>
      </w:pPr>
      <w:r>
        <w:rPr>
          <w:rFonts w:ascii="Times New Roman" w:eastAsia="Times New Roman"/>
          <w:b w:val="false"/>
          <w:bCs w:val="false"/>
          <w:i w:val="false"/>
          <w:iCs w:val="false"/>
          <w:color w:val="000000"/>
          <w:sz w:val="22"/>
          <w:szCs w:val="22"/>
        </w:rPr>
        <w:t xml:space="preserve">Jede HTTP-Anfrage ist ein Task der Task-Steuerung — damit gelten begrenzte Parallelität, Warteschlange und Zeitlimit-Wachhund auch für den Webbetrieb. Die Fehlerabbildung folgt festen Regeln: fachliche Fehler werden als HTTP 400 mit JSON-Körper {code, message} geliefert (KONKURRENZ, KEIN_ANSPRUCH, BUDGET_ERSCHOEPFT, VALIDATION, RBS_NICHT_KONFIGURIERT, BERECHTIGUNG), unbekannte Ressourcen als 404, technische Fehler als 500 mit Code TECHNISCH. Fachliche Fehler erben von TxException und brechen eine Transaktion ohne Wiederholung ab — nur Sperrkonflikte werden wiederholt.</w:t>
      </w:r>
    </w:p>
    <w:p>
      <w:pPr>
        <w:pStyle w:val="Heading1"/>
        <w:keepNext/>
        <w:spacing w:after="200" w:before="360" w:line="380" w:lineRule="atLeast"/>
      </w:pPr>
      <w:bookmarkStart w:name="_Toc54" w:id="54"/>
      <w:r>
        <w:rPr>
          <w:rFonts w:ascii="Times New Roman" w:eastAsia="Times New Roman"/>
          <w:b/>
          <w:bCs/>
          <w:color w:val="0B1C2C"/>
          <w:sz w:val="32"/>
          <w:szCs w:val="32"/>
        </w:rPr>
        <w:t xml:space="preserve">14  Die Transaktionssteuerung im Detail</w:t>
      </w:r>
      <w:bookmarkEnd w:id="54"/>
    </w:p>
    <w:p>
      <w:pPr>
        <w:pStyle w:val="Heading2"/>
        <w:keepNext/>
        <w:spacing w:after="140" w:before="280" w:line="340" w:lineRule="atLeast"/>
      </w:pPr>
      <w:bookmarkStart w:name="_Toc55" w:id="55"/>
      <w:r>
        <w:rPr>
          <w:rFonts w:ascii="Times New Roman" w:eastAsia="Times New Roman"/>
          <w:b/>
          <w:bCs/>
          <w:color w:val="0B1C2C"/>
          <w:sz w:val="27"/>
          <w:szCs w:val="27"/>
        </w:rPr>
        <w:t xml:space="preserve">14.1  Kurze Transaktionen als Grundbaustein</w:t>
      </w:r>
      <w:bookmarkEnd w:id="55"/>
    </w:p>
    <w:p>
      <w:pPr>
        <w:spacing w:after="120" w:line="312"/>
        <w:jc w:val="both"/>
      </w:pPr>
      <w:r>
        <w:rPr>
          <w:rFonts w:ascii="Times New Roman" w:eastAsia="Times New Roman"/>
          <w:b w:val="false"/>
          <w:bCs w:val="false"/>
          <w:i w:val="false"/>
          <w:iCs w:val="false"/>
          <w:color w:val="000000"/>
          <w:sz w:val="22"/>
          <w:szCs w:val="22"/>
        </w:rPr>
        <w:t xml:space="preserve">Alle Fachdienste — vom Speichern einer Maske bis zur Auszahlungsanordnung — laufen als kurze Transaktion über TxManager.execute. Der Ablauf (Abbildung 19): Verbindung aus dem Pool holen, AutoCommit ausschalten, Isolation setzen, die Facharbeit ausführen, bei Erfolg committen, bei jedem Fehler zurückrollen und die Verbindung in jedem Fall an den Pool zurückgeben. Fachliche Fehler brechen sofort ab; nur wiederholbare Datenbank-Konflikte führen zu einem zweiten und dritten Versuch mit steigender Wartezeit.</w:t>
      </w:r>
    </w:p>
    <w:p>
      <w:pPr>
        <w:keepNext/>
        <w:spacing w:after="60" w:before="160"/>
        <w:jc w:val="center"/>
      </w:pPr>
      <w:r>
        <w:drawing>
          <wp:inline distT="0" distB="0" distL="0" distR="0">
            <wp:extent cx="5353050" cy="3343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53050" cy="3343275"/>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19 — Ablaufdiagramm von TxManager.execute — Commit, Rollback, Retry mit Backoff</w:t>
      </w:r>
    </w:p>
    <w:p>
      <w:pPr>
        <w:pStyle w:val="Heading2"/>
        <w:keepNext/>
        <w:spacing w:after="140" w:before="280" w:line="340" w:lineRule="atLeast"/>
      </w:pPr>
      <w:bookmarkStart w:name="_Toc56" w:id="56"/>
      <w:r>
        <w:rPr>
          <w:rFonts w:ascii="Times New Roman" w:eastAsia="Times New Roman"/>
          <w:b/>
          <w:bCs/>
          <w:color w:val="0B1C2C"/>
          <w:sz w:val="27"/>
          <w:szCs w:val="27"/>
        </w:rPr>
        <w:t xml:space="preserve">14.2  Wiederholung: RetryPolicy und ORA-Codes</w:t>
      </w:r>
      <w:bookmarkEnd w:id="56"/>
    </w:p>
    <w:p>
      <w:pPr>
        <w:spacing w:after="120" w:line="312"/>
        <w:jc w:val="both"/>
      </w:pPr>
      <w:r>
        <w:rPr>
          <w:rFonts w:ascii="Times New Roman" w:eastAsia="Times New Roman"/>
          <w:b w:val="false"/>
          <w:bCs w:val="false"/>
          <w:i w:val="false"/>
          <w:iCs w:val="false"/>
          <w:color w:val="000000"/>
          <w:sz w:val="22"/>
          <w:szCs w:val="22"/>
        </w:rPr>
        <w:t xml:space="preserve">Nur drei Fehlersituationen sind wiederholbar, weil sie ein vorübergehendes Sperrproblem ausdrücken — alles andere ist fachlich oder technisch irreversibel:</w:t>
      </w:r>
    </w:p>
    <w:p>
      <w:pPr>
        <w:keepNext/>
        <w:spacing w:after="80" w:before="160"/>
      </w:pPr>
      <w:r>
        <w:rPr>
          <w:rFonts w:ascii="Times New Roman" w:eastAsia="Times New Roman"/>
          <w:b/>
          <w:bCs/>
          <w:color w:val="5B6B7D"/>
          <w:sz w:val="20"/>
          <w:szCs w:val="20"/>
        </w:rPr>
        <w:t xml:space="preserve">Tabelle 7 — Wiederholbare Datenbank-Fehler (RetryPolicy)</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933"/>
        <w:gridCol w:w="3867"/>
        <w:gridCol w:w="2988"/>
      </w:tblGrid>
      <w:tr>
        <w:trPr>
          <w:cantSplit/>
          <w:tblHeader/>
        </w:trPr>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Fehler</w:t>
            </w:r>
          </w:p>
        </w:tc>
        <w:tc>
          <w:tcPr>
            <w:tcW w:type="pct" w:w="2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c>
          <w:tcPr>
            <w:tcW w:type="pct" w:w="1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Reaktion der Steuerung</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ORA-00054</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Ressource belegt (Zeile von anderer Sitzung gesperrt)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ORA-00060</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Deadlock erkannt — Oracle hat die eigene Sitzung als Opfer zurückgerollt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 (in der echten Deadlock-Testklasse verifiziert)</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ORA-08177</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Serialisierbarkeitskonflikt (nur bei SERIALIZABLE-Isolation relevant)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Rollback, Backoff, erneuter Versuch</w:t>
            </w:r>
          </w:p>
        </w:tc>
      </w:tr>
      <w:tr>
        <w:trPr>
          <w:cantSplit/>
        </w:trPr>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SQLState 40001 / 61000</w:t>
            </w:r>
          </w:p>
        </w:tc>
        <w:tc>
          <w:tcPr>
            <w:tcW w:type="pct" w:w="2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Anbieterübergreifende Codes für Konflikt/Ressourcenlimit</w:t>
            </w:r>
          </w:p>
        </w:tc>
        <w:tc>
          <w:tcPr>
            <w:tcW w:type="pct" w:w="1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wie oben</w:t>
            </w:r>
          </w:p>
        </w:tc>
      </w:tr>
    </w:tbl>
    <w:p>
      <w:pPr>
        <w:spacing w:after="120" w:line="312"/>
        <w:jc w:val="both"/>
      </w:pPr>
      <w:r>
        <w:rPr>
          <w:rFonts w:ascii="Times New Roman" w:eastAsia="Times New Roman"/>
          <w:b w:val="false"/>
          <w:bCs w:val="false"/>
          <w:i w:val="false"/>
          <w:iCs w:val="false"/>
          <w:color w:val="000000"/>
          <w:sz w:val="22"/>
          <w:szCs w:val="22"/>
        </w:rPr>
        <w:t xml:space="preserve">Die Suche nach diesen Codes durchläuft die gesamte Oracle-Fehlerkette (ein ORA-00060 versteckt sich häufig als Ursache eines allgemeinen Fehlers). Der Backoff startet bei 200 ms, verdoppelt sich je Fehlversuch (maximal Faktor 2^10) und enthält einen Zufallsanteil bis zur Hälfte der Wartezeit — dadurch entzerren sich konkurrierende Sitzungen statt sich gegenseitig erneut zu blockieren. Nach drei Versuchen bricht die Steuerung mit TxException ab.</w:t>
      </w:r>
    </w:p>
    <w:p>
      <w:pPr>
        <w:pStyle w:val="Heading2"/>
        <w:keepNext/>
        <w:spacing w:after="140" w:before="280" w:line="340" w:lineRule="atLeast"/>
      </w:pPr>
      <w:bookmarkStart w:name="_Toc57" w:id="57"/>
      <w:r>
        <w:rPr>
          <w:rFonts w:ascii="Times New Roman" w:eastAsia="Times New Roman"/>
          <w:b/>
          <w:bCs/>
          <w:color w:val="0B1C2C"/>
          <w:sz w:val="27"/>
          <w:szCs w:val="27"/>
        </w:rPr>
        <w:t xml:space="preserve">14.3  Deadline und Wachhund</w:t>
      </w:r>
      <w:bookmarkEnd w:id="57"/>
    </w:p>
    <w:p>
      <w:pPr>
        <w:spacing w:after="120" w:line="312"/>
        <w:jc w:val="both"/>
      </w:pPr>
      <w:r>
        <w:rPr>
          <w:rFonts w:ascii="Times New Roman" w:eastAsia="Times New Roman"/>
          <w:b w:val="false"/>
          <w:bCs w:val="false"/>
          <w:i w:val="false"/>
          <w:iCs w:val="false"/>
          <w:color w:val="000000"/>
          <w:sz w:val="22"/>
          <w:szCs w:val="22"/>
        </w:rPr>
        <w:t xml:space="preserve">Jede Transaktion erhält beim Start eine Deadline (Standard: 30 Sekunden, konfigurierbar je Aufruf über TxOptions). TxContext.checkDeadline() kann die Facharbeit zwischen Teilarbeiten aufrufen; zusätzlich prüft der TxManager vor dem Commit die Deadline — nach Ablauf wird nicht mehr committet, sondern abgebrochen. Über der Transaktionsebene wacht der TaskController: Jeder Task bekommt ein Zeitlimit; ein eigener Wachhund-Thread (tx-task-watchdog) bricht überschrittene Tasks mit Thread-Interrupt ab. Der Interrupt lässt den blockierenden JDBC-Aufruf fehlschlagen, wodurch die Transaktion zurückrollt — der Datenbank-Kern bleibt damit immer sauber, auch wenn die Facharbeit hängt.</w:t>
      </w:r>
    </w:p>
    <w:p>
      <w:pPr>
        <w:keepNext/>
        <w:spacing w:after="80" w:before="160"/>
      </w:pPr>
      <w:r>
        <w:rPr>
          <w:rFonts w:ascii="Times New Roman" w:eastAsia="Times New Roman"/>
          <w:b/>
          <w:bCs/>
          <w:color w:val="5B6B7D"/>
          <w:sz w:val="20"/>
          <w:szCs w:val="20"/>
        </w:rPr>
        <w:t xml:space="preserve">Tabelle 8 — Standardwerte der Transaktionssteuerung</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1933"/>
        <w:gridCol w:w="4570"/>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Parameter</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Standardwert</w:t>
            </w:r>
          </w:p>
        </w:tc>
        <w:tc>
          <w:tcPr>
            <w:tcW w:type="pct" w:w="2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Isolationsebene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READ COMMITTED</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Oracle-Standard; kein Serialisierungs-Overhead im Normalbetrieb</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Transaktions-Timeout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30 Sekunden</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Deadline je Transaktion; danach kein Commit mehr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Maximale Versuche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Erstversuch plus zwei Wiederholungen bei Sperrkonflikten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Backoff-Start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200 ms</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Wartezeit nach dem ersten Fehlversuch, verdoppelnd</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Task-Zeitlimit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30.000 ms</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Wachhund-Interrupt für den ganzen Task</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Task-Parallelität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Größe des Thread-Pools (konfigurierbar, Kapitel 19)</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Warteschlange</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100</w:t>
            </w:r>
          </w:p>
        </w:tc>
        <w:tc>
          <w:tcPr>
            <w:tcW w:type="pct" w:w="2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Begrenzte Auftragswarteschlange; voll → Abweisung statt Überlastung</w:t>
            </w:r>
          </w:p>
        </w:tc>
      </w:tr>
    </w:tbl>
    <w:p>
      <w:pPr>
        <w:pStyle w:val="Heading2"/>
        <w:keepNext/>
        <w:spacing w:after="140" w:before="280" w:line="340" w:lineRule="atLeast"/>
      </w:pPr>
      <w:bookmarkStart w:name="_Toc58" w:id="58"/>
      <w:r>
        <w:rPr>
          <w:rFonts w:ascii="Times New Roman" w:eastAsia="Times New Roman"/>
          <w:b/>
          <w:bCs/>
          <w:color w:val="0B1C2C"/>
          <w:sz w:val="27"/>
          <w:szCs w:val="27"/>
        </w:rPr>
        <w:t xml:space="preserve">14.4  Verbindungspools</w:t>
      </w:r>
      <w:bookmarkEnd w:id="58"/>
    </w:p>
    <w:p>
      <w:pPr>
        <w:spacing w:after="120" w:line="312"/>
        <w:jc w:val="both"/>
      </w:pPr>
      <w:r>
        <w:rPr>
          <w:rFonts w:ascii="Times New Roman" w:eastAsia="Times New Roman"/>
          <w:b w:val="false"/>
          <w:bCs w:val="false"/>
          <w:i w:val="false"/>
          <w:iCs w:val="false"/>
          <w:color w:val="000000"/>
          <w:sz w:val="22"/>
          <w:szCs w:val="22"/>
        </w:rPr>
        <w:t xml:space="preserve">Die Fachschicht hängt ausschließlich an der Schnittstelle getConnection/release — der Pool ist damit austauschbar, ohne eine Fachklasse zu berühren. Für den Betrieb steht UcpConnectionPool auf dem Oracle Universal Connection Pool: Verbindungvalidierung bei Ausleihe (validateConnectionOnBorrow), Mindestgröße 1, Anfangsbestand min(2, max), Maximum aus der Konfiguration (Standard 8). Der mitgelieferte SimpleConnectionPool (Semaphor plus Warteschlange) dient Demozwecken; für Produktion sind UCP oder HikariCP vorgesehen.</w:t>
      </w:r>
    </w:p>
    <w:p>
      <w:pPr>
        <w:pStyle w:val="Heading2"/>
        <w:keepNext/>
        <w:spacing w:after="140" w:before="280" w:line="340" w:lineRule="atLeast"/>
      </w:pPr>
      <w:bookmarkStart w:name="_Toc59" w:id="59"/>
      <w:r>
        <w:rPr>
          <w:rFonts w:ascii="Times New Roman" w:eastAsia="Times New Roman"/>
          <w:b/>
          <w:bCs/>
          <w:color w:val="0B1C2C"/>
          <w:sz w:val="27"/>
          <w:szCs w:val="27"/>
        </w:rPr>
        <w:t xml:space="preserve">14.5  Audit-Log und Monitoring</w:t>
      </w:r>
      <w:bookmarkEnd w:id="59"/>
    </w:p>
    <w:p>
      <w:pPr>
        <w:spacing w:after="120" w:line="312"/>
        <w:jc w:val="both"/>
      </w:pPr>
      <w:r>
        <w:rPr>
          <w:rFonts w:ascii="Times New Roman" w:eastAsia="Times New Roman"/>
          <w:b w:val="false"/>
          <w:bCs w:val="false"/>
          <w:i w:val="false"/>
          <w:iCs w:val="false"/>
          <w:color w:val="000000"/>
          <w:sz w:val="22"/>
          <w:szCs w:val="22"/>
        </w:rPr>
        <w:t xml:space="preserve">TxAuditLog schreibt für jede Transaktion und Saga ein Ereignis mit Zeitstempel, Thread, Kategorie (TX.COMMIT, TX.ROLLBACK, TX.RETRY, SAGA.*), Id, Versuch, Dauer und Fehler. Die Einträge landen in einem thread-sicheren Ringpuffer mit 1.000 Plätzen (für Diagnose und Oberfläche) und parallel in einer Datei (Standard lmg_audit.log, UTF-8, anhängend). Zeilenformat: Zeitstempel [Thread] KATEGORIE.EREIGNIS id=… attempt=n duration=… error="…". TxMonitoring registriert zusätzlich JMX-MBeans (de.allgemein.tx:type=TaskController und :type=ConnectionPool) mit aktiven, erfolgreichen, fehlgeschlagenen, abgebrochenen und abgewiesenen Tasks sowie Pool-Auslastung — anschließbar an jede JMX-Konsole oder an Prometheus-Brücken.</w:t>
      </w:r>
    </w:p>
    <w:p>
      <w:pPr>
        <w:pStyle w:val="Heading1"/>
        <w:keepNext/>
        <w:spacing w:after="200" w:before="360" w:line="380" w:lineRule="atLeast"/>
      </w:pPr>
      <w:bookmarkStart w:name="_Toc60" w:id="60"/>
      <w:r>
        <w:rPr>
          <w:rFonts w:ascii="Times New Roman" w:eastAsia="Times New Roman"/>
          <w:b/>
          <w:bCs/>
          <w:color w:val="0B1C2C"/>
          <w:sz w:val="32"/>
          <w:szCs w:val="32"/>
        </w:rPr>
        <w:t xml:space="preserve">15  Saga-Muster, Journal und Wiederanlauf</w:t>
      </w:r>
      <w:bookmarkEnd w:id="60"/>
    </w:p>
    <w:p>
      <w:pPr>
        <w:pStyle w:val="Heading2"/>
        <w:keepNext/>
        <w:spacing w:after="140" w:before="280" w:line="340" w:lineRule="atLeast"/>
      </w:pPr>
      <w:bookmarkStart w:name="_Toc61" w:id="61"/>
      <w:r>
        <w:rPr>
          <w:rFonts w:ascii="Times New Roman" w:eastAsia="Times New Roman"/>
          <w:b/>
          <w:bCs/>
          <w:color w:val="0B1C2C"/>
          <w:sz w:val="27"/>
          <w:szCs w:val="27"/>
        </w:rPr>
        <w:t xml:space="preserve">15.1  Warum kein großes Rollback</w:t>
      </w:r>
      <w:bookmarkEnd w:id="61"/>
    </w:p>
    <w:p>
      <w:pPr>
        <w:spacing w:after="120" w:line="312"/>
        <w:jc w:val="both"/>
      </w:pPr>
      <w:r>
        <w:rPr>
          <w:rFonts w:ascii="Times New Roman" w:eastAsia="Times New Roman"/>
          <w:b w:val="false"/>
          <w:bCs w:val="false"/>
          <w:i w:val="false"/>
          <w:iCs w:val="false"/>
          <w:color w:val="000000"/>
          <w:sz w:val="22"/>
          <w:szCs w:val="22"/>
        </w:rPr>
        <w:t xml:space="preserve">Ein Bewilligungsvorgang besteht aus Fachentscheidungen, die jeweils für sich gültig sind: Ein angelegter Vorgang ist ein Fakt, ein erteilter Bescheid ein anderer. Würde man den ganzen Ablauf in eine einzige lange Transaktion spannen, würde man Zeilen minutenlang sperren, die Datenbank belasten und bei jedem kleinen Fehler alles verlieren. Das Saga-Muster zerlegt den Ablauf deshalb in kurze Transaktionen mit vorgesehenen Kompensationen: Jeder Schritt hat eine als Fachlogik implementierte Rückgängig-Aktion (Vorgang löschen, Bescheid aufheben, Zahlung stornieren). Scheitert Schritt 3, laufen die Kompensationen von Schritt 2 und 1 rückwärts. Das entspricht fachlich der Aufhebung eines Bescheids — nicht technisch dem Zurückrollen einer Datenbank.</w:t>
      </w:r>
    </w:p>
    <w:p>
      <w:pPr>
        <w:pStyle w:val="Heading2"/>
        <w:keepNext/>
        <w:spacing w:after="140" w:before="280" w:line="340" w:lineRule="atLeast"/>
      </w:pPr>
      <w:bookmarkStart w:name="_Toc62" w:id="62"/>
      <w:r>
        <w:rPr>
          <w:rFonts w:ascii="Times New Roman" w:eastAsia="Times New Roman"/>
          <w:b/>
          <w:bCs/>
          <w:color w:val="0B1C2C"/>
          <w:sz w:val="27"/>
          <w:szCs w:val="27"/>
        </w:rPr>
        <w:t xml:space="preserve">15.2  Die vier Schritte der Antrags-Saga</w:t>
      </w:r>
      <w:bookmarkEnd w:id="62"/>
    </w:p>
    <w:p>
      <w:pPr>
        <w:spacing w:after="120" w:line="312"/>
        <w:jc w:val="both"/>
      </w:pPr>
      <w:r>
        <w:rPr>
          <w:rFonts w:ascii="Times New Roman" w:eastAsia="Times New Roman"/>
          <w:b w:val="false"/>
          <w:bCs w:val="false"/>
          <w:i w:val="false"/>
          <w:iCs w:val="false"/>
          <w:color w:val="000000"/>
          <w:sz w:val="22"/>
          <w:szCs w:val="22"/>
        </w:rPr>
        <w:t xml:space="preserve">Der Antragsprozess (Klasse AntragsSagaProzess, Typ SGB_XII_ANTRAGSVERARBEITUNG) ist deklarativ definiert — je Schritt Aktion und Kompensation:</w:t>
      </w:r>
    </w:p>
    <w:p>
      <w:pPr>
        <w:keepNext/>
        <w:spacing w:after="80" w:before="160"/>
      </w:pPr>
      <w:r>
        <w:rPr>
          <w:rFonts w:ascii="Times New Roman" w:eastAsia="Times New Roman"/>
          <w:b/>
          <w:bCs/>
          <w:color w:val="5B6B7D"/>
          <w:sz w:val="20"/>
          <w:szCs w:val="20"/>
        </w:rPr>
        <w:t xml:space="preserve">Tabelle 9 — Schritte der Antrags-Saga mit Aktion und Kompensation</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758"/>
        <w:gridCol w:w="3691"/>
        <w:gridCol w:w="3339"/>
      </w:tblGrid>
      <w:tr>
        <w:trPr>
          <w:cantSplit/>
          <w:tblHeader/>
        </w:trPr>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Schritt</w:t>
            </w:r>
          </w:p>
        </w:tc>
        <w:tc>
          <w:tcPr>
            <w:tcW w:type="pct" w:w="2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Aktion (eigene Transaktion)</w:t>
            </w:r>
          </w:p>
        </w:tc>
        <w:tc>
          <w:tcPr>
            <w:tcW w:type="pct" w:w="19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Kompensation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 · Vorgang erfassen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 und ersten SozialFall anlegen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SozialFälle und Bedarfsgemeinschaft löschen (auffindbar über das Aktenzeichen)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2 · Bedarfsprüfung</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SGB-XII-Berechnung; bei Zahlbetrag ≤ 0 Abbruch „Kein Leistungsanspruch“</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Journaleintrag „zurückgenommen“ — es gibt nichts Persistiertes zu zurückrollen</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3 · Bescheid erteilen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 mit Nummer BESCH-&lt;Aktenzeichen&gt; und Status ERTEILT anlegen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 auf Status AUFGEHOBEN setzen + Journal</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4 · Erstauszahlung anweisen</w:t>
            </w:r>
          </w:p>
        </w:tc>
        <w:tc>
          <w:tcPr>
            <w:tcW w:type="pct" w:w="2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BEREIT anlegen (Vorgangsnummer SAGA-&lt;UUID&gt;), Restbudget mindern</w:t>
            </w:r>
          </w:p>
        </w:tc>
        <w:tc>
          <w:tcPr>
            <w:tcW w:type="pct" w:w="19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 auf STORNIERT setzen, Restbudget zurückbuchen + Journal</w:t>
            </w:r>
          </w:p>
        </w:tc>
      </w:tr>
    </w:tbl>
    <w:p>
      <w:pPr>
        <w:pStyle w:val="Heading2"/>
        <w:keepNext/>
        <w:spacing w:after="140" w:before="280" w:line="340" w:lineRule="atLeast"/>
      </w:pPr>
      <w:bookmarkStart w:name="_Toc63" w:id="63"/>
      <w:r>
        <w:rPr>
          <w:rFonts w:ascii="Times New Roman" w:eastAsia="Times New Roman"/>
          <w:b/>
          <w:bCs/>
          <w:color w:val="0B1C2C"/>
          <w:sz w:val="27"/>
          <w:szCs w:val="27"/>
        </w:rPr>
        <w:t xml:space="preserve">15.3  Journal-Tabellen und Zustände</w:t>
      </w:r>
      <w:bookmarkEnd w:id="63"/>
    </w:p>
    <w:p>
      <w:pPr>
        <w:spacing w:after="120" w:line="312"/>
        <w:jc w:val="both"/>
      </w:pPr>
      <w:r>
        <w:rPr>
          <w:rFonts w:ascii="Times New Roman" w:eastAsia="Times New Roman"/>
          <w:b w:val="false"/>
          <w:bCs w:val="false"/>
          <w:i w:val="false"/>
          <w:iCs w:val="false"/>
          <w:color w:val="000000"/>
          <w:sz w:val="22"/>
          <w:szCs w:val="22"/>
        </w:rPr>
        <w:t xml:space="preserve">Die SagaEngine schreibt jeden Fortschritt in die beiden Journal-Tabellen TX_SAGA (Kopf: SAGA_ID als UUID, Typ, Zustand, Payload, Zeitstempel) und TX_SAGA_STEP (je Schritt: Index, Name, Zustand). Entscheidend ist, dass jede Journal-Schreiboperation sofort committet — getrennt von den Fachtransaktionen. Dadurch überlebt das Journal jeden Absturz und beschreibt exakt, wie weit der Vorgang gekommen ist.</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Zustände der Saga: </w:t>
      </w:r>
      <w:r>
        <w:rPr>
          <w:rFonts w:ascii="Times New Roman" w:eastAsia="Times New Roman"/>
          <w:b w:val="false"/>
          <w:bCs w:val="false"/>
          <w:i w:val="false"/>
          <w:iCs w:val="false"/>
          <w:color w:val="000000"/>
          <w:sz w:val="22"/>
          <w:szCs w:val="22"/>
        </w:rPr>
        <w:t xml:space="preserve">RUNNING → COMPLETED im Erfolgsweg; RUNNING → FAILED → COMPENSATING → COMPENSATED im Fehlerweg (bei scheiternder Kompensation zurück zu FAILED).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Zustände je Schritt: </w:t>
      </w:r>
      <w:r>
        <w:rPr>
          <w:rFonts w:ascii="Times New Roman" w:eastAsia="Times New Roman"/>
          <w:b w:val="false"/>
          <w:bCs w:val="false"/>
          <w:i w:val="false"/>
          <w:iCs w:val="false"/>
          <w:color w:val="000000"/>
          <w:sz w:val="22"/>
          <w:szCs w:val="22"/>
        </w:rPr>
        <w:t xml:space="preserve">PENDING → DONE → (bei Fehler) COMPENSATED.</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Kompensationen laufen unter dem Kennzeichen „saga-engine“ </w:t>
      </w:r>
      <w:r>
        <w:rPr>
          <w:rFonts w:ascii="Times New Roman" w:eastAsia="Times New Roman"/>
          <w:b w:val="false"/>
          <w:bCs w:val="false"/>
          <w:i w:val="false"/>
          <w:iCs w:val="false"/>
          <w:color w:val="000000"/>
          <w:sz w:val="22"/>
          <w:szCs w:val="22"/>
        </w:rPr>
        <w:t xml:space="preserve">und sind bewusst idempotent gebaut: zustandsabhängige SQL-Updates, die mehrfach ausgeführt denselben Zustand erzeugen — „Bescheid aufheben, falls ERTEILT“ ist zweimal genauso richtig wie einmal.</w:t>
      </w:r>
    </w:p>
    <w:p>
      <w:pPr>
        <w:pStyle w:val="Heading2"/>
        <w:keepNext/>
        <w:spacing w:after="140" w:before="280" w:line="340" w:lineRule="atLeast"/>
      </w:pPr>
      <w:bookmarkStart w:name="_Toc64" w:id="64"/>
      <w:r>
        <w:rPr>
          <w:rFonts w:ascii="Times New Roman" w:eastAsia="Times New Roman"/>
          <w:b/>
          <w:bCs/>
          <w:color w:val="0B1C2C"/>
          <w:sz w:val="27"/>
          <w:szCs w:val="27"/>
        </w:rPr>
        <w:t xml:space="preserve">15.4  Wiederanlauf (recover)</w:t>
      </w:r>
      <w:bookmarkEnd w:id="64"/>
    </w:p>
    <w:p>
      <w:pPr>
        <w:spacing w:after="120" w:line="312"/>
        <w:jc w:val="both"/>
      </w:pPr>
      <w:r>
        <w:rPr>
          <w:rFonts w:ascii="Times New Roman" w:eastAsia="Times New Roman"/>
          <w:b w:val="false"/>
          <w:bCs w:val="false"/>
          <w:i w:val="false"/>
          <w:iCs w:val="false"/>
          <w:color w:val="000000"/>
          <w:sz w:val="22"/>
          <w:szCs w:val="22"/>
        </w:rPr>
        <w:t xml:space="preserve">Beim Serverstart führt LmgServerMain automatisch SagaEngine.recover() aus; zusätzlich steht die Aktion im Adminbereich. Der Wiederanlauf liest alle Sagas in RUNNING/FAILED/COMPENSATING und kompensiert die bereits DONE-Schritte rückwärts; bereits COMPENSATED-Schritte werden übersprungen. Weil Kompensationen idempotent sind, ist mehrfaches Ausführen unschädlich — das ist die Voraussetzung dafür, dass der Admin-Button gefahrlos mehrfach gedrückt werden kann.</w:t>
      </w:r>
    </w:p>
    <w:p>
      <w:pPr>
        <w:pStyle w:val="Heading1"/>
        <w:keepNext/>
        <w:spacing w:after="200" w:before="360" w:line="380" w:lineRule="atLeast"/>
      </w:pPr>
      <w:bookmarkStart w:name="_Toc65" w:id="65"/>
      <w:r>
        <w:rPr>
          <w:rFonts w:ascii="Times New Roman" w:eastAsia="Times New Roman"/>
          <w:b/>
          <w:bCs/>
          <w:color w:val="0B1C2C"/>
          <w:sz w:val="32"/>
          <w:szCs w:val="32"/>
        </w:rPr>
        <w:t xml:space="preserve">16  Datenmodell und Persistenz</w:t>
      </w:r>
      <w:bookmarkEnd w:id="65"/>
    </w:p>
    <w:p>
      <w:pPr>
        <w:pStyle w:val="Heading2"/>
        <w:keepNext/>
        <w:spacing w:after="140" w:before="280" w:line="340" w:lineRule="atLeast"/>
      </w:pPr>
      <w:bookmarkStart w:name="_Toc66" w:id="66"/>
      <w:r>
        <w:rPr>
          <w:rFonts w:ascii="Times New Roman" w:eastAsia="Times New Roman"/>
          <w:b/>
          <w:bCs/>
          <w:color w:val="0B1C2C"/>
          <w:sz w:val="27"/>
          <w:szCs w:val="27"/>
        </w:rPr>
        <w:t xml:space="preserve">16.1  Fachschema</w:t>
      </w:r>
      <w:bookmarkEnd w:id="66"/>
    </w:p>
    <w:p>
      <w:pPr>
        <w:spacing w:after="120" w:line="312"/>
        <w:jc w:val="both"/>
      </w:pPr>
      <w:r>
        <w:rPr>
          <w:rFonts w:ascii="Times New Roman" w:eastAsia="Times New Roman"/>
          <w:b w:val="false"/>
          <w:bCs w:val="false"/>
          <w:i w:val="false"/>
          <w:iCs w:val="false"/>
          <w:color w:val="000000"/>
          <w:sz w:val="22"/>
          <w:szCs w:val="22"/>
        </w:rPr>
        <w:t xml:space="preserve">Das Fachschema liegt in ddl/lmg_schema.sql mit Demobestand in ddl/lmg_seed.sql. Alle IDs kommen aus Sequenzen (SEQ_BG, SEQ_FALL, SEQ_ZAHLUNG, SEQ_BESCHEID, SEQ_JOURNAL, jeweils START WITH 1000).</w:t>
      </w:r>
    </w:p>
    <w:p>
      <w:pPr>
        <w:keepNext/>
        <w:spacing w:after="80" w:before="160"/>
      </w:pPr>
      <w:r>
        <w:rPr>
          <w:rFonts w:ascii="Times New Roman" w:eastAsia="Times New Roman"/>
          <w:b/>
          <w:bCs/>
          <w:color w:val="5B6B7D"/>
          <w:sz w:val="20"/>
          <w:szCs w:val="20"/>
        </w:rPr>
        <w:t xml:space="preserve">Tabelle 10 — Fachtabellen im Überblick</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Tabelle</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Inhalt und wichtige Spalten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Vorgangskopf: AKTENZEICHEN (eindeutig, VARCHAR2 50), HAUPTPERSON_NAME, STATUS_AKTIV (0/1), BUDGET_REST NUMBER(10,2) ≥ 0, WIEDERVORLAGE_AM, IBAN/BIC/KONTOINHABER, VERSION (optimistisches Locking).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SOZIAL_FALL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Leistungsberechtigter: BG_ID (FK), REGELBEDARFSSTUFE 1–6, FLAG_MERKZEICHEN_G, FLAG_WARMWASSER, KDU_MIETE/KDU_BETRIEBSKOSTEN/KDU_HEIZUNG, EINKOMMEN_RENTE/EINKOMMEN_ERWERB (alle ≥ 0), VERSION.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Angeordnete Auszahlung: VORGANGS_NR (eindeutig — Idempotenz), ZAHLUNGSMONAT JJJJ-MM, AUSZAHLUNGSBETRAG &gt; 0, ZAHLUNGSSTATUS (ANGELEGT/BEREIT/UEBERGEBEN/STORNIERT, ASCII-stabil per CHECK), SACHBEARBEITER_ID, FREIGEGEBEN_VON, EMPFAENGER_IBAN/BIC/NAME.</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BESCHEID</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Bewilligungsbescheid: BESCHEID_NR (eindeutig), BESCHEID_DATUM, BEWILLIGUNG_VON/BIS (JJJJ-MM), ZAHLBETRAG, STATUS (ERTEILT/AUFGEHOBEN), ERSTELLT_VON.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 AKTION_TEXT (500), SACHBEARBEITER_ID, ERSTELLT_AM; BG_ID bewusst ohne Fremdschlüssel, damit Einträge Historisierung und Löschung überdauern.</w:t>
            </w:r>
          </w:p>
        </w:tc>
      </w:tr>
    </w:tbl>
    <w:p>
      <w:pPr>
        <w:pStyle w:val="Heading2"/>
        <w:keepNext/>
        <w:spacing w:after="140" w:before="280" w:line="340" w:lineRule="atLeast"/>
      </w:pPr>
      <w:bookmarkStart w:name="_Toc67" w:id="67"/>
      <w:r>
        <w:rPr>
          <w:rFonts w:ascii="Times New Roman" w:eastAsia="Times New Roman"/>
          <w:b/>
          <w:bCs/>
          <w:color w:val="0B1C2C"/>
          <w:sz w:val="27"/>
          <w:szCs w:val="27"/>
        </w:rPr>
        <w:t xml:space="preserve">16.2  Optimistisches Locking mit VERSION-Spalten und Triggern</w:t>
      </w:r>
      <w:bookmarkEnd w:id="67"/>
    </w:p>
    <w:p>
      <w:pPr>
        <w:spacing w:after="120" w:line="312"/>
        <w:jc w:val="both"/>
      </w:pPr>
      <w:r>
        <w:rPr>
          <w:rFonts w:ascii="Times New Roman" w:eastAsia="Times New Roman"/>
          <w:b w:val="false"/>
          <w:bCs w:val="false"/>
          <w:i w:val="false"/>
          <w:iCs w:val="false"/>
          <w:color w:val="000000"/>
          <w:sz w:val="22"/>
          <w:szCs w:val="22"/>
        </w:rPr>
        <w:t xml:space="preserve">BEDARFSGEMEINSCHAFT und SOZIAL_FALL tragen eine VERSION-Spalte. Updates laufen als UPDATE … WHERE ID = ? AND VERSION = ?: Null betroffene Zeilen heißt, ein anderer Bearbeiter war schneller — die Fachschicht wirft KONKURRENZ, die Transaktion rollt zurück, die Oberfläche lädt den Neustand. Zwei Datenbank-Trigger (TRG_BG_VERSION, TRG_FALL_VERSION) erhöhen die Version bei jedem Update automatisch, sofern der Aufrufer sie nicht selbst erhöht hat; dadurch können parallele Buchungswege (Zahlbarmachung mindert das Restbudget) und Maskenbearbeitung nicht unentdeckt aneinander vorbeischreiben.</w:t>
      </w:r>
    </w:p>
    <w:p>
      <w:pPr>
        <w:pStyle w:val="Heading2"/>
        <w:keepNext/>
        <w:spacing w:after="140" w:before="280" w:line="340" w:lineRule="atLeast"/>
      </w:pPr>
      <w:bookmarkStart w:name="_Toc68" w:id="68"/>
      <w:r>
        <w:rPr>
          <w:rFonts w:ascii="Times New Roman" w:eastAsia="Times New Roman"/>
          <w:b/>
          <w:bCs/>
          <w:color w:val="0B1C2C"/>
          <w:sz w:val="27"/>
          <w:szCs w:val="27"/>
        </w:rPr>
        <w:t xml:space="preserve">16.3  Sperrverhalten im kritischen Buchungsweg</w:t>
      </w:r>
      <w:bookmarkEnd w:id="68"/>
    </w:p>
    <w:p>
      <w:pPr>
        <w:spacing w:after="120" w:line="312"/>
        <w:jc w:val="both"/>
      </w:pPr>
      <w:r>
        <w:rPr>
          <w:rFonts w:ascii="Times New Roman" w:eastAsia="Times New Roman"/>
          <w:b w:val="false"/>
          <w:bCs w:val="false"/>
          <w:i w:val="false"/>
          <w:iCs w:val="false"/>
          <w:color w:val="000000"/>
          <w:sz w:val="22"/>
          <w:szCs w:val="22"/>
        </w:rPr>
        <w:t xml:space="preserve">Ergänzend zum optimistischen Locking nutzt die Zahlbarmachung eine pessimistische Zeilensperre: SELECT … FOR UPDATE auf die Bedarfsgemeinschaft. Parallele Anordnungen auf denselben Vorgang serialisieren sich damit von selbst; ein eventuell entstehender Deadlock wird von der RetryPolicy erkannt und wiederholt (Kapitel 14.2, echte Verifikation durch die Testklasse DeadlockRetryEchtTest gegen Oracle).</w:t>
      </w:r>
    </w:p>
    <w:p>
      <w:pPr>
        <w:pStyle w:val="Heading2"/>
        <w:keepNext/>
        <w:spacing w:after="140" w:before="280" w:line="340" w:lineRule="atLeast"/>
      </w:pPr>
      <w:bookmarkStart w:name="_Toc69" w:id="69"/>
      <w:r>
        <w:rPr>
          <w:rFonts w:ascii="Times New Roman" w:eastAsia="Times New Roman"/>
          <w:b/>
          <w:bCs/>
          <w:color w:val="0B1C2C"/>
          <w:sz w:val="27"/>
          <w:szCs w:val="27"/>
        </w:rPr>
        <w:t xml:space="preserve">16.4  Saga-Journal-Schema</w:t>
      </w:r>
      <w:bookmarkEnd w:id="69"/>
    </w:p>
    <w:p>
      <w:pPr>
        <w:spacing w:after="120" w:line="312"/>
        <w:jc w:val="both"/>
      </w:pPr>
      <w:r>
        <w:rPr>
          <w:rFonts w:ascii="Times New Roman" w:eastAsia="Times New Roman"/>
          <w:b w:val="false"/>
          <w:bCs w:val="false"/>
          <w:i w:val="false"/>
          <w:iCs w:val="false"/>
          <w:color w:val="000000"/>
          <w:sz w:val="22"/>
          <w:szCs w:val="22"/>
        </w:rPr>
        <w:t xml:space="preserve">Die Kernschema-Tabellen liegen in ddl/oracle_schema.sql: TX_SAGA (SAGA_ID VARCHAR2(36) als Schlüssel, SAGA_TYPE, STATE mit RUNNING/COMPLETED/FAILED/COMPENSATING/COMPENSATED, PAYLOAD, Zeitstempel) und TX_SAGA_STEP (Schlüssel SAGA_ID + IDX, NAME, STATE PENDING/DONE/COMPENSATED, Fremdschlüssel zur Kopfzeile, Index auf den Zustand).</w:t>
      </w:r>
    </w:p>
    <w:p>
      <w:pPr>
        <w:pStyle w:val="Heading1"/>
        <w:keepNext/>
        <w:spacing w:after="200" w:before="360" w:line="380" w:lineRule="atLeast"/>
      </w:pPr>
      <w:bookmarkStart w:name="_Toc70" w:id="70"/>
      <w:r>
        <w:rPr>
          <w:rFonts w:ascii="Times New Roman" w:eastAsia="Times New Roman"/>
          <w:b/>
          <w:bCs/>
          <w:color w:val="0B1C2C"/>
          <w:sz w:val="32"/>
          <w:szCs w:val="32"/>
        </w:rPr>
        <w:t xml:space="preserve">17  Der kritische Buchungsweg im Detail</w:t>
      </w:r>
      <w:bookmarkEnd w:id="70"/>
    </w:p>
    <w:p>
      <w:pPr>
        <w:spacing w:after="120" w:line="312"/>
        <w:jc w:val="both"/>
      </w:pPr>
      <w:r>
        <w:rPr>
          <w:rFonts w:ascii="Times New Roman" w:eastAsia="Times New Roman"/>
          <w:b w:val="false"/>
          <w:bCs w:val="false"/>
          <w:i w:val="false"/>
          <w:iCs w:val="false"/>
          <w:color w:val="000000"/>
          <w:sz w:val="22"/>
          <w:szCs w:val="22"/>
        </w:rPr>
        <w:t xml:space="preserve">Die Auszahlungsanordnung (SozialLeistungsService.ordneAuszahlungAn) ist der sicherheitskritischste Weg der Anwendung. Er kombiniert sechs Schritte zu einer einzigen kurzen Transaktion — entweder alles oder nichts:</w:t>
      </w:r>
    </w:p>
    <w:p>
      <w:pPr>
        <w:spacing w:after="60" w:line="312"/>
        <w:ind w:left="360" w:hanging="360"/>
        <w:jc w:val="both"/>
      </w:pPr>
      <w:r>
        <w:rPr>
          <w:rFonts w:ascii="Times New Roman" w:eastAsia="Times New Roman"/>
          <w:b/>
          <w:bCs/>
          <w:color w:val="529286"/>
          <w:sz w:val="22"/>
          <w:szCs w:val="22"/>
        </w:rPr>
        <w:t xml:space="preserve">1.  </w:t>
      </w:r>
      <w:r>
        <w:rPr>
          <w:rFonts w:ascii="Times New Roman" w:eastAsia="Times New Roman"/>
          <w:b/>
          <w:bCs/>
          <w:color w:val="000000"/>
          <w:sz w:val="22"/>
          <w:szCs w:val="22"/>
        </w:rPr>
        <w:t xml:space="preserve">Auftragsprüfung: </w:t>
      </w:r>
      <w:r>
        <w:rPr>
          <w:rFonts w:ascii="Times New Roman" w:eastAsia="Times New Roman"/>
          <w:b w:val="false"/>
          <w:bCs w:val="false"/>
          <w:color w:val="000000"/>
          <w:sz w:val="22"/>
          <w:szCs w:val="22"/>
        </w:rPr>
        <w:t xml:space="preserve">Vorgangsnummer (max. 100 Zeichen), Kennung (max. 50) und Zahlungsmonat im Format JJJJ-MM werden vor Transaktionsbeginn geprüft (VALIDATION).</w:t>
      </w:r>
    </w:p>
    <w:p>
      <w:pPr>
        <w:spacing w:after="60" w:line="312"/>
        <w:ind w:left="360" w:hanging="360"/>
        <w:jc w:val="both"/>
      </w:pPr>
      <w:r>
        <w:rPr>
          <w:rFonts w:ascii="Times New Roman" w:eastAsia="Times New Roman"/>
          <w:b/>
          <w:bCs/>
          <w:color w:val="529286"/>
          <w:sz w:val="22"/>
          <w:szCs w:val="22"/>
        </w:rPr>
        <w:t xml:space="preserve">2.  </w:t>
      </w:r>
      <w:r>
        <w:rPr>
          <w:rFonts w:ascii="Times New Roman" w:eastAsia="Times New Roman"/>
          <w:b/>
          <w:bCs/>
          <w:color w:val="000000"/>
          <w:sz w:val="22"/>
          <w:szCs w:val="22"/>
        </w:rPr>
        <w:t xml:space="preserve">Idempotenz: </w:t>
      </w:r>
      <w:r>
        <w:rPr>
          <w:rFonts w:ascii="Times New Roman" w:eastAsia="Times New Roman"/>
          <w:b w:val="false"/>
          <w:bCs w:val="false"/>
          <w:color w:val="000000"/>
          <w:sz w:val="22"/>
          <w:szCs w:val="22"/>
        </w:rPr>
        <w:t xml:space="preserve">Existiert die Vorgangsnummer bereits, wird die vorhandene Zahlung unverändert zurückgegeben (Flag „bereits gebucht“) — Doppelklicks und wiederholte Requests buchen nie zweimal. Die Eindeutigkeit erzwingt zusätzlich ein UNIQUE-Constraint in der Tabelle ZAHLUNG.</w:t>
      </w:r>
    </w:p>
    <w:p>
      <w:pPr>
        <w:spacing w:after="60" w:line="312"/>
        <w:ind w:left="360" w:hanging="360"/>
        <w:jc w:val="both"/>
      </w:pPr>
      <w:r>
        <w:rPr>
          <w:rFonts w:ascii="Times New Roman" w:eastAsia="Times New Roman"/>
          <w:b/>
          <w:bCs/>
          <w:color w:val="529286"/>
          <w:sz w:val="22"/>
          <w:szCs w:val="22"/>
        </w:rPr>
        <w:t xml:space="preserve">3.  </w:t>
      </w:r>
      <w:r>
        <w:rPr>
          <w:rFonts w:ascii="Times New Roman" w:eastAsia="Times New Roman"/>
          <w:b/>
          <w:bCs/>
          <w:color w:val="000000"/>
          <w:sz w:val="22"/>
          <w:szCs w:val="22"/>
        </w:rPr>
        <w:t xml:space="preserve">Pessimistische Sperre: </w:t>
      </w:r>
      <w:r>
        <w:rPr>
          <w:rFonts w:ascii="Times New Roman" w:eastAsia="Times New Roman"/>
          <w:b w:val="false"/>
          <w:bCs w:val="false"/>
          <w:color w:val="000000"/>
          <w:sz w:val="22"/>
          <w:szCs w:val="22"/>
        </w:rPr>
        <w:t xml:space="preserve">SELECT … FOR UPDATE auf die Bedarfsgemeinschaft; historisierte Vorgänge brechen hier ab. Parallele Buchungen laufen nacheinander; ORA-00060-Deadlocks wiederholt die Steuerung.</w:t>
      </w:r>
    </w:p>
    <w:p>
      <w:pPr>
        <w:spacing w:after="60" w:line="312"/>
        <w:ind w:left="360" w:hanging="360"/>
        <w:jc w:val="both"/>
      </w:pPr>
      <w:r>
        <w:rPr>
          <w:rFonts w:ascii="Times New Roman" w:eastAsia="Times New Roman"/>
          <w:b/>
          <w:bCs/>
          <w:color w:val="529286"/>
          <w:sz w:val="22"/>
          <w:szCs w:val="22"/>
        </w:rPr>
        <w:t xml:space="preserve">4.  </w:t>
      </w:r>
      <w:r>
        <w:rPr>
          <w:rFonts w:ascii="Times New Roman" w:eastAsia="Times New Roman"/>
          <w:b/>
          <w:bCs/>
          <w:color w:val="000000"/>
          <w:sz w:val="22"/>
          <w:szCs w:val="22"/>
        </w:rPr>
        <w:t xml:space="preserve">Berechnung und Prüfung: </w:t>
      </w:r>
      <w:r>
        <w:rPr>
          <w:rFonts w:ascii="Times New Roman" w:eastAsia="Times New Roman"/>
          <w:b w:val="false"/>
          <w:bCs w:val="false"/>
          <w:color w:val="000000"/>
          <w:sz w:val="22"/>
          <w:szCs w:val="22"/>
        </w:rPr>
        <w:t xml:space="preserve">Zahlbetrag frisch über alle SozialFälle berechnen; ≤ 0 → KEIN_ANSPRUCH, über Restbudget → BUDGET_ERSCHOEPFT.</w:t>
      </w:r>
    </w:p>
    <w:p>
      <w:pPr>
        <w:spacing w:after="60" w:line="312"/>
        <w:ind w:left="360" w:hanging="360"/>
        <w:jc w:val="both"/>
      </w:pPr>
      <w:r>
        <w:rPr>
          <w:rFonts w:ascii="Times New Roman" w:eastAsia="Times New Roman"/>
          <w:b/>
          <w:bCs/>
          <w:color w:val="529286"/>
          <w:sz w:val="22"/>
          <w:szCs w:val="22"/>
        </w:rPr>
        <w:t xml:space="preserve">5.  </w:t>
      </w:r>
      <w:r>
        <w:rPr>
          <w:rFonts w:ascii="Times New Roman" w:eastAsia="Times New Roman"/>
          <w:b/>
          <w:bCs/>
          <w:color w:val="000000"/>
          <w:sz w:val="22"/>
          <w:szCs w:val="22"/>
        </w:rPr>
        <w:t xml:space="preserve">SEPA-Prüfung und Zahlung: </w:t>
      </w:r>
      <w:r>
        <w:rPr>
          <w:rFonts w:ascii="Times New Roman" w:eastAsia="Times New Roman"/>
          <w:b w:val="false"/>
          <w:bCs w:val="false"/>
          <w:color w:val="000000"/>
          <w:sz w:val="22"/>
          <w:szCs w:val="22"/>
        </w:rPr>
        <w:t xml:space="preserve">Empfängerdaten aus Auftrag, Vorgang oder Hauptperson; IBAN/BIC mit Modulo-97 validiert (Kapitel 18.3); Zahlung entsteht im Status ANGELEGT oder BEREIT, das Restbudget mindert sich.</w:t>
      </w:r>
    </w:p>
    <w:p>
      <w:pPr>
        <w:spacing w:after="60" w:line="312"/>
        <w:ind w:left="360" w:hanging="360"/>
        <w:jc w:val="both"/>
      </w:pPr>
      <w:r>
        <w:rPr>
          <w:rFonts w:ascii="Times New Roman" w:eastAsia="Times New Roman"/>
          <w:b/>
          <w:bCs/>
          <w:color w:val="529286"/>
          <w:sz w:val="22"/>
          <w:szCs w:val="22"/>
        </w:rPr>
        <w:t xml:space="preserve">6.  </w:t>
      </w:r>
      <w:r>
        <w:rPr>
          <w:rFonts w:ascii="Times New Roman" w:eastAsia="Times New Roman"/>
          <w:b/>
          <w:bCs/>
          <w:color w:val="000000"/>
          <w:sz w:val="22"/>
          <w:szCs w:val="22"/>
        </w:rPr>
        <w:t xml:space="preserve">Journal: </w:t>
      </w:r>
      <w:r>
        <w:rPr>
          <w:rFonts w:ascii="Times New Roman" w:eastAsia="Times New Roman"/>
          <w:b w:val="false"/>
          <w:bCs w:val="false"/>
          <w:color w:val="000000"/>
          <w:sz w:val="22"/>
          <w:szCs w:val="22"/>
        </w:rPr>
        <w:t xml:space="preserve">revisionssicherer Eintrag mit der angemeldeten Kennung; erst danach committet die Transaktion.</w:t>
      </w:r>
    </w:p>
    <w:p>
      <w:pPr>
        <w:keepNext/>
        <w:spacing w:after="60" w:before="160"/>
        <w:jc w:val="center"/>
      </w:pPr>
      <w:r>
        <w:drawing>
          <wp:inline distT="0" distB="0" distL="0" distR="0">
            <wp:extent cx="5353050" cy="2343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53050" cy="234315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20 — Statusweg einer Zahlung: Vier-Augen-Freigabe, Kassenlauf, Storno und Restbudget-Rückbuchung</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529286" w:sz="18"/>
              <w:bottom w:val="none" w:color="FFFFFF" w:sz="0"/>
              <w:right w:val="none" w:color="FFFFFF" w:sz="0"/>
            </w:tcBorders>
            <w:shd w:fill="F0F5F3" w:val="clear"/>
            <w:tcMar>
              <w:top w:type="dxa" w:w="120"/>
              <w:left w:type="dxa" w:w="200"/>
              <w:bottom w:type="dxa" w:w="120"/>
              <w:right w:type="dxa" w:w="200"/>
            </w:tcMar>
          </w:tcPr>
          <w:p>
            <w:pPr>
              <w:spacing w:after="40" w:line="300"/>
            </w:pPr>
            <w:r>
              <w:rPr>
                <w:rFonts w:ascii="Times New Roman" w:eastAsia="Times New Roman"/>
                <w:b/>
                <w:bCs/>
                <w:color w:val="2E5E54"/>
                <w:sz w:val="21"/>
                <w:szCs w:val="21"/>
              </w:rPr>
              <w:t xml:space="preserve">Warum Restbudget?</w:t>
            </w:r>
          </w:p>
          <w:p>
            <w:pPr>
              <w:spacing w:line="300"/>
              <w:jc w:val="both"/>
            </w:pPr>
            <w:r>
              <w:rPr>
                <w:rFonts w:ascii="Times New Roman" w:eastAsia="Times New Roman"/>
                <w:color w:val="1F3A4D"/>
                <w:sz w:val="21"/>
                <w:szCs w:val="21"/>
              </w:rPr>
              <w:t xml:space="preserve">BUDGET_REST ist der rechnerische Deckel der Bewilligung: Jede Anordnung mindert ihn, jedes Storno bucht zurück. Damit kann die Sachbearbeitung ein Bewilligungsvolumen verwalten, auch wenn mehrere Monate und Teilbeträge zu-fließen. Die VERSION-Trigger stellen sicher, dass gleichzeitige Maskenbearbeiter die Budgetminderung nicht übersehen können.</w:t>
            </w:r>
          </w:p>
        </w:tc>
      </w:tr>
    </w:tbl>
    <w:p>
      <w:pPr>
        <w:pStyle w:val="Heading1"/>
        <w:keepNext/>
        <w:spacing w:after="200" w:before="360" w:line="380" w:lineRule="atLeast"/>
      </w:pPr>
      <w:bookmarkStart w:name="_Toc71" w:id="71"/>
      <w:r>
        <w:rPr>
          <w:rFonts w:ascii="Times New Roman" w:eastAsia="Times New Roman"/>
          <w:b/>
          <w:bCs/>
          <w:color w:val="0B1C2C"/>
          <w:sz w:val="32"/>
          <w:szCs w:val="32"/>
        </w:rPr>
        <w:t xml:space="preserve">18  Sicherheit: Anmeldung, Rollen und SEPA</w:t>
      </w:r>
      <w:bookmarkEnd w:id="71"/>
    </w:p>
    <w:p>
      <w:pPr>
        <w:pStyle w:val="Heading2"/>
        <w:keepNext/>
        <w:spacing w:after="140" w:before="280" w:line="340" w:lineRule="atLeast"/>
      </w:pPr>
      <w:bookmarkStart w:name="_Toc72" w:id="72"/>
      <w:r>
        <w:rPr>
          <w:rFonts w:ascii="Times New Roman" w:eastAsia="Times New Roman"/>
          <w:b/>
          <w:bCs/>
          <w:color w:val="0B1C2C"/>
          <w:sz w:val="27"/>
          <w:szCs w:val="27"/>
        </w:rPr>
        <w:t xml:space="preserve">18.1  Sitzungen und Token</w:t>
      </w:r>
      <w:bookmarkEnd w:id="72"/>
    </w:p>
    <w:p>
      <w:pPr>
        <w:spacing w:after="120" w:line="312"/>
        <w:jc w:val="both"/>
      </w:pPr>
      <w:r>
        <w:rPr>
          <w:rFonts w:ascii="Times New Roman" w:eastAsia="Times New Roman"/>
          <w:b w:val="false"/>
          <w:bCs w:val="false"/>
          <w:i w:val="false"/>
          <w:iCs w:val="false"/>
          <w:color w:val="000000"/>
          <w:sz w:val="22"/>
          <w:szCs w:val="22"/>
        </w:rPr>
        <w:t xml:space="preserve">Die Anmeldung erzeugt eine UUID als Sitzungs-Token und legt sie mit Kennung und Rolle in einem serverseitigen Speicher ab (Klasse Benutzerverwaltung). Jede weitere Anfrage trägt den Authorization-Header „Bearer &lt;Token&gt;“; der Druckansicht ist ausnahmsweise ein Token-URL-Parameter erlaubt, damit das Druckfenster ohne Header auskommt. Unbekannte oder abgelaufene Token führen zu HTTP 401 mit dem Code ANMELDUNG. Konten kommen aus der Umgebung LMG_BENUTZER (Format kennung:passwort:rolle;…) oder aus den Demo-Standards; für den produktiven Betrieb ist an dieser Stelle ein Verzeichnisdienst hinter HTTPS vorgesehen — die Sitzungsverwaltung ist bewusst klein gehalten und austauschbar.</w:t>
      </w:r>
    </w:p>
    <w:p>
      <w:pPr>
        <w:keepNext/>
        <w:spacing w:after="60" w:before="160"/>
        <w:jc w:val="center"/>
      </w:pPr>
      <w:r>
        <w:drawing>
          <wp:inline distT="0" distB="0" distL="0" distR="0">
            <wp:extent cx="5353050" cy="28956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53050" cy="2895600"/>
                    </a:xfrm>
                    <a:prstGeom prst="rect">
                      <a:avLst/>
                    </a:prstGeom>
                  </pic:spPr>
                </pic:pic>
              </a:graphicData>
            </a:graphic>
          </wp:inline>
        </w:drawing>
      </w:r>
    </w:p>
    <w:p>
      <w:pPr>
        <w:spacing w:after="200"/>
        <w:jc w:val="center"/>
      </w:pPr>
      <w:r>
        <w:rPr>
          <w:rFonts w:ascii="Times New Roman" w:eastAsia="Times New Roman"/>
          <w:i/>
          <w:iCs/>
          <w:color w:val="5B6B7D"/>
          <w:sz w:val="19"/>
          <w:szCs w:val="19"/>
        </w:rPr>
        <w:t xml:space="preserve">Abbildung 21 — Anmelde- und Berechtigungsfluss: Token-Prüfung, 401 ohne Sitzung, 403 ohne Admin-Rolle</w:t>
      </w:r>
    </w:p>
    <w:p>
      <w:pPr>
        <w:pStyle w:val="Heading2"/>
        <w:keepNext/>
        <w:spacing w:after="140" w:before="280" w:line="340" w:lineRule="atLeast"/>
      </w:pPr>
      <w:bookmarkStart w:name="_Toc73" w:id="73"/>
      <w:r>
        <w:rPr>
          <w:rFonts w:ascii="Times New Roman" w:eastAsia="Times New Roman"/>
          <w:b/>
          <w:bCs/>
          <w:color w:val="0B1C2C"/>
          <w:sz w:val="27"/>
          <w:szCs w:val="27"/>
        </w:rPr>
        <w:t xml:space="preserve">18.2  Serverseitige Berechtigungsprüfung</w:t>
      </w:r>
      <w:bookmarkEnd w:id="73"/>
    </w:p>
    <w:p>
      <w:pPr>
        <w:spacing w:after="120" w:line="312"/>
        <w:jc w:val="both"/>
      </w:pPr>
      <w:r>
        <w:rPr>
          <w:rFonts w:ascii="Times New Roman" w:eastAsia="Times New Roman"/>
          <w:b w:val="false"/>
          <w:bCs w:val="false"/>
          <w:i w:val="false"/>
          <w:iCs w:val="false"/>
          <w:color w:val="000000"/>
          <w:sz w:val="22"/>
          <w:szCs w:val="22"/>
        </w:rPr>
        <w:t xml:space="preserve">Admin-pflichtige Endpunkte (alles unter /api/system/, POST /api/kassenlauf, POST /api/zahlungen/{id}/storno) prüfen die Rolle je Anfrage serverseitig; ohne Admin-Rolle antwortet die Schnittstelle mit 403 und dem Code BERECHTIGUNG. Die Kennung für das Journal kommt ausschließlich aus der Sitzung — Angaben im Anfragekörper werden ignoriert. Das Vier-Augen-Prinzip ist rechnerisch festgestellt: Die Freigabe prüft Erfasser gegen Freigebenden und wehrt die Identität ab (Ausnahme: die Sonderkennung „admin“); zusätzlich wird bei der Freigabe erneut geprüft, also rechnerisch festgestellt, dass Anspruch und Budget zum Freigabezeitpunkt noch gegeben sind.</w:t>
      </w:r>
    </w:p>
    <w:p>
      <w:pPr>
        <w:pStyle w:val="Heading2"/>
        <w:keepNext/>
        <w:spacing w:after="140" w:before="280" w:line="340" w:lineRule="atLeast"/>
      </w:pPr>
      <w:bookmarkStart w:name="_Toc74" w:id="74"/>
      <w:r>
        <w:rPr>
          <w:rFonts w:ascii="Times New Roman" w:eastAsia="Times New Roman"/>
          <w:b/>
          <w:bCs/>
          <w:color w:val="0B1C2C"/>
          <w:sz w:val="27"/>
          <w:szCs w:val="27"/>
        </w:rPr>
        <w:t xml:space="preserve">18.3  SEPA-Validierung nach ISO 13616</w:t>
      </w:r>
      <w:bookmarkEnd w:id="74"/>
    </w:p>
    <w:p>
      <w:pPr>
        <w:spacing w:after="120" w:line="312"/>
        <w:jc w:val="both"/>
      </w:pPr>
      <w:r>
        <w:rPr>
          <w:rFonts w:ascii="Times New Roman" w:eastAsia="Times New Roman"/>
          <w:b w:val="false"/>
          <w:bCs w:val="false"/>
          <w:i w:val="false"/>
          <w:iCs w:val="false"/>
          <w:color w:val="000000"/>
          <w:sz w:val="22"/>
          <w:szCs w:val="22"/>
        </w:rPr>
        <w:t xml:space="preserve">Der SepaValidator prüft IBAN und BIC vollständig und normalisiert die Eingaben (Leerzeichen entfernt, Großbuchstaben):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IBAN: </w:t>
      </w:r>
      <w:r>
        <w:rPr>
          <w:rFonts w:ascii="Times New Roman" w:eastAsia="Times New Roman"/>
          <w:b w:val="false"/>
          <w:bCs w:val="false"/>
          <w:i w:val="false"/>
          <w:iCs w:val="false"/>
          <w:color w:val="000000"/>
          <w:sz w:val="22"/>
          <w:szCs w:val="22"/>
        </w:rPr>
        <w:t xml:space="preserve">Format nach ISO 13616 (Ländercode A–Z, Prüfziffer, 11 bis 30 alphanumerische Zeichen; Gesamtlänge 15–34), länderspezifische Längenprüfung (DE 22, AT 20, CH 21) und die Modulo-97-Prüfziffer nach ISO 7064: Die ersten vier Zeichen wandern ans Ende, alle Zeichen werden numerisch kodiert (A=10 … Z=35), und die entstehende große Zahl muss bei Division durch 97 den Rest 1 lassen.</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BIC nach ISO 9362: </w:t>
      </w:r>
      <w:r>
        <w:rPr>
          <w:rFonts w:ascii="Times New Roman" w:eastAsia="Times New Roman"/>
          <w:b w:val="false"/>
          <w:bCs w:val="false"/>
          <w:i w:val="false"/>
          <w:iCs w:val="false"/>
          <w:color w:val="000000"/>
          <w:sz w:val="22"/>
          <w:szCs w:val="22"/>
        </w:rPr>
        <w:t xml:space="preserve">8 oder 11 Zeichen — vierstelliger Bankcode, zweistelliger Ländercode, zweistelliger Ort, optional dreistellige Filiale.</w:t>
      </w:r>
    </w:p>
    <w:p>
      <w:pPr>
        <w:pStyle w:val="ListParagraph"/>
        <w:numPr>
          <w:ilvl w:val="0"/>
          <w:numId w:val="1"/>
        </w:numPr>
        <w:spacing w:after="60" w:line="312"/>
        <w:jc w:val="both"/>
      </w:pPr>
      <w:r>
        <w:rPr>
          <w:rFonts w:ascii="Times New Roman" w:eastAsia="Times New Roman"/>
          <w:b/>
          <w:bCs/>
          <w:i w:val="false"/>
          <w:iCs w:val="false"/>
          <w:color w:val="000000"/>
          <w:sz w:val="22"/>
          <w:szCs w:val="22"/>
        </w:rPr>
        <w:t xml:space="preserve">Hilfsfunktionen: </w:t>
      </w:r>
      <w:r>
        <w:rPr>
          <w:rFonts w:ascii="Times New Roman" w:eastAsia="Times New Roman"/>
          <w:b w:val="false"/>
          <w:bCs w:val="false"/>
          <w:i w:val="false"/>
          <w:iCs w:val="false"/>
          <w:color w:val="000000"/>
          <w:sz w:val="22"/>
          <w:szCs w:val="22"/>
        </w:rPr>
        <w:t xml:space="preserve">Normalisierung und die 4er-Block-Formatierung für Bescheide und Druckansicht.</w:t>
      </w:r>
    </w:p>
    <w:p>
      <w:pPr>
        <w:spacing w:after="120" w:line="312"/>
        <w:jc w:val="both"/>
      </w:pPr>
      <w:r>
        <w:rPr>
          <w:rFonts w:ascii="Times New Roman" w:eastAsia="Times New Roman"/>
          <w:b w:val="false"/>
          <w:bCs w:val="false"/>
          <w:i w:val="false"/>
          <w:iCs w:val="false"/>
          <w:color w:val="000000"/>
          <w:sz w:val="22"/>
          <w:szCs w:val="22"/>
        </w:rPr>
        <w:t xml:space="preserve">Ungültige Angaben brechen die Anordnung mit VALIDATION und einer klaren Fehlermeldung ab — fehlerhafte Bankverbindungen erreichen den Kassenlauf nicht.</w:t>
      </w:r>
    </w:p>
    <w:p>
      <w:pPr>
        <w:pStyle w:val="Heading1"/>
        <w:keepNext/>
        <w:spacing w:after="200" w:before="360" w:line="380" w:lineRule="atLeast"/>
      </w:pPr>
      <w:bookmarkStart w:name="_Toc75" w:id="75"/>
      <w:r>
        <w:rPr>
          <w:rFonts w:ascii="Times New Roman" w:eastAsia="Times New Roman"/>
          <w:b/>
          <w:bCs/>
          <w:color w:val="0B1C2C"/>
          <w:sz w:val="32"/>
          <w:szCs w:val="32"/>
        </w:rPr>
        <w:t xml:space="preserve">19  Konfiguration, Start und Qualitätssicherung</w:t>
      </w:r>
      <w:bookmarkEnd w:id="75"/>
    </w:p>
    <w:p>
      <w:pPr>
        <w:pStyle w:val="Heading2"/>
        <w:keepNext/>
        <w:spacing w:after="140" w:before="280" w:line="340" w:lineRule="atLeast"/>
      </w:pPr>
      <w:bookmarkStart w:name="_Toc76" w:id="76"/>
      <w:r>
        <w:rPr>
          <w:rFonts w:ascii="Times New Roman" w:eastAsia="Times New Roman"/>
          <w:b/>
          <w:bCs/>
          <w:color w:val="0B1C2C"/>
          <w:sz w:val="27"/>
          <w:szCs w:val="27"/>
        </w:rPr>
        <w:t xml:space="preserve">19.1  Externe Konfiguration (12-Factor)</w:t>
      </w:r>
      <w:bookmarkEnd w:id="76"/>
    </w:p>
    <w:p>
      <w:pPr>
        <w:spacing w:after="120" w:line="312"/>
        <w:jc w:val="both"/>
      </w:pPr>
      <w:r>
        <w:rPr>
          <w:rFonts w:ascii="Times New Roman" w:eastAsia="Times New Roman"/>
          <w:b w:val="false"/>
          <w:bCs w:val="false"/>
          <w:i w:val="false"/>
          <w:iCs w:val="false"/>
          <w:color w:val="000000"/>
          <w:sz w:val="22"/>
          <w:szCs w:val="22"/>
        </w:rPr>
        <w:t xml:space="preserve">Die Anwendung liest ihre Konfiguration über LmgConfig in einer festen Prioritätskaskade: Java-System-Properties (-D…) schlagen Umgebungsvariablen, diese schlagen die Datei lmg.properties im Arbeitsverzeichnis, und erst dann gelten die Standardwerte. Plausibilitätsverletzungen (Port außerhalb 1–65535, Größen &lt; 1) brechen den Start mit klarer Meldung ab.</w:t>
      </w:r>
    </w:p>
    <w:p>
      <w:pPr>
        <w:keepNext/>
        <w:spacing w:after="80" w:before="160"/>
      </w:pPr>
      <w:r>
        <w:rPr>
          <w:rFonts w:ascii="Times New Roman" w:eastAsia="Times New Roman"/>
          <w:b/>
          <w:bCs/>
          <w:color w:val="5B6B7D"/>
          <w:sz w:val="20"/>
          <w:szCs w:val="20"/>
        </w:rPr>
        <w:t xml:space="preserve">Tabelle 11 — Konfigurationsschlüssel und Standardwerte</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1758"/>
        <w:gridCol w:w="2109"/>
        <w:gridCol w:w="2285"/>
        <w:gridCol w:w="2636"/>
      </w:tblGrid>
      <w:tr>
        <w:trPr>
          <w:cantSplit/>
          <w:tblHeader/>
        </w:trPr>
        <w:tc>
          <w:tcPr>
            <w:tcW w:type="pct" w:w="10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Schlüssel (lmg.properties)</w:t>
            </w:r>
          </w:p>
        </w:tc>
        <w:tc>
          <w:tcPr>
            <w:tcW w:type="pct" w:w="12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Umgebungsvariable</w:t>
            </w:r>
          </w:p>
        </w:tc>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Standard</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tx.url</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TX_URL</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jdbc:oracle:thin:@//localhost:1921/o19c1p1</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JDBC-Verbindungsziel</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tx.user / tx.pass</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TX_USER / TX_PASS</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tx_demo / tx_demo</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Datenbank-Konto</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lmg.port</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LMG_PORT</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8080</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HTTP-Port der Oberfläche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lmg.pool.type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LMG_POOL_TYP</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ucp</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Verbindungspool (ucp oder simple)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lmg.pool.size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LMG_POOL_GROESSE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Maximale Poolgröße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lmg.tasks.max</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LMG_TASKS</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8</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Parallelität der Task-Steuerung</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lmg.tasks.queue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LMG_WARTESCHLANGE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100</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Länge der Auftragswarteschlange</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lmg.audit.file</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LMG_AUDIT_FILE</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lmg_audit.log</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Audit-Datei (leer = nur Konsole/Logger)</w:t>
            </w:r>
          </w:p>
        </w:tc>
      </w:tr>
      <w:tr>
        <w:trPr>
          <w:cantSplit/>
        </w:trPr>
        <w:tc>
          <w:tcPr>
            <w:tcW w:type="pct" w:w="10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lmg.benutzer</w:t>
            </w:r>
          </w:p>
        </w:tc>
        <w:tc>
          <w:tcPr>
            <w:tcW w:type="pct" w:w="12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LMG_BENUTZER</w:t>
            </w:r>
          </w:p>
        </w:tc>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Demo-Konten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Benutzerkonten kennung:passwort:rolle;…</w:t>
            </w:r>
          </w:p>
        </w:tc>
      </w:tr>
    </w:tbl>
    <w:p>
      <w:pPr>
        <w:pStyle w:val="Heading2"/>
        <w:keepNext/>
        <w:spacing w:after="140" w:before="280" w:line="340" w:lineRule="atLeast"/>
      </w:pPr>
      <w:bookmarkStart w:name="_Toc77" w:id="77"/>
      <w:r>
        <w:rPr>
          <w:rFonts w:ascii="Times New Roman" w:eastAsia="Times New Roman"/>
          <w:b/>
          <w:bCs/>
          <w:color w:val="0B1C2C"/>
          <w:sz w:val="27"/>
          <w:szCs w:val="27"/>
        </w:rPr>
        <w:t xml:space="preserve">19.2  Start und Wiederanlauf</w:t>
      </w:r>
      <w:bookmarkEnd w:id="77"/>
    </w:p>
    <w:p>
      <w:pPr>
        <w:spacing w:after="120" w:line="312"/>
        <w:jc w:val="both"/>
      </w:pPr>
      <w:r>
        <w:rPr>
          <w:rFonts w:ascii="Times New Roman" w:eastAsia="Times New Roman"/>
          <w:b w:val="false"/>
          <w:bCs w:val="false"/>
          <w:i w:val="false"/>
          <w:iCs w:val="false"/>
          <w:color w:val="000000"/>
          <w:sz w:val="22"/>
          <w:szCs w:val="22"/>
        </w:rPr>
        <w:t xml:space="preserve">Für die Entwicklung startet start.bat die Umgebung bequem: Datenbankcontainer bei Bedarf, Kompilierung, Serverstart und Browseröffnung; start.bat demo führt die Saga-Demo aus. Der Serveraufruf ist „mvn compile exec:java -Dexec.mainClass=de.allgemein.lmg.web.LmgServerMain“. Beim Hochfahren führt der Server die Saga-Wiederanlauf-Funktion aus und protokolliert den Stand im Audit-Log. Sitzungen liegen im Speicher: Nach einem Neustart melden sich die Bearbeiter neu an; Daten sind davon unberührt.</w:t>
      </w:r>
    </w:p>
    <w:p>
      <w:pPr>
        <w:pStyle w:val="Heading2"/>
        <w:keepNext/>
        <w:spacing w:after="140" w:before="280" w:line="340" w:lineRule="atLeast"/>
      </w:pPr>
      <w:bookmarkStart w:name="_Toc78" w:id="78"/>
      <w:r>
        <w:rPr>
          <w:rFonts w:ascii="Times New Roman" w:eastAsia="Times New Roman"/>
          <w:b/>
          <w:bCs/>
          <w:color w:val="0B1C2C"/>
          <w:sz w:val="27"/>
          <w:szCs w:val="27"/>
        </w:rPr>
        <w:t xml:space="preserve">19.3  Qualitätssicherung</w:t>
      </w:r>
      <w:bookmarkEnd w:id="78"/>
    </w:p>
    <w:p>
      <w:pPr>
        <w:spacing w:after="120" w:line="312"/>
        <w:jc w:val="both"/>
      </w:pPr>
      <w:r>
        <w:rPr>
          <w:rFonts w:ascii="Times New Roman" w:eastAsia="Times New Roman"/>
          <w:b w:val="false"/>
          <w:bCs w:val="false"/>
          <w:i w:val="false"/>
          <w:iCs w:val="false"/>
          <w:color w:val="000000"/>
          <w:sz w:val="22"/>
          <w:szCs w:val="22"/>
        </w:rPr>
        <w:t xml:space="preserve">Die Berechnungsregeln sind als reine Funktion (Leistungsberechnung) von der Datenbank entkoppelt und mit 60 automatisierten Unit-Tests abgesichert (LeistungsberechnungTest mit Referenzwerten, JsonTest, ZahlungsmonatTest und weitere; mvn test). Darüber hinaus verifizieren elf echte Datenbanktests (EchteDbVerifikationTest) und die Deadlock-Testklasse DeadlockRetryEchtTest das Verhalten gegen eine echte Oracle-Instanz: Sperrkonflikte, Deadlock-Wiederholung, Idempotenz, Budgetprüfung und Journalführung werden also nicht nur behauptet, sondern gegen das DBMS nachgewiesen.</w:t>
      </w:r>
    </w:p>
    <w:p>
      <w:pPr>
        <w:pStyle w:val="Heading1"/>
        <w:keepNext/>
        <w:spacing w:after="200" w:before="360" w:line="380" w:lineRule="atLeast"/>
      </w:pPr>
      <w:bookmarkStart w:name="_Toc79" w:id="79"/>
      <w:r>
        <w:rPr>
          <w:rFonts w:ascii="Times New Roman" w:eastAsia="Times New Roman"/>
          <w:b/>
          <w:bCs/>
          <w:color w:val="0B1C2C"/>
          <w:sz w:val="32"/>
          <w:szCs w:val="32"/>
        </w:rPr>
        <w:t xml:space="preserve">20  API-Referenz</w:t>
      </w:r>
      <w:bookmarkEnd w:id="79"/>
    </w:p>
    <w:p>
      <w:pPr>
        <w:spacing w:after="120" w:line="312"/>
        <w:jc w:val="both"/>
      </w:pPr>
      <w:r>
        <w:rPr>
          <w:rFonts w:ascii="Times New Roman" w:eastAsia="Times New Roman"/>
          <w:b w:val="false"/>
          <w:bCs w:val="false"/>
          <w:i w:val="false"/>
          <w:iCs w:val="false"/>
          <w:color w:val="000000"/>
          <w:sz w:val="22"/>
          <w:szCs w:val="22"/>
        </w:rPr>
        <w:t xml:space="preserve">Die JSON-API folgt festen Konventionen: Authentifizierung per Bearer-Token (401 ohne gültige Sitzung), fachliche Fehler als 400 mit {code, message}, unbekannte Ressourcen als 404, technische Fehler als 500. Admin-pflichtige Endpunkte antworten mit 403 (BERECHTIGUNG), wenn die Rolle nicht passt.</w:t>
      </w:r>
    </w:p>
    <w:p>
      <w:pPr>
        <w:keepNext/>
        <w:spacing w:after="80" w:before="160"/>
      </w:pPr>
      <w:r>
        <w:rPr>
          <w:rFonts w:ascii="Times New Roman" w:eastAsia="Times New Roman"/>
          <w:b/>
          <w:bCs/>
          <w:color w:val="5B6B7D"/>
          <w:sz w:val="20"/>
          <w:szCs w:val="20"/>
        </w:rPr>
        <w:t xml:space="preserve">Tabelle 12 — Endpunkte der JSON-API</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3164"/>
        <w:gridCol w:w="1055"/>
        <w:gridCol w:w="1933"/>
        <w:gridCol w:w="2636"/>
      </w:tblGrid>
      <w:tr>
        <w:trPr>
          <w:cantSplit/>
          <w:tblHeader/>
        </w:trPr>
        <w:tc>
          <w:tcPr>
            <w:tcW w:type="pct" w:w="18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Endpunkt</w:t>
            </w:r>
          </w:p>
        </w:tc>
        <w:tc>
          <w:tcPr>
            <w:tcW w:type="pct" w:w="6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Methode</w:t>
            </w:r>
          </w:p>
        </w:tc>
        <w:tc>
          <w:tcPr>
            <w:tcW w:type="pct" w:w="11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Rolle</w:t>
            </w:r>
          </w:p>
        </w:tc>
        <w:tc>
          <w:tcPr>
            <w:tcW w:type="pct" w:w="15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Wirkung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/api/anmeldung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Anmeldung; liefert Token, Kennung und Rolle</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/api/abmeldung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Sitzung beenden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/api/werbin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Angemeldete Kennung und Rolle</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Fallübersicht inkl. Zahlbetrag-Vorschau</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Neuen Vorgang anlegen (Aktenzeichen eindeutig)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Vorgangsdetail: SozialFälle, Berechnung, Zahlungen, Journal, Bescheid</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Kopfdaten speichern (VERSION-Prüfung)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/api/bedarfsgemeinschaften/{id}/sozialfaelle</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Weiteren SozialFall anlegen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/api/sozialfaelle/{id}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PUT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SozialFall speichern (VERSION-Prüfung)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/api/auszahlung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Auszahlung anordnen (Idempotenz über Vorgangsnummer)</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Zahlungen über alle Vorgänge (Widgets)</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/api/zahlungen/{id}/freigabe</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 (nicht Erfasser)</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Vier-Augen-Freigabe ANGELEGT → BEREIT</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/api/zahlungen/{id}/storno</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ANGELEGT: alle · BEREIT: 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Storno mit Restbudget-Rückbuchung</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/api/kassenlauf</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Alle BEREIT-Zahlungen auf ÜBERGEBEN setzen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/api/bedarfsgemeinschaften/{id}/bescheid</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Bewilligungsbescheid nach § 37 SGB X erteilen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/api/bedarfsgemeinschaften/{id}/bescheid/druck</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 (Token-Parameter erlaubt)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Amtliche HTML-Druckansicht</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/api/journal</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Journal-Einträge (Parameter limit, Standard 20)</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/api/saga/antrag</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angemeldet</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End-to-End-Antrags-Saga ausführen</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/api/system/status</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Systemdiagnose: DB, Fachschema, Komponenten, Task-Statistik</w:t>
            </w:r>
          </w:p>
        </w:tc>
      </w:tr>
      <w:tr>
        <w:trPr>
          <w:cantSplit/>
        </w:trPr>
        <w:tc>
          <w:tcPr>
            <w:tcW w:type="pct" w:w="18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/api/system/wiederanlauf</w:t>
            </w:r>
          </w:p>
        </w:tc>
        <w:tc>
          <w:tcPr>
            <w:tcW w:type="pct" w:w="6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POST</w:t>
            </w:r>
          </w:p>
        </w:tc>
        <w:tc>
          <w:tcPr>
            <w:tcW w:type="pct" w:w="11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admin</w:t>
            </w:r>
          </w:p>
        </w:tc>
        <w:tc>
          <w:tcPr>
            <w:tcW w:type="pct" w:w="15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Saga-Wiederanlauf anstoßen (idempotent)</w:t>
            </w:r>
          </w:p>
        </w:tc>
      </w:tr>
    </w:tbl>
    <w:p>
      <w:pPr>
        <w:pStyle w:val="Heading1"/>
        <w:keepNext/>
        <w:spacing w:after="200" w:before="360" w:line="380" w:lineRule="atLeast"/>
      </w:pPr>
      <w:bookmarkStart w:name="_Toc80" w:id="80"/>
      <w:r>
        <w:rPr>
          <w:rFonts w:ascii="Times New Roman" w:eastAsia="Times New Roman"/>
          <w:b/>
          <w:bCs/>
          <w:color w:val="0B1C2C"/>
          <w:sz w:val="32"/>
          <w:szCs w:val="32"/>
        </w:rPr>
        <w:t xml:space="preserve">Glossar</w:t>
      </w:r>
      <w:bookmarkEnd w:id="80"/>
    </w:p>
    <w:p>
      <w:pPr>
        <w:keepNext/>
        <w:spacing w:after="80" w:before="160"/>
      </w:pPr>
      <w:r>
        <w:rPr>
          <w:rFonts w:ascii="Times New Roman" w:eastAsia="Times New Roman"/>
          <w:b/>
          <w:bCs/>
          <w:color w:val="5B6B7D"/>
          <w:sz w:val="20"/>
          <w:szCs w:val="20"/>
        </w:rPr>
        <w:t xml:space="preserve">Tabelle 13 — Begriffe des Handbuchs</w:t>
      </w:r>
    </w:p>
    <w:tbl>
      <w:tblPr>
        <w:tblW w:type="pct" w:w="5000"/>
        <w:tblBorders>
          <w:top w:val="single" w:color="529286" w:sz="4"/>
          <w:left w:val="none" w:color="FFFFFF" w:sz="0"/>
          <w:bottom w:val="single" w:color="529286" w:sz="4"/>
          <w:right w:val="none" w:color="FFFFFF" w:sz="0"/>
          <w:insideH w:val="single" w:color="BECFCC" w:sz="2"/>
          <w:insideV w:val="none" w:color="FFFFFF" w:sz="0"/>
        </w:tblBorders>
      </w:tblPr>
      <w:tblGrid>
        <w:gridCol w:w="2285"/>
        <w:gridCol w:w="6503"/>
      </w:tblGrid>
      <w:tr>
        <w:trPr>
          <w:cantSplit/>
          <w:tblHeader/>
        </w:trPr>
        <w:tc>
          <w:tcPr>
            <w:tcW w:type="pct" w:w="13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Begriff</w:t>
            </w:r>
          </w:p>
        </w:tc>
        <w:tc>
          <w:tcPr>
            <w:tcW w:type="pct" w:w="3700"/>
            <w:shd w:fill="529286" w:val="clear"/>
            <w:tcMar>
              <w:top w:type="dxa" w:w="70"/>
              <w:left w:type="dxa" w:w="110"/>
              <w:bottom w:type="dxa" w:w="70"/>
              <w:right w:type="dxa" w:w="110"/>
            </w:tcMar>
            <w:vAlign w:val="center"/>
          </w:tcPr>
          <w:p>
            <w:pPr>
              <w:spacing w:line="276"/>
            </w:pPr>
            <w:r>
              <w:rPr>
                <w:rFonts w:ascii="Times New Roman" w:eastAsia="Times New Roman"/>
                <w:b/>
                <w:bCs/>
                <w:color w:val="FFFFFF"/>
                <w:sz w:val="20"/>
                <w:szCs w:val="20"/>
              </w:rPr>
              <w:t xml:space="preserve">Bedeutung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Bedarfsgemeinschaft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Vorgang der Grundsicherung mit eindeutigem Aktenzeichen, Hauptperson, Restbudget und Bankverbindung; fasst die zusammenlebenden Leistungsberechtigten zusammen.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SozialFall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Ein Leistungsberechtigter innerhalb einer Bedarfsgemeinschaft mit Regelbedarfsstufe, Mehrbedarfen, Unterkunftskosten und Einkommen.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Regelbedarfsstufe (RBS)</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Staffelung des Regelbedarfs nach Personenkreis (Stufen 1–6, Werte 2026: 563,00 bis 357,00 EUR).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KdU</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Kosten der Unterkunft und Heizung nach § 35 SGB XII; in der Anwendung als Kaltmiete, kalte Betriebskosten und Heizkosten erfasst.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Zahlbetrag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Gesamtbedarf der Bedarfsgemeinschaft minus anrechenbarem Einkommen; Basis von Auszahlung und Bescheid.</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Vier-Augen-Prinzip</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Erfassung und Freigabe einer Zahlung durch zwei verschiedene Kennungen; Selbstfreigabe wird rechnerisch abgewehrt.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Kassenlauf</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Betriebliche Aktion: alle freigegebenen (BEREIT) Zahlungen werden in einer Transaktion auf ÜBERGEBEN gesetzt — die fachliche Übergabe an Kasse/Zahlungsdienst.</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Restbudget (BUDGET_REST)</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Verfügbarer Auszahlungsrahmen des Vorgangs; mindert sich bei Anordnung, wächst bei Storno.</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Transaktionssteuerung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Eigene Bibliothek (de.allgemein.tx), die kurze Oracle-Transaktionen steuert: Parallelität, Zeitlimit, Wiederholung bei Sperrkonflikten, Saga-Orchestrierung.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Saga</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Langer Geschäftsvorgang aus kurzen Transaktionen mit Journal und idempotenten Kompensationen; nach Absturz über recover() sauber beendbar.</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Idempotenz</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Eigenschaft, mehrfach ausgeführt dasselbe Ergebnis zu erzeugen — Grundlage für Doppelklick-Schutz und gefahrlosen Wiederanlauf.</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Optimistisches Locking</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Speicherschutz über VERSION-Spalten: parallele Änderung führt zu KONKURRENZ statt zum stillen Überschreiben.</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Revisionssicheres Journal</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Unveränderliche Ereignisliste aller Fachaktionen mit Sachbearbeiter-Kennung; überdauert Historisierung.</w:t>
            </w:r>
          </w:p>
        </w:tc>
      </w:tr>
      <w:tr>
        <w:trPr>
          <w:cantSplit/>
        </w:trPr>
        <w:tc>
          <w:tcPr>
            <w:tcW w:type="pct" w:w="13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SGB XII / SGB X</w:t>
            </w:r>
          </w:p>
        </w:tc>
        <w:tc>
          <w:tcPr>
            <w:tcW w:type="pct" w:w="3700"/>
            <w:tcMar>
              <w:top w:type="dxa" w:w="70"/>
              <w:left w:type="dxa" w:w="110"/>
              <w:bottom w:type="dxa" w:w="70"/>
              <w:right w:type="dxa" w:w="110"/>
            </w:tcMar>
            <w:vAlign w:val="center"/>
          </w:tcPr>
          <w:p>
            <w:pPr>
              <w:spacing w:line="276"/>
            </w:pPr>
            <w:r>
              <w:rPr>
                <w:rFonts w:ascii="Times New Roman" w:eastAsia="Times New Roman"/>
                <w:b w:val="false"/>
                <w:bCs w:val="false"/>
                <w:color w:val="000000"/>
                <w:sz w:val="20"/>
                <w:szCs w:val="20"/>
              </w:rPr>
              <w:t xml:space="preserve">Zwölftes Buch Sozialgesetzbuch (Grundsicherung im Alter und bei Erwerbsminderung) bzw. Zehntes Buch (Verwaltungsverfahren, Bescheid nach § 37).</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2" w:space="4"/>
      </w:pBdr>
      <w:spacing w:after="0"/>
      <w:jc w:val="right"/>
    </w:pPr>
    <w:r>
      <w:rPr>
        <w:rFonts w:ascii="Times New Roman" w:eastAsia="Times New Roman"/>
        <w:color w:val="5B6B7D"/>
        <w:sz w:val="16"/>
        <w:szCs w:val="16"/>
      </w:rPr>
      <w:t xml:space="preserve">SDN.sozial LMG — Benutzerhandbuch · Version 0.4.0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2" w:space="4"/>
      </w:pBdr>
      <w:spacing w:after="0"/>
      <w:jc w:val="right"/>
    </w:pPr>
    <w:r>
      <w:rPr>
        <w:rFonts w:ascii="Times New Roman" w:eastAsia="Times New Roman"/>
        <w:color w:val="5B6B7D"/>
        <w:sz w:val="16"/>
        <w:szCs w:val="16"/>
      </w:rPr>
      <w:t xml:space="preserve">SDN.sozial LMG — Benutzerhandbuch · Version 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80"/>
      <w:outlineLvl w:val="0"/>
    </w:pPr>
    <w:rPr>
      <w:rFonts w:ascii="Times New Roman" w:eastAsia="Times New Roman"/>
      <w:b/>
      <w:bCs/>
      <w:color w:val="0B1C2C"/>
      <w:sz w:val="32"/>
      <w:szCs w:val="32"/>
    </w:rPr>
  </w:style>
  <w:style w:type="paragraph" w:styleId="Heading2">
    <w:name w:val="Heading 2"/>
    <w:basedOn w:val="Normal"/>
    <w:next w:val="Normal"/>
    <w:qFormat/>
    <w:pPr>
      <w:spacing w:after="140" w:before="280" w:line="340"/>
      <w:outlineLvl w:val="1"/>
    </w:pPr>
    <w:rPr>
      <w:rFonts w:ascii="Times New Roman" w:eastAsia="Times New Roman"/>
      <w:b/>
      <w:bCs/>
      <w:color w:val="0B1C2C"/>
      <w:sz w:val="27"/>
      <w:szCs w:val="27"/>
    </w:rPr>
  </w:style>
  <w:style w:type="paragraph" w:styleId="Heading3">
    <w:name w:val="Heading 3"/>
    <w:basedOn w:val="Normal"/>
    <w:next w:val="Normal"/>
    <w:qFormat/>
    <w:pPr>
      <w:spacing w:after="100" w:before="220" w:line="312"/>
      <w:outlineLvl w:val="2"/>
    </w:pPr>
    <w:rPr>
      <w:rFonts w:ascii="Times New Roman" w:eastAsia="Times New Roman"/>
      <w:b/>
      <w:bCs/>
      <w:color w:val="1F3A4D"/>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b83a2521d8f7769e806d546a938902378e3b17f.png"/><Relationship Id="rId12" Type="http://schemas.openxmlformats.org/officeDocument/2006/relationships/image" Target="media/1a93401df6fe593558667993e0c2766fa8f73852.png"/><Relationship Id="rId13" Type="http://schemas.openxmlformats.org/officeDocument/2006/relationships/image" Target="media/2c9a314678afad37a3b3e7248f62d8c7f33af6f0.png"/><Relationship Id="rId14" Type="http://schemas.openxmlformats.org/officeDocument/2006/relationships/image" Target="media/327066a9a61d4845a707217d1df235604814a39d.png"/><Relationship Id="rId15" Type="http://schemas.openxmlformats.org/officeDocument/2006/relationships/image" Target="media/14e270970ccd750ccfcabd2ac78bb44f6c794511.png"/><Relationship Id="rId16" Type="http://schemas.openxmlformats.org/officeDocument/2006/relationships/image" Target="media/6256128f21b5519cc62e90e1bfcb1301416239f9.png"/><Relationship Id="rId17" Type="http://schemas.openxmlformats.org/officeDocument/2006/relationships/image" Target="media/166e101165a4ff540ab39b6e030f41b0fd9945ec.png"/><Relationship Id="rId18" Type="http://schemas.openxmlformats.org/officeDocument/2006/relationships/image" Target="media/8fc12eb6d0d806ec68e2a59587951480926b4a61.png"/><Relationship Id="rId19" Type="http://schemas.openxmlformats.org/officeDocument/2006/relationships/image" Target="media/f83b6c3b7e2be95cd9b9c5a1ac00859c96c7a4e8.png"/><Relationship Id="rId20" Type="http://schemas.openxmlformats.org/officeDocument/2006/relationships/image" Target="media/7d59102dc43312e76f9904018d4fa8f18b5b6eea.png"/><Relationship Id="rId21" Type="http://schemas.openxmlformats.org/officeDocument/2006/relationships/image" Target="media/5d30471005c495d32a70203eedb6c837c6e2cc79.png"/><Relationship Id="rId22" Type="http://schemas.openxmlformats.org/officeDocument/2006/relationships/image" Target="media/15472487f53bbc3c17b8eb0b2a3336cc7e012f68.png"/><Relationship Id="rId23" Type="http://schemas.openxmlformats.org/officeDocument/2006/relationships/image" Target="media/150fb82e2ef3f75201ccabcece05b8f01332094c.png"/><Relationship Id="rId24" Type="http://schemas.openxmlformats.org/officeDocument/2006/relationships/image" Target="media/5095e0ecb17878e88a49a6acf757130cff26040e.png"/><Relationship Id="rId25" Type="http://schemas.openxmlformats.org/officeDocument/2006/relationships/image" Target="media/01bc643f73fe0e9fdc83c6c716f3092451457aec.png"/><Relationship Id="rId26" Type="http://schemas.openxmlformats.org/officeDocument/2006/relationships/image" Target="media/646a3f7bac17451c943195393941dd73a73ae131.png"/><Relationship Id="rId27" Type="http://schemas.openxmlformats.org/officeDocument/2006/relationships/image" Target="media/e9ad288b4c40816e0d2a7822c4ec3e3f0bd41af7.png"/><Relationship Id="rId28" Type="http://schemas.openxmlformats.org/officeDocument/2006/relationships/image" Target="media/c91bec7ec5b20e0be6e87651cacf8cb362547b7d.png"/><Relationship Id="rId29" Type="http://schemas.openxmlformats.org/officeDocument/2006/relationships/image" Target="media/f125d7fa2026929330c4cfe0170ea8a78a21920a.png"/><Relationship Id="rId30" Type="http://schemas.openxmlformats.org/officeDocument/2006/relationships/image" Target="media/c2584b4ce11cfc18b5acf5a75237b49bc356e00a.png"/><Relationship Id="rId31" Type="http://schemas.openxmlformats.org/officeDocument/2006/relationships/image" Target="media/972fc777a76bc060a890c5d35ad48afa4338af0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SDN.sozial LMG — Benutzerhandbuch</dc:title>
  <dc:creator>SDN.sozial Projektteam</dc:creator>
  <dc:description>Benutzerhandbuch und technische Dokumentation des Leistungsmanagements Grundsicherung (SGB XII)</dc:description>
  <cp:lastModifiedBy>Un-named</cp:lastModifiedBy>
  <cp:revision>1</cp:revision>
  <dcterms:created xsi:type="dcterms:W3CDTF">2026-10-10T00:08:58.775Z</dcterms:created>
  <dcterms:modified xsi:type="dcterms:W3CDTF">2026-10-10T00:08:58.775Z</dcterms:modified>
</cp:coreProperties>
</file>

<file path=docProps/custom.xml><?xml version="1.0" encoding="utf-8"?>
<Properties xmlns="http://schemas.openxmlformats.org/officeDocument/2006/custom-properties" xmlns:vt="http://schemas.openxmlformats.org/officeDocument/2006/docPropsVTypes"/>
</file>