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44"/>
        </w:rPr>
        <w:t>社内業務ポータルシステム (BizPortal)</w:t>
      </w:r>
    </w:p>
    <w:p/>
    <w:p>
      <w:pPr>
        <w:jc w:val="center"/>
      </w:pPr>
      <w:r>
        <w:rPr>
          <w:b/>
          <w:color w:val="1A3C6E"/>
          <w:sz w:val="56"/>
        </w:rPr>
        <w:t>システム概要設計書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ドキュメント ID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DOC-SYS-001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バージョン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2.1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システム名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社内業務ポータル (BizPortal)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機密区分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社外秘</w:t>
            </w:r>
          </w:p>
        </w:tc>
      </w:tr>
    </w:tbl>
    <w:p>
      <w:r>
        <w:br w:type="page"/>
      </w:r>
    </w:p>
    <w:p>
      <w:pPr>
        <w:pStyle w:val="Heading1"/>
      </w:pPr>
      <w:r>
        <w:t>システム概要設計書 — 社内業務ポータル (BizPortal)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ドキュメント ID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DOC-SYS-001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バージョン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2.1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最終更新日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2025-03-01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作成者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高橋 誠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承認者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田中 部長</w:t>
            </w:r>
          </w:p>
        </w:tc>
      </w:tr>
    </w:tbl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システム目的</w:t>
      </w:r>
    </w:p>
    <w:p>
      <w:r>
        <w:t>社内の主要業務プロセス（勤怠管理・経費精算・社内通知）を統合し、従業員の業務効率化と管理部門の運用負荷軽減を実現する。</w:t>
      </w:r>
    </w:p>
    <w:p>
      <w:pPr>
        <w:pStyle w:val="Heading3"/>
      </w:pPr>
      <w:r>
        <w:t>1.1 背景</w:t>
      </w:r>
    </w:p>
    <w:p>
      <w:pPr>
        <w:pStyle w:val="ListBullet"/>
        <w:ind w:left="850"/>
      </w:pPr>
      <w:r>
        <w:t>既存の勤怠管理は Excel ベースで月末に手動集計 → ヒューマンエラー多発</w:t>
      </w:r>
    </w:p>
    <w:p>
      <w:pPr>
        <w:pStyle w:val="ListBullet"/>
        <w:ind w:left="850"/>
      </w:pPr>
      <w:r>
        <w:t>経費精算は紙の申請書 → 承認に平均5営業日</w:t>
      </w:r>
    </w:p>
    <w:p>
      <w:pPr>
        <w:pStyle w:val="ListBullet"/>
        <w:ind w:left="850"/>
      </w:pPr>
      <w:r>
        <w:t>社内通知はメール一斉配信 → 既読率 30% 以下</w:t>
      </w:r>
    </w:p>
    <w:p>
      <w:pPr>
        <w:pStyle w:val="Heading3"/>
      </w:pPr>
      <w:r>
        <w:t>1.2 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目標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勤怠集計所要時間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3日/月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自動化（0日）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経費精算承認リードタイム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5営業日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1営業日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社内通知既読率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30%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80%以上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システム稼働率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99.9% (SLA)</w:t>
            </w:r>
          </w:p>
        </w:tc>
      </w:tr>
    </w:tbl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システム構成</w:t>
      </w:r>
    </w:p>
    <w:p>
      <w:pPr>
        <w:pStyle w:val="Heading3"/>
      </w:pPr>
      <w:r>
        <w:t>2.1 全体アーキテクチャ</w:t>
      </w:r>
    </w:p>
    <w:p>
      <w:pPr>
        <w:spacing w:before="80" w:after="80"/>
      </w:pPr>
      <w:r>
        <w:rPr>
          <w:rFonts w:ascii="Consolas" w:hAnsi="Consolas"/>
          <w:color w:val="2C3E50"/>
          <w:sz w:val="17"/>
        </w:rPr>
        <w:t>┌─────────────────────────────────────────────────────┐</w:t>
        <w:br/>
        <w:t>│                  Azure AD (認証基盤)                   │</w:t>
        <w:br/>
        <w:t>│              SSO / MFA / 条件付きアクセス                │</w:t>
        <w:br/>
        <w:t>└─────────────┬───────────────────────┬───────────────┘</w:t>
        <w:br/>
        <w:t xml:space="preserve">              │ OAuth 2.0 / OIDC      │</w:t>
        <w:br/>
        <w:t>┌─────────────▼──────┐  ┌─────────────▼──────────────┐</w:t>
        <w:br/>
        <w:t>│  フロントエンド      │  │  モバイルアプリ (PWA)        │</w:t>
        <w:br/>
        <w:t>│  React 18 + Vite    │  │  React Native              │</w:t>
        <w:br/>
        <w:t>│  Azure Static Web   │  │                            │</w:t>
        <w:br/>
        <w:t>└─────────────┬──────┘  └─────────────┬──────────────┘</w:t>
        <w:br/>
        <w:t xml:space="preserve">              │ REST API (HTTPS)       │</w:t>
        <w:br/>
        <w:t>┌─────────────▼────────────────────────▼──────────────┐</w:t>
        <w:br/>
        <w:t>│          Azure API Management (Gateway)              │</w:t>
        <w:br/>
        <w:t>│       レート制限 / 認証検証 / ログ記録                   │</w:t>
        <w:br/>
        <w:t>└─────────────┬───────────────────────────────────────┘</w:t>
        <w:br/>
        <w:t xml:space="preserve">              │</w:t>
        <w:br/>
        <w:t>┌─────────────▼───────────────────────────────────────┐</w:t>
        <w:br/>
        <w:t>│         FastAPI バックエンド (Azure App Service)       │</w:t>
        <w:br/>
        <w:t>│  ┌──────────┬──────────┬──────────┬────────────┐     │</w:t>
        <w:br/>
        <w:t>│  │ 認証     │ 勤怠管理  │ 経費精算  │ 通知配信    │     │</w:t>
        <w:br/>
        <w:t>│  │ Module   │ Module   │ Module   │ Module     │     │</w:t>
        <w:br/>
        <w:t>│  └──────────┴──────────┴──────────┴────────────┘     │</w:t>
        <w:br/>
        <w:t>└──┬──────────┬──────────┬──────────┬─────────────────┘</w:t>
        <w:br/>
        <w:t xml:space="preserve">   │          │          │          │</w:t>
        <w:br/>
        <w:t xml:space="preserve">   ▼          ▼          ▼          ▼</w:t>
        <w:br/>
        <w:t>PostgreSQL  Redis     Blob Storage  Microsoft Graph</w:t>
        <w:br/>
        <w:t>(Azure DB)  (Cache)   (ファイル)     (メール送信)</w:t>
      </w:r>
    </w:p>
    <w:p>
      <w:pPr>
        <w:pStyle w:val="Heading3"/>
      </w:pPr>
      <w:r>
        <w:t>2.2 モジュール一覧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モジュール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責務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主要テーブル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認証 (auth)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AD 連携、JWT 発行・検証、セッション管理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users, login_history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勤怠管理 (attendance)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出退勤打刻、残業計算、月次集計、有給管理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attendance_records, leave_requests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経費精算 (expense)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経費申請、承認ワークフロー、領収書アップロード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expense_reports, expense_items, approvals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通知配信 (notification)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社内通知作成・配信、既読管理、プッシュ通知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notifications, notification_reads</w:t>
            </w:r>
          </w:p>
        </w:tc>
      </w:tr>
    </w:tbl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非機能要件</w:t>
      </w:r>
    </w:p>
    <w:p>
      <w:pPr>
        <w:pStyle w:val="Heading3"/>
      </w:pPr>
      <w:r>
        <w:t>3.1 性能要件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要件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同時接続数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最大 500 ユーザー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API レスポンス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95 パーセンタイルで 500ms 以内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月次バッチ処理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1,000 名分の勤怠集計を 10 分以内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ファイルアップロード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最大 10MB / 1ファイル</w:t>
            </w:r>
          </w:p>
        </w:tc>
      </w:tr>
    </w:tbl>
    <w:p>
      <w:pPr>
        <w:pStyle w:val="Heading3"/>
      </w:pPr>
      <w:r>
        <w:t>3.2 可用性要件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要件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稼働率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99.9%（月間ダウンタイム 43 分以内）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RTO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 時間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RPO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 分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メンテナンスウィンドウ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毎月第2日曜 02:00-06:00 JST</w:t>
            </w:r>
          </w:p>
        </w:tc>
      </w:tr>
    </w:tbl>
    <w:p>
      <w:pPr>
        <w:pStyle w:val="Heading3"/>
      </w:pPr>
      <w:r>
        <w:t>3.3 セキュリティ要件</w:t>
      </w:r>
    </w:p>
    <w:p>
      <w:pPr>
        <w:pStyle w:val="ListBullet"/>
        <w:ind w:left="850"/>
      </w:pPr>
      <w:r>
        <w:t>Azure AD による SSO / MFA 必須</w:t>
      </w:r>
    </w:p>
    <w:p>
      <w:pPr>
        <w:pStyle w:val="ListBullet"/>
        <w:ind w:left="850"/>
      </w:pPr>
      <w:r>
        <w:t>通信は全て TLS 1.3</w:t>
      </w:r>
    </w:p>
    <w:p>
      <w:pPr>
        <w:pStyle w:val="ListBullet"/>
        <w:ind w:left="850"/>
      </w:pPr>
      <w:r>
        <w:t>個人情報はデータベースレベルで暗号化 (TDE)</w:t>
      </w:r>
    </w:p>
    <w:p>
      <w:pPr>
        <w:pStyle w:val="ListBullet"/>
        <w:ind w:left="850"/>
      </w:pPr>
      <w:r>
        <w:t>操作ログは Azure Monitor に 1 年間保存</w:t>
      </w:r>
    </w:p>
    <w:p>
      <w:pPr>
        <w:pStyle w:val="ListBullet"/>
        <w:ind w:left="850"/>
      </w:pPr>
      <w:r>
        <w:t>CORS ポリシーにより許可ドメインのみアクセス可</w:t>
      </w:r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外部システム連携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連携先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プロトコル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AD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OAuth 2.0 / OIDC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認証・認可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Exchange Online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Microsoft Graph API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メール通知送信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SAP ERP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REST API (RFC)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勤怠データ同期（月次バッチ）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ServiceNow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REST API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インシデント自動起票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Blob Storage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SDK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領収書・添付ファイル保存</w:t>
            </w:r>
          </w:p>
        </w:tc>
      </w:tr>
    </w:tbl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運用設計</w:t>
      </w:r>
    </w:p>
    <w:p>
      <w:pPr>
        <w:pStyle w:val="Heading3"/>
      </w:pPr>
      <w:r>
        <w:t>5.1 監視項目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監視対象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ツール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アラート条件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API レスポンスタイム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Application Insights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P95 &gt; 1000ms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エラー率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Application Insights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5xx &gt; 1% / 5分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DB コネクションプール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Monitor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使用率 &gt; 80%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ディスク使用率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Monitor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85%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SSL 証明書有効期限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Monitor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残り 30 日以下</w:t>
            </w:r>
          </w:p>
        </w:tc>
      </w:tr>
    </w:tbl>
    <w:p>
      <w:pPr>
        <w:pStyle w:val="Heading3"/>
      </w:pPr>
      <w:r>
        <w:t>5.2 バックアップ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02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保持期間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PostgreSQL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自動バックアップ (PITR)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35 日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Blob Storage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GRS (地理冗長)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無期限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アプリケーションログ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Log Analytics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90 日</w:t>
            </w:r>
          </w:p>
        </w:tc>
      </w:tr>
    </w:tbl>
    <w:p>
      <w:pPr>
        <w:pStyle w:val="Heading3"/>
      </w:pPr>
      <w:r>
        <w:t>5.3 障害対応フロー</w:t>
      </w:r>
    </w:p>
    <w:p>
      <w:pPr>
        <w:spacing w:before="80" w:after="80"/>
      </w:pPr>
      <w:r>
        <w:rPr>
          <w:rFonts w:ascii="Consolas" w:hAnsi="Consolas"/>
          <w:color w:val="2C3E50"/>
          <w:sz w:val="17"/>
        </w:rPr>
        <w:t>障害検知 → アラート発報 → 運用チーム確認 → 影響範囲特定</w:t>
        <w:br/>
        <w:t xml:space="preserve">    → 一次対応（再起動/切り戻し）→ 恒久対応 → ポストモーテム</w:t>
      </w:r>
    </w:p>
    <w:p>
      <w:r>
        <w:t>障害レベル定義:</w:t>
      </w:r>
    </w:p>
    <w:p>
      <w:pPr>
        <w:pStyle w:val="ListBullet"/>
        <w:ind w:left="850"/>
      </w:pPr>
      <w:r/>
      <w:r>
        <w:rPr>
          <w:b/>
        </w:rPr>
        <w:t>P1 (Critical)</w:t>
      </w:r>
      <w:r>
        <w:t>: 全ユーザーがシステム利用不可 → 30分以内に対応開始</w:t>
      </w:r>
    </w:p>
    <w:p>
      <w:pPr>
        <w:pStyle w:val="ListBullet"/>
        <w:ind w:left="850"/>
      </w:pPr>
      <w:r/>
      <w:r>
        <w:rPr>
          <w:b/>
        </w:rPr>
        <w:t>P2 (High)</w:t>
      </w:r>
      <w:r>
        <w:t>: 主要機能が利用不可 → 1時間以内に対応開始</w:t>
      </w:r>
    </w:p>
    <w:p>
      <w:pPr>
        <w:pStyle w:val="ListBullet"/>
        <w:ind w:left="850"/>
      </w:pPr>
      <w:r/>
      <w:r>
        <w:rPr>
          <w:b/>
        </w:rPr>
        <w:t>P3 (Medium)</w:t>
      </w:r>
      <w:r>
        <w:t>: 一部機能に影響 → 4時間以内に対応開始</w:t>
      </w:r>
    </w:p>
    <w:p>
      <w:pPr>
        <w:pStyle w:val="ListBullet"/>
        <w:ind w:left="850"/>
      </w:pPr>
      <w:r/>
      <w:r>
        <w:rPr>
          <w:b/>
        </w:rPr>
        <w:t>P4 (Low)</w:t>
      </w:r>
      <w:r>
        <w:t>: 軽微な問題 → 翌営業日対応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游ゴシック" w:hAnsi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游ゴシック" w:hAnsi="游ゴシック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游ゴシック" w:hAnsi="游ゴシック"/>
      <w:b/>
      <w:bCs/>
      <w:color w:val="1A3C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游ゴシック" w:hAnsi="游ゴシック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游ゴシック" w:hAnsi="游ゴシック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