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4E3303" w:rsidRPr="00636ACF" w:rsidRDefault="004E3303" w:rsidP="01DC99FD">
      <w:pPr>
        <w:pStyle w:val="Title"/>
        <w:rPr>
          <w:rFonts w:ascii="Times New Roman" w:hAnsi="Times New Roman" w:cs="Times New Roman"/>
          <w:sz w:val="24"/>
          <w:szCs w:val="24"/>
        </w:rPr>
      </w:pPr>
    </w:p>
    <w:p w14:paraId="376876DB" w14:textId="747C482F" w:rsidR="01DC99FD" w:rsidRPr="00636ACF" w:rsidRDefault="01DC99FD" w:rsidP="01DC99FD">
      <w:pPr>
        <w:rPr>
          <w:rFonts w:ascii="Times New Roman" w:hAnsi="Times New Roman" w:cs="Times New Roman"/>
        </w:rPr>
      </w:pPr>
    </w:p>
    <w:p w14:paraId="4A529455" w14:textId="417FAC55" w:rsidR="01DC99FD" w:rsidRPr="00636ACF" w:rsidRDefault="01DC99FD" w:rsidP="01DC99FD">
      <w:pPr>
        <w:rPr>
          <w:rFonts w:ascii="Times New Roman" w:hAnsi="Times New Roman" w:cs="Times New Roman"/>
        </w:rPr>
      </w:pPr>
    </w:p>
    <w:p w14:paraId="68C2716B" w14:textId="4D68491E" w:rsidR="01DC99FD" w:rsidRPr="00636ACF" w:rsidRDefault="01DC99FD" w:rsidP="01DC99FD">
      <w:pPr>
        <w:jc w:val="center"/>
        <w:rPr>
          <w:rFonts w:ascii="Times New Roman" w:hAnsi="Times New Roman" w:cs="Times New Roman"/>
        </w:rPr>
      </w:pPr>
    </w:p>
    <w:p w14:paraId="55D16790" w14:textId="3AEAE3B0" w:rsidR="01DC99FD" w:rsidRPr="00636ACF" w:rsidRDefault="01DC99FD" w:rsidP="01DC99FD">
      <w:pPr>
        <w:jc w:val="center"/>
        <w:rPr>
          <w:rFonts w:ascii="Times New Roman" w:hAnsi="Times New Roman" w:cs="Times New Roman"/>
        </w:rPr>
      </w:pPr>
    </w:p>
    <w:p w14:paraId="728DB239" w14:textId="3842BDD9" w:rsidR="01DC99FD" w:rsidRPr="00636ACF" w:rsidRDefault="01DC99FD" w:rsidP="01DC99FD">
      <w:pPr>
        <w:jc w:val="center"/>
        <w:rPr>
          <w:rFonts w:ascii="Times New Roman" w:hAnsi="Times New Roman" w:cs="Times New Roman"/>
        </w:rPr>
      </w:pPr>
    </w:p>
    <w:p w14:paraId="5CB58D3D" w14:textId="525F140A" w:rsidR="01DC99FD" w:rsidRPr="00636ACF" w:rsidRDefault="01DC99FD" w:rsidP="00E56C4E">
      <w:pPr>
        <w:jc w:val="center"/>
        <w:rPr>
          <w:rFonts w:ascii="Times New Roman" w:hAnsi="Times New Roman" w:cs="Times New Roman"/>
        </w:rPr>
      </w:pPr>
    </w:p>
    <w:p w14:paraId="039A20CF" w14:textId="04CBE385" w:rsidR="01DC99FD" w:rsidRPr="00636ACF" w:rsidRDefault="00752CCC" w:rsidP="0057379F">
      <w:pPr>
        <w:jc w:val="center"/>
        <w:rPr>
          <w:rFonts w:ascii="Times New Roman" w:eastAsia="Times New Roman" w:hAnsi="Times New Roman" w:cs="Times New Roman"/>
          <w:b/>
          <w:bCs/>
        </w:rPr>
      </w:pPr>
      <w:r w:rsidRPr="00636ACF">
        <w:rPr>
          <w:rFonts w:ascii="Times New Roman" w:eastAsia="Times New Roman" w:hAnsi="Times New Roman" w:cs="Times New Roman"/>
          <w:b/>
          <w:bCs/>
        </w:rPr>
        <w:t>The Impact of Health information Exchange on Health Care Organizations</w:t>
      </w:r>
    </w:p>
    <w:p w14:paraId="0335FDC7" w14:textId="77777777" w:rsidR="001B6099" w:rsidRPr="00636ACF" w:rsidRDefault="001B6099" w:rsidP="0057379F">
      <w:pPr>
        <w:jc w:val="center"/>
        <w:rPr>
          <w:rFonts w:ascii="Times New Roman" w:eastAsia="Times New Roman" w:hAnsi="Times New Roman" w:cs="Times New Roman"/>
        </w:rPr>
      </w:pPr>
    </w:p>
    <w:p w14:paraId="39A7E501" w14:textId="737B9F08" w:rsidR="7856E325" w:rsidRPr="00636ACF" w:rsidRDefault="7856E325" w:rsidP="0057379F">
      <w:pPr>
        <w:jc w:val="center"/>
        <w:rPr>
          <w:rFonts w:ascii="Times New Roman" w:eastAsia="Times New Roman" w:hAnsi="Times New Roman" w:cs="Times New Roman"/>
        </w:rPr>
      </w:pPr>
      <w:r w:rsidRPr="00636ACF">
        <w:rPr>
          <w:rFonts w:ascii="Times New Roman" w:eastAsia="Times New Roman" w:hAnsi="Times New Roman" w:cs="Times New Roman"/>
        </w:rPr>
        <w:t>Nikitha Thota</w:t>
      </w:r>
    </w:p>
    <w:p w14:paraId="532048D1" w14:textId="040FB4EE" w:rsidR="048FF10E" w:rsidRPr="00636ACF" w:rsidRDefault="048FF10E" w:rsidP="0057379F">
      <w:pPr>
        <w:jc w:val="center"/>
        <w:rPr>
          <w:rFonts w:ascii="Times New Roman" w:eastAsia="Times New Roman" w:hAnsi="Times New Roman" w:cs="Times New Roman"/>
        </w:rPr>
      </w:pPr>
      <w:r w:rsidRPr="00636ACF">
        <w:rPr>
          <w:rFonts w:ascii="Times New Roman" w:eastAsia="Times New Roman" w:hAnsi="Times New Roman" w:cs="Times New Roman"/>
        </w:rPr>
        <w:t>HINF 5101: Introduction to Health Informatics</w:t>
      </w:r>
    </w:p>
    <w:p w14:paraId="1D951CE5" w14:textId="0BBB9C29" w:rsidR="048FF10E" w:rsidRPr="00636ACF" w:rsidRDefault="048FF10E" w:rsidP="0057379F">
      <w:pPr>
        <w:jc w:val="center"/>
        <w:rPr>
          <w:rFonts w:ascii="Times New Roman" w:eastAsia="Times New Roman" w:hAnsi="Times New Roman" w:cs="Times New Roman"/>
        </w:rPr>
      </w:pPr>
      <w:r w:rsidRPr="00636ACF">
        <w:rPr>
          <w:rFonts w:ascii="Times New Roman" w:eastAsia="Times New Roman" w:hAnsi="Times New Roman" w:cs="Times New Roman"/>
        </w:rPr>
        <w:t xml:space="preserve">Professor </w:t>
      </w:r>
      <w:r w:rsidR="52371CE0" w:rsidRPr="00636ACF">
        <w:rPr>
          <w:rFonts w:ascii="Times New Roman" w:eastAsia="Times New Roman" w:hAnsi="Times New Roman" w:cs="Times New Roman"/>
        </w:rPr>
        <w:t>Catherine Turner</w:t>
      </w:r>
    </w:p>
    <w:p w14:paraId="6B29AF89" w14:textId="2542559B" w:rsidR="4F9DD66B" w:rsidRPr="00636ACF" w:rsidRDefault="4F9DD66B" w:rsidP="0057379F">
      <w:pPr>
        <w:jc w:val="center"/>
        <w:rPr>
          <w:rFonts w:ascii="Times New Roman" w:eastAsia="Times New Roman" w:hAnsi="Times New Roman" w:cs="Times New Roman"/>
        </w:rPr>
      </w:pPr>
      <w:r w:rsidRPr="00636ACF">
        <w:rPr>
          <w:rFonts w:ascii="Times New Roman" w:eastAsia="Times New Roman" w:hAnsi="Times New Roman" w:cs="Times New Roman"/>
        </w:rPr>
        <w:t>Northeastern University</w:t>
      </w:r>
    </w:p>
    <w:p w14:paraId="216CF69F" w14:textId="5527C4A6" w:rsidR="7D47803A" w:rsidRPr="00636ACF" w:rsidRDefault="7D47803A" w:rsidP="0057379F">
      <w:pPr>
        <w:jc w:val="center"/>
        <w:rPr>
          <w:rFonts w:ascii="Times New Roman" w:eastAsia="Times New Roman" w:hAnsi="Times New Roman" w:cs="Times New Roman"/>
        </w:rPr>
      </w:pPr>
      <w:r w:rsidRPr="00636ACF">
        <w:rPr>
          <w:rFonts w:ascii="Times New Roman" w:eastAsia="Times New Roman" w:hAnsi="Times New Roman" w:cs="Times New Roman"/>
        </w:rPr>
        <w:t>November 23, 2025</w:t>
      </w:r>
    </w:p>
    <w:p w14:paraId="390A5C20" w14:textId="5F76CEB5" w:rsidR="01DC99FD" w:rsidRPr="00636ACF" w:rsidRDefault="01DC99FD" w:rsidP="01DC99FD">
      <w:pPr>
        <w:spacing w:line="480" w:lineRule="auto"/>
        <w:jc w:val="center"/>
        <w:rPr>
          <w:rFonts w:ascii="Times New Roman" w:eastAsia="Times New Roman" w:hAnsi="Times New Roman" w:cs="Times New Roman"/>
        </w:rPr>
      </w:pPr>
    </w:p>
    <w:p w14:paraId="2FBC668B" w14:textId="1246F9D4" w:rsidR="01DC99FD" w:rsidRPr="00636ACF" w:rsidRDefault="01DC99FD" w:rsidP="01DC99FD">
      <w:pPr>
        <w:spacing w:line="480" w:lineRule="auto"/>
        <w:jc w:val="center"/>
        <w:rPr>
          <w:rFonts w:ascii="Times New Roman" w:eastAsia="Times New Roman" w:hAnsi="Times New Roman" w:cs="Times New Roman"/>
        </w:rPr>
      </w:pPr>
    </w:p>
    <w:p w14:paraId="12DBD3A8" w14:textId="77B23896" w:rsidR="01DC99FD" w:rsidRPr="00636ACF" w:rsidRDefault="01DC99FD" w:rsidP="01DC99FD">
      <w:pPr>
        <w:spacing w:line="480" w:lineRule="auto"/>
        <w:jc w:val="center"/>
        <w:rPr>
          <w:rFonts w:ascii="Times New Roman" w:eastAsia="Times New Roman" w:hAnsi="Times New Roman" w:cs="Times New Roman"/>
        </w:rPr>
      </w:pPr>
    </w:p>
    <w:p w14:paraId="5B6CD892" w14:textId="5A11309E" w:rsidR="01DC99FD" w:rsidRPr="00636ACF" w:rsidRDefault="01DC99FD" w:rsidP="01DC99FD">
      <w:pPr>
        <w:spacing w:line="480" w:lineRule="auto"/>
        <w:jc w:val="center"/>
        <w:rPr>
          <w:rFonts w:ascii="Times New Roman" w:eastAsia="Times New Roman" w:hAnsi="Times New Roman" w:cs="Times New Roman"/>
        </w:rPr>
      </w:pPr>
    </w:p>
    <w:p w14:paraId="7093FA8B" w14:textId="5B977D56" w:rsidR="01DC99FD" w:rsidRPr="00636ACF" w:rsidRDefault="01DC99FD" w:rsidP="01DC99FD">
      <w:pPr>
        <w:spacing w:line="480" w:lineRule="auto"/>
        <w:jc w:val="center"/>
        <w:rPr>
          <w:rFonts w:ascii="Times New Roman" w:eastAsia="Times New Roman" w:hAnsi="Times New Roman" w:cs="Times New Roman"/>
        </w:rPr>
      </w:pPr>
    </w:p>
    <w:p w14:paraId="6C3148BA" w14:textId="680EADE6" w:rsidR="1F591143" w:rsidRPr="00636ACF" w:rsidRDefault="1F591143" w:rsidP="00D9629E">
      <w:pPr>
        <w:pStyle w:val="ListParagraph"/>
        <w:spacing w:after="158"/>
        <w:ind w:left="1440" w:hanging="720"/>
        <w:rPr>
          <w:rFonts w:ascii="Times New Roman" w:hAnsi="Times New Roman" w:cs="Times New Roman"/>
        </w:rPr>
      </w:pPr>
    </w:p>
    <w:p w14:paraId="0FA1CAF9" w14:textId="77777777" w:rsidR="00E56C4E" w:rsidRPr="00636ACF" w:rsidRDefault="006E421E" w:rsidP="003F710E">
      <w:pPr>
        <w:spacing w:after="0" w:line="480" w:lineRule="auto"/>
        <w:jc w:val="both"/>
        <w:rPr>
          <w:rFonts w:ascii="Times New Roman" w:eastAsia="Times New Roman" w:hAnsi="Times New Roman" w:cs="Times New Roman"/>
          <w:b/>
          <w:bCs/>
          <w:color w:val="000000"/>
          <w:lang w:eastAsia="en-US"/>
        </w:rPr>
      </w:pPr>
      <w:r w:rsidRPr="006E421E">
        <w:rPr>
          <w:rFonts w:ascii="Times New Roman" w:eastAsia="Times New Roman" w:hAnsi="Times New Roman" w:cs="Times New Roman"/>
          <w:b/>
          <w:bCs/>
          <w:color w:val="000000"/>
          <w:lang w:eastAsia="en-US"/>
        </w:rPr>
        <w:t> </w:t>
      </w:r>
      <w:r w:rsidRPr="00636ACF">
        <w:rPr>
          <w:rFonts w:ascii="Times New Roman" w:eastAsia="Times New Roman" w:hAnsi="Times New Roman" w:cs="Times New Roman"/>
          <w:b/>
          <w:bCs/>
          <w:color w:val="000000"/>
          <w:lang w:eastAsia="en-US"/>
        </w:rPr>
        <w:tab/>
      </w:r>
      <w:r w:rsidRPr="00636ACF">
        <w:rPr>
          <w:rFonts w:ascii="Times New Roman" w:eastAsia="Times New Roman" w:hAnsi="Times New Roman" w:cs="Times New Roman"/>
          <w:b/>
          <w:bCs/>
          <w:color w:val="000000"/>
          <w:lang w:eastAsia="en-US"/>
        </w:rPr>
        <w:tab/>
      </w:r>
    </w:p>
    <w:p w14:paraId="59EE315A" w14:textId="77777777" w:rsidR="00E56C4E" w:rsidRPr="00636ACF" w:rsidRDefault="00E56C4E" w:rsidP="003F710E">
      <w:pPr>
        <w:spacing w:after="0" w:line="480" w:lineRule="auto"/>
        <w:jc w:val="both"/>
        <w:rPr>
          <w:rFonts w:ascii="Times New Roman" w:eastAsia="Times New Roman" w:hAnsi="Times New Roman" w:cs="Times New Roman"/>
          <w:b/>
          <w:bCs/>
          <w:color w:val="000000"/>
          <w:lang w:eastAsia="en-US"/>
        </w:rPr>
      </w:pPr>
    </w:p>
    <w:p w14:paraId="23555932" w14:textId="77777777" w:rsidR="00E56C4E" w:rsidRPr="00636ACF" w:rsidRDefault="00E56C4E" w:rsidP="003F710E">
      <w:pPr>
        <w:spacing w:after="0" w:line="480" w:lineRule="auto"/>
        <w:jc w:val="both"/>
        <w:rPr>
          <w:rFonts w:ascii="Times New Roman" w:eastAsia="Times New Roman" w:hAnsi="Times New Roman" w:cs="Times New Roman"/>
          <w:b/>
          <w:bCs/>
          <w:color w:val="000000"/>
          <w:lang w:eastAsia="en-US"/>
        </w:rPr>
      </w:pPr>
    </w:p>
    <w:p w14:paraId="79EC41EF" w14:textId="77777777" w:rsidR="00931CDE" w:rsidRDefault="00931CDE" w:rsidP="00E56C4E">
      <w:pPr>
        <w:spacing w:after="0" w:line="480" w:lineRule="auto"/>
        <w:ind w:left="720" w:firstLine="720"/>
        <w:jc w:val="both"/>
        <w:rPr>
          <w:rFonts w:ascii="Times New Roman" w:eastAsia="Times New Roman" w:hAnsi="Times New Roman" w:cs="Times New Roman"/>
          <w:b/>
          <w:bCs/>
          <w:color w:val="000000"/>
          <w:lang w:eastAsia="en-US"/>
        </w:rPr>
      </w:pPr>
    </w:p>
    <w:p w14:paraId="0674E849" w14:textId="2E1F1819" w:rsidR="006E421E" w:rsidRPr="006E421E" w:rsidRDefault="006E421E" w:rsidP="00E56C4E">
      <w:pPr>
        <w:spacing w:after="0" w:line="480" w:lineRule="auto"/>
        <w:ind w:left="720" w:firstLine="720"/>
        <w:jc w:val="both"/>
        <w:rPr>
          <w:rFonts w:ascii="Times New Roman" w:eastAsia="Times New Roman" w:hAnsi="Times New Roman" w:cs="Times New Roman"/>
          <w:lang w:eastAsia="en-US"/>
        </w:rPr>
      </w:pPr>
      <w:r w:rsidRPr="006E421E">
        <w:rPr>
          <w:rFonts w:ascii="Times New Roman" w:eastAsia="Times New Roman" w:hAnsi="Times New Roman" w:cs="Times New Roman"/>
          <w:b/>
          <w:bCs/>
          <w:color w:val="000000"/>
          <w:lang w:eastAsia="en-US"/>
        </w:rPr>
        <w:lastRenderedPageBreak/>
        <w:t> The Impact of Health Information Exchange in Healthcare</w:t>
      </w:r>
    </w:p>
    <w:p w14:paraId="4DFFFB35" w14:textId="1E4DEA38" w:rsidR="006E421E" w:rsidRPr="006E421E" w:rsidRDefault="006E421E" w:rsidP="00E56C4E">
      <w:pPr>
        <w:spacing w:after="0" w:line="480" w:lineRule="auto"/>
        <w:jc w:val="both"/>
        <w:rPr>
          <w:rFonts w:ascii="Times New Roman" w:eastAsia="Times New Roman" w:hAnsi="Times New Roman" w:cs="Times New Roman"/>
          <w:lang w:eastAsia="en-US"/>
        </w:rPr>
      </w:pPr>
      <w:r w:rsidRPr="006E421E">
        <w:rPr>
          <w:rFonts w:ascii="Times New Roman" w:eastAsia="Times New Roman" w:hAnsi="Times New Roman" w:cs="Times New Roman"/>
          <w:b/>
          <w:bCs/>
          <w:color w:val="000000"/>
          <w:lang w:eastAsia="en-US"/>
        </w:rPr>
        <w:t>                                                        </w:t>
      </w:r>
      <w:r w:rsidRPr="00636ACF">
        <w:rPr>
          <w:rFonts w:ascii="Times New Roman" w:eastAsia="Times New Roman" w:hAnsi="Times New Roman" w:cs="Times New Roman"/>
          <w:b/>
          <w:bCs/>
          <w:color w:val="000000"/>
          <w:lang w:eastAsia="en-US"/>
        </w:rPr>
        <w:tab/>
      </w:r>
      <w:r w:rsidRPr="006E421E">
        <w:rPr>
          <w:rFonts w:ascii="Times New Roman" w:eastAsia="Times New Roman" w:hAnsi="Times New Roman" w:cs="Times New Roman"/>
          <w:b/>
          <w:bCs/>
          <w:color w:val="000000"/>
          <w:lang w:eastAsia="en-US"/>
        </w:rPr>
        <w:t> </w:t>
      </w:r>
      <w:r w:rsidR="00931CDE">
        <w:rPr>
          <w:rFonts w:ascii="Times New Roman" w:eastAsia="Times New Roman" w:hAnsi="Times New Roman" w:cs="Times New Roman"/>
          <w:b/>
          <w:bCs/>
          <w:color w:val="000000"/>
          <w:lang w:eastAsia="en-US"/>
        </w:rPr>
        <w:t xml:space="preserve"> </w:t>
      </w:r>
      <w:r w:rsidRPr="006E421E">
        <w:rPr>
          <w:rFonts w:ascii="Times New Roman" w:eastAsia="Times New Roman" w:hAnsi="Times New Roman" w:cs="Times New Roman"/>
          <w:b/>
          <w:bCs/>
          <w:color w:val="000000"/>
          <w:lang w:eastAsia="en-US"/>
        </w:rPr>
        <w:t>Overview</w:t>
      </w:r>
    </w:p>
    <w:p w14:paraId="0500C42E" w14:textId="74CE5D40" w:rsidR="01DC99FD" w:rsidRPr="00636ACF" w:rsidRDefault="006E421E" w:rsidP="00E56C4E">
      <w:pPr>
        <w:spacing w:line="480" w:lineRule="auto"/>
        <w:jc w:val="both"/>
        <w:rPr>
          <w:rFonts w:ascii="Times New Roman" w:eastAsia="Times New Roman" w:hAnsi="Times New Roman" w:cs="Times New Roman"/>
          <w:color w:val="000000"/>
          <w:lang w:eastAsia="en-US"/>
        </w:rPr>
      </w:pPr>
      <w:r w:rsidRPr="00636ACF">
        <w:rPr>
          <w:rFonts w:ascii="Times New Roman" w:eastAsia="Times New Roman" w:hAnsi="Times New Roman" w:cs="Times New Roman"/>
          <w:color w:val="000000"/>
          <w:lang w:eastAsia="en-US"/>
        </w:rPr>
        <w:t> </w:t>
      </w:r>
      <w:r w:rsidRPr="00636ACF">
        <w:rPr>
          <w:rFonts w:ascii="Times New Roman" w:eastAsia="Times New Roman" w:hAnsi="Times New Roman" w:cs="Times New Roman"/>
          <w:color w:val="000000"/>
          <w:lang w:eastAsia="en-US"/>
        </w:rPr>
        <w:tab/>
        <w:t>This paper explores the Role of Health Information Exchange, its importance, applications and benefits in the clinical world to enhance Quality and coordinated care. During the course of this study, we analyze two different health care organizations and their interrelationships with HIE vendors. We also dive into the evolution of Health Information Exchange, the impact of the current technological landscape on HIE &amp; Health Care Organizations and the future of Health Information Exchange in enhancing patient-centered care</w:t>
      </w:r>
      <w:r w:rsidR="008A1A88" w:rsidRPr="00636ACF">
        <w:rPr>
          <w:rFonts w:ascii="Times New Roman" w:eastAsia="Times New Roman" w:hAnsi="Times New Roman" w:cs="Times New Roman"/>
          <w:color w:val="000000"/>
          <w:lang w:eastAsia="en-US"/>
        </w:rPr>
        <w:t>.</w:t>
      </w:r>
    </w:p>
    <w:p w14:paraId="3BB8525B" w14:textId="77777777" w:rsidR="00E84100" w:rsidRPr="00636ACF" w:rsidRDefault="00E84100" w:rsidP="003F710E">
      <w:pPr>
        <w:spacing w:line="480" w:lineRule="auto"/>
        <w:jc w:val="both"/>
        <w:rPr>
          <w:rFonts w:ascii="Times New Roman" w:eastAsia="Times New Roman" w:hAnsi="Times New Roman" w:cs="Times New Roman"/>
          <w:color w:val="000000"/>
          <w:lang w:eastAsia="en-US"/>
        </w:rPr>
      </w:pPr>
    </w:p>
    <w:p w14:paraId="3CAABBE5" w14:textId="4B9F179D" w:rsidR="00151412" w:rsidRPr="00151412" w:rsidRDefault="00151412" w:rsidP="004D5A02">
      <w:pPr>
        <w:spacing w:after="0" w:line="480" w:lineRule="auto"/>
        <w:jc w:val="both"/>
        <w:rPr>
          <w:rFonts w:ascii="Times New Roman" w:eastAsia="Times New Roman" w:hAnsi="Times New Roman" w:cs="Times New Roman"/>
          <w:lang w:eastAsia="en-US"/>
        </w:rPr>
      </w:pPr>
      <w:r w:rsidRPr="00151412">
        <w:rPr>
          <w:rFonts w:ascii="Times New Roman" w:eastAsia="Times New Roman" w:hAnsi="Times New Roman" w:cs="Times New Roman"/>
          <w:b/>
          <w:bCs/>
          <w:color w:val="000000"/>
          <w:lang w:eastAsia="en-US"/>
        </w:rPr>
        <w:t> </w:t>
      </w:r>
      <w:r w:rsidRPr="00636ACF">
        <w:rPr>
          <w:rFonts w:ascii="Times New Roman" w:eastAsia="Times New Roman" w:hAnsi="Times New Roman" w:cs="Times New Roman"/>
          <w:b/>
          <w:bCs/>
          <w:color w:val="000000"/>
          <w:lang w:eastAsia="en-US"/>
        </w:rPr>
        <w:tab/>
      </w:r>
      <w:r w:rsidRPr="00636ACF">
        <w:rPr>
          <w:rFonts w:ascii="Times New Roman" w:eastAsia="Times New Roman" w:hAnsi="Times New Roman" w:cs="Times New Roman"/>
          <w:b/>
          <w:bCs/>
          <w:color w:val="000000"/>
          <w:lang w:eastAsia="en-US"/>
        </w:rPr>
        <w:tab/>
      </w:r>
      <w:r w:rsidRPr="00636ACF">
        <w:rPr>
          <w:rFonts w:ascii="Times New Roman" w:eastAsia="Times New Roman" w:hAnsi="Times New Roman" w:cs="Times New Roman"/>
          <w:b/>
          <w:bCs/>
          <w:color w:val="000000"/>
          <w:lang w:eastAsia="en-US"/>
        </w:rPr>
        <w:tab/>
      </w:r>
      <w:r w:rsidRPr="00636ACF">
        <w:rPr>
          <w:rFonts w:ascii="Times New Roman" w:eastAsia="Times New Roman" w:hAnsi="Times New Roman" w:cs="Times New Roman"/>
          <w:b/>
          <w:bCs/>
          <w:color w:val="000000"/>
          <w:lang w:eastAsia="en-US"/>
        </w:rPr>
        <w:tab/>
      </w:r>
      <w:r w:rsidRPr="00636ACF">
        <w:rPr>
          <w:rFonts w:ascii="Times New Roman" w:eastAsia="Times New Roman" w:hAnsi="Times New Roman" w:cs="Times New Roman"/>
          <w:b/>
          <w:bCs/>
          <w:color w:val="000000"/>
          <w:lang w:eastAsia="en-US"/>
        </w:rPr>
        <w:tab/>
      </w:r>
      <w:r w:rsidRPr="00151412">
        <w:rPr>
          <w:rFonts w:ascii="Times New Roman" w:eastAsia="Times New Roman" w:hAnsi="Times New Roman" w:cs="Times New Roman"/>
          <w:b/>
          <w:bCs/>
          <w:color w:val="000000"/>
          <w:lang w:eastAsia="en-US"/>
        </w:rPr>
        <w:t>Introduction</w:t>
      </w:r>
    </w:p>
    <w:p w14:paraId="7CF71A1A" w14:textId="376134C2" w:rsidR="00151412" w:rsidRPr="00151412" w:rsidRDefault="00151412" w:rsidP="004D5A02">
      <w:pPr>
        <w:spacing w:after="0" w:line="480" w:lineRule="auto"/>
        <w:ind w:firstLine="720"/>
        <w:jc w:val="both"/>
        <w:rPr>
          <w:rFonts w:ascii="Times New Roman" w:eastAsia="Times New Roman" w:hAnsi="Times New Roman" w:cs="Times New Roman"/>
          <w:lang w:eastAsia="en-US"/>
        </w:rPr>
      </w:pPr>
      <w:r w:rsidRPr="00151412">
        <w:rPr>
          <w:rFonts w:ascii="Times New Roman" w:eastAsia="Times New Roman" w:hAnsi="Times New Roman" w:cs="Times New Roman"/>
          <w:color w:val="000000"/>
          <w:lang w:eastAsia="en-US"/>
        </w:rPr>
        <w:t xml:space="preserve">Health information sharing has not always been digital like it is today. Earlier, the method of sharing the information was </w:t>
      </w:r>
      <w:r w:rsidRPr="00636ACF">
        <w:rPr>
          <w:rFonts w:ascii="Times New Roman" w:eastAsia="Times New Roman" w:hAnsi="Times New Roman" w:cs="Times New Roman"/>
          <w:color w:val="000000"/>
          <w:lang w:eastAsia="en-US"/>
        </w:rPr>
        <w:t>paper based</w:t>
      </w:r>
      <w:r w:rsidRPr="00151412">
        <w:rPr>
          <w:rFonts w:ascii="Times New Roman" w:eastAsia="Times New Roman" w:hAnsi="Times New Roman" w:cs="Times New Roman"/>
          <w:color w:val="000000"/>
          <w:lang w:eastAsia="en-US"/>
        </w:rPr>
        <w:t xml:space="preserve">. This paper-based exchanging of information presented a lot of challenges in finding, maintaining and keeping the data in a secure way as this is highly sensitive data (Esmaeilzadeh, 2023). These challenges along with the digital revolution led to the development of Electronic Health Records (EHR). Storing data in a structured format in EHRs simplified data exchange between health care providers. However, the lack of a centralized or universally practiced format still posed some challenges in exchanging information electronically across different organizations. Health Information exchange (HIE) is the sharing of comprehensive patient health information electronically between different providers and Healthcare organizations collected from diverse healthcare </w:t>
      </w:r>
      <w:r w:rsidR="008A5DDC" w:rsidRPr="008A5DDC">
        <w:rPr>
          <w:rFonts w:ascii="Times New Roman" w:eastAsia="Times New Roman" w:hAnsi="Times New Roman" w:cs="Times New Roman"/>
          <w:color w:val="000000"/>
          <w:lang w:eastAsia="en-US"/>
        </w:rPr>
        <w:t xml:space="preserve">facilities </w:t>
      </w:r>
      <w:r w:rsidR="008A5DDC" w:rsidRPr="008A5DDC">
        <w:rPr>
          <w:rFonts w:ascii="Times New Roman" w:hAnsi="Times New Roman" w:cs="Times New Roman"/>
        </w:rPr>
        <w:t>(Esmaeilzadeh</w:t>
      </w:r>
      <w:r w:rsidR="001D1DC8">
        <w:rPr>
          <w:rFonts w:ascii="Times New Roman" w:hAnsi="Times New Roman" w:cs="Times New Roman"/>
        </w:rPr>
        <w:t xml:space="preserve"> et al.</w:t>
      </w:r>
      <w:r w:rsidR="008A5DDC" w:rsidRPr="008A5DDC">
        <w:rPr>
          <w:rFonts w:ascii="Times New Roman" w:hAnsi="Times New Roman" w:cs="Times New Roman"/>
        </w:rPr>
        <w:t>, 2020)</w:t>
      </w:r>
      <w:r w:rsidR="008A5DDC" w:rsidRPr="008A5DDC">
        <w:rPr>
          <w:rFonts w:ascii="Times New Roman" w:eastAsia="Times New Roman" w:hAnsi="Times New Roman" w:cs="Times New Roman"/>
          <w:color w:val="000000"/>
          <w:lang w:eastAsia="en-US"/>
        </w:rPr>
        <w:t>.</w:t>
      </w:r>
      <w:r w:rsidRPr="00151412">
        <w:rPr>
          <w:rFonts w:ascii="Times New Roman" w:eastAsia="Times New Roman" w:hAnsi="Times New Roman" w:cs="Times New Roman"/>
          <w:color w:val="000000"/>
          <w:lang w:eastAsia="en-US"/>
        </w:rPr>
        <w:t> </w:t>
      </w:r>
    </w:p>
    <w:p w14:paraId="2EB15673" w14:textId="21618692" w:rsidR="00151412" w:rsidRPr="00636ACF" w:rsidRDefault="00151412" w:rsidP="00FC41D0">
      <w:pPr>
        <w:spacing w:after="0" w:line="480" w:lineRule="auto"/>
        <w:ind w:firstLine="720"/>
        <w:jc w:val="both"/>
        <w:rPr>
          <w:rFonts w:ascii="Times New Roman" w:eastAsia="Times New Roman" w:hAnsi="Times New Roman" w:cs="Times New Roman"/>
          <w:color w:val="000000"/>
          <w:lang w:eastAsia="en-US"/>
        </w:rPr>
      </w:pPr>
      <w:r w:rsidRPr="00151412">
        <w:rPr>
          <w:rFonts w:ascii="Times New Roman" w:eastAsia="Times New Roman" w:hAnsi="Times New Roman" w:cs="Times New Roman"/>
          <w:color w:val="000000"/>
          <w:lang w:eastAsia="en-US"/>
        </w:rPr>
        <w:t xml:space="preserve">“Interoperability is the ability of different information systems, devices and applications (systems) to access, exchange, integrate and cooperatively use data in a coordinated manner, within and across organizational, regional and national boundaries, to provide timely and seamless </w:t>
      </w:r>
      <w:r w:rsidRPr="00151412">
        <w:rPr>
          <w:rFonts w:ascii="Times New Roman" w:eastAsia="Times New Roman" w:hAnsi="Times New Roman" w:cs="Times New Roman"/>
          <w:color w:val="000000"/>
          <w:lang w:eastAsia="en-US"/>
        </w:rPr>
        <w:lastRenderedPageBreak/>
        <w:t>portability of information and optimize the health of individuals and populations globally” (Healthcare Information and Management Systems Society, 2025). </w:t>
      </w:r>
      <w:r w:rsidR="00575E6C" w:rsidRPr="00636ACF">
        <w:rPr>
          <w:rFonts w:ascii="Times New Roman" w:eastAsia="Times New Roman" w:hAnsi="Times New Roman" w:cs="Times New Roman"/>
          <w:color w:val="000000"/>
          <w:lang w:eastAsia="en-US"/>
        </w:rPr>
        <w:t xml:space="preserve">Bates </w:t>
      </w:r>
      <w:r w:rsidR="008A2A3C">
        <w:rPr>
          <w:rFonts w:ascii="Times New Roman" w:eastAsia="Times New Roman" w:hAnsi="Times New Roman" w:cs="Times New Roman"/>
          <w:color w:val="000000"/>
          <w:lang w:eastAsia="en-US"/>
        </w:rPr>
        <w:t>&amp;</w:t>
      </w:r>
      <w:r w:rsidR="00575E6C" w:rsidRPr="00636ACF">
        <w:rPr>
          <w:rFonts w:ascii="Times New Roman" w:eastAsia="Times New Roman" w:hAnsi="Times New Roman" w:cs="Times New Roman"/>
          <w:color w:val="000000"/>
          <w:lang w:eastAsia="en-US"/>
        </w:rPr>
        <w:t xml:space="preserve"> Samal (2018) notably recognized that HIE exists without true interoperability, interoperability requires the potential to consume shared data and not just exchange information.</w:t>
      </w:r>
    </w:p>
    <w:p w14:paraId="50E377EC" w14:textId="25BFA749" w:rsidR="00985CD4" w:rsidRPr="00636ACF" w:rsidRDefault="00985CD4" w:rsidP="00FC41D0">
      <w:pPr>
        <w:spacing w:after="0" w:line="480" w:lineRule="auto"/>
        <w:ind w:firstLine="720"/>
        <w:jc w:val="both"/>
        <w:rPr>
          <w:rFonts w:ascii="Times New Roman" w:hAnsi="Times New Roman" w:cs="Times New Roman"/>
          <w:color w:val="000000"/>
        </w:rPr>
      </w:pPr>
      <w:r w:rsidRPr="00636ACF">
        <w:rPr>
          <w:rFonts w:ascii="Times New Roman" w:hAnsi="Times New Roman" w:cs="Times New Roman"/>
          <w:color w:val="000000"/>
        </w:rPr>
        <w:t xml:space="preserve">Lack of full interoperability between </w:t>
      </w:r>
      <w:r w:rsidRPr="00636ACF">
        <w:rPr>
          <w:rFonts w:ascii="Times New Roman" w:hAnsi="Times New Roman" w:cs="Times New Roman"/>
          <w:color w:val="000000"/>
        </w:rPr>
        <w:t>healthcare</w:t>
      </w:r>
      <w:r w:rsidRPr="00636ACF">
        <w:rPr>
          <w:rFonts w:ascii="Times New Roman" w:hAnsi="Times New Roman" w:cs="Times New Roman"/>
          <w:color w:val="000000"/>
        </w:rPr>
        <w:t xml:space="preserve"> systems leads to data being trapped and fragmented. The persistence of fragmented health data results in medical errors like adverse drug reactions, increased healthcare costs, lack of receiving timely information, incoordination among providers and delays in diagnosis. This </w:t>
      </w:r>
      <w:r w:rsidRPr="00636ACF">
        <w:rPr>
          <w:rFonts w:ascii="Times New Roman" w:hAnsi="Times New Roman" w:cs="Times New Roman"/>
          <w:color w:val="000000"/>
        </w:rPr>
        <w:t xml:space="preserve">in turn </w:t>
      </w:r>
      <w:r w:rsidRPr="00636ACF">
        <w:rPr>
          <w:rFonts w:ascii="Times New Roman" w:hAnsi="Times New Roman" w:cs="Times New Roman"/>
          <w:color w:val="000000"/>
        </w:rPr>
        <w:t xml:space="preserve">adversely </w:t>
      </w:r>
      <w:r w:rsidRPr="00636ACF">
        <w:rPr>
          <w:rFonts w:ascii="Times New Roman" w:hAnsi="Times New Roman" w:cs="Times New Roman"/>
          <w:color w:val="000000"/>
        </w:rPr>
        <w:t>affects the</w:t>
      </w:r>
      <w:r w:rsidRPr="00636ACF">
        <w:rPr>
          <w:rFonts w:ascii="Times New Roman" w:hAnsi="Times New Roman" w:cs="Times New Roman"/>
          <w:color w:val="000000"/>
        </w:rPr>
        <w:t xml:space="preserve"> patient outcomes.</w:t>
      </w:r>
    </w:p>
    <w:p w14:paraId="669B9B60" w14:textId="12507F83" w:rsidR="0081640E" w:rsidRPr="00ED493F" w:rsidRDefault="00ED493F" w:rsidP="00FC41D0">
      <w:pPr>
        <w:spacing w:after="0" w:line="480" w:lineRule="auto"/>
        <w:ind w:firstLine="720"/>
        <w:jc w:val="both"/>
        <w:rPr>
          <w:rFonts w:ascii="Times New Roman" w:eastAsia="Times New Roman" w:hAnsi="Times New Roman" w:cs="Times New Roman"/>
          <w:b/>
          <w:bCs/>
          <w:color w:val="000000"/>
          <w:lang w:eastAsia="en-US"/>
        </w:rPr>
      </w:pPr>
      <w:r w:rsidRPr="00ED493F">
        <w:rPr>
          <w:rFonts w:ascii="Times New Roman" w:eastAsia="Times New Roman" w:hAnsi="Times New Roman" w:cs="Times New Roman"/>
          <w:color w:val="000000"/>
          <w:lang w:eastAsia="en-US"/>
        </w:rPr>
        <w:t> </w:t>
      </w:r>
      <w:r w:rsidRPr="00636ACF">
        <w:rPr>
          <w:rFonts w:ascii="Times New Roman" w:eastAsia="Times New Roman" w:hAnsi="Times New Roman" w:cs="Times New Roman"/>
          <w:color w:val="000000"/>
          <w:lang w:eastAsia="en-US"/>
        </w:rPr>
        <w:tab/>
      </w:r>
      <w:r w:rsidRPr="00636ACF">
        <w:rPr>
          <w:rFonts w:ascii="Times New Roman" w:eastAsia="Times New Roman" w:hAnsi="Times New Roman" w:cs="Times New Roman"/>
          <w:color w:val="000000"/>
          <w:lang w:eastAsia="en-US"/>
        </w:rPr>
        <w:tab/>
      </w:r>
      <w:r w:rsidR="003F710E" w:rsidRPr="00636ACF">
        <w:rPr>
          <w:rFonts w:ascii="Times New Roman" w:eastAsia="Times New Roman" w:hAnsi="Times New Roman" w:cs="Times New Roman"/>
          <w:color w:val="000000"/>
          <w:lang w:eastAsia="en-US"/>
        </w:rPr>
        <w:tab/>
      </w:r>
      <w:r w:rsidRPr="00ED493F">
        <w:rPr>
          <w:rFonts w:ascii="Times New Roman" w:eastAsia="Times New Roman" w:hAnsi="Times New Roman" w:cs="Times New Roman"/>
          <w:color w:val="000000"/>
          <w:lang w:eastAsia="en-US"/>
        </w:rPr>
        <w:t> </w:t>
      </w:r>
      <w:r w:rsidRPr="00ED493F">
        <w:rPr>
          <w:rFonts w:ascii="Times New Roman" w:eastAsia="Times New Roman" w:hAnsi="Times New Roman" w:cs="Times New Roman"/>
          <w:b/>
          <w:bCs/>
          <w:color w:val="000000"/>
          <w:lang w:eastAsia="en-US"/>
        </w:rPr>
        <w:t>Current Interoperability Adoption</w:t>
      </w:r>
    </w:p>
    <w:p w14:paraId="7CF52CD1" w14:textId="6CD29E70" w:rsidR="00ED493F" w:rsidRPr="00ED493F" w:rsidRDefault="00ED493F" w:rsidP="00FC41D0">
      <w:pPr>
        <w:spacing w:after="0" w:line="480" w:lineRule="auto"/>
        <w:ind w:firstLine="720"/>
        <w:jc w:val="both"/>
        <w:rPr>
          <w:rFonts w:ascii="Times New Roman" w:eastAsia="Times New Roman" w:hAnsi="Times New Roman" w:cs="Times New Roman"/>
          <w:lang w:eastAsia="en-US"/>
        </w:rPr>
      </w:pPr>
      <w:r w:rsidRPr="00ED493F">
        <w:rPr>
          <w:rFonts w:ascii="Times New Roman" w:eastAsia="Times New Roman" w:hAnsi="Times New Roman" w:cs="Times New Roman"/>
          <w:color w:val="000000"/>
          <w:lang w:eastAsia="en-US"/>
        </w:rPr>
        <w:t xml:space="preserve">“The Office of National Coordinator </w:t>
      </w:r>
      <w:r w:rsidR="008A5DDC">
        <w:rPr>
          <w:rFonts w:ascii="Times New Roman" w:eastAsia="Times New Roman" w:hAnsi="Times New Roman" w:cs="Times New Roman"/>
          <w:color w:val="000000"/>
          <w:lang w:eastAsia="en-US"/>
        </w:rPr>
        <w:t xml:space="preserve">(ONC) </w:t>
      </w:r>
      <w:r w:rsidRPr="00ED493F">
        <w:rPr>
          <w:rFonts w:ascii="Times New Roman" w:eastAsia="Times New Roman" w:hAnsi="Times New Roman" w:cs="Times New Roman"/>
          <w:color w:val="000000"/>
          <w:lang w:eastAsia="en-US"/>
        </w:rPr>
        <w:t xml:space="preserve">at Health IT since 2014, started tracking the four widely recognized domains of interoperable exchange: Send, Receive, Find and Integrate” </w:t>
      </w:r>
      <w:r w:rsidRPr="00ED493F">
        <w:rPr>
          <w:rFonts w:ascii="Times New Roman" w:eastAsia="Times New Roman" w:hAnsi="Times New Roman" w:cs="Times New Roman"/>
          <w:color w:val="333333"/>
          <w:lang w:eastAsia="en-US"/>
        </w:rPr>
        <w:t>(Gabriel et al., 2024)</w:t>
      </w:r>
      <w:r w:rsidRPr="00ED493F">
        <w:rPr>
          <w:rFonts w:ascii="Times New Roman" w:eastAsia="Times New Roman" w:hAnsi="Times New Roman" w:cs="Times New Roman"/>
          <w:color w:val="000000"/>
          <w:lang w:eastAsia="en-US"/>
        </w:rPr>
        <w:t>.</w:t>
      </w:r>
    </w:p>
    <w:p w14:paraId="64C543A3" w14:textId="77777777" w:rsidR="00ED493F" w:rsidRPr="00ED493F" w:rsidRDefault="00ED493F" w:rsidP="003F710E">
      <w:pPr>
        <w:spacing w:after="0" w:line="480" w:lineRule="auto"/>
        <w:jc w:val="both"/>
        <w:rPr>
          <w:rFonts w:ascii="Times New Roman" w:eastAsia="Times New Roman" w:hAnsi="Times New Roman" w:cs="Times New Roman"/>
          <w:lang w:eastAsia="en-US"/>
        </w:rPr>
      </w:pPr>
      <w:r w:rsidRPr="00ED493F">
        <w:rPr>
          <w:rFonts w:ascii="Times New Roman" w:eastAsia="Times New Roman" w:hAnsi="Times New Roman" w:cs="Times New Roman"/>
          <w:b/>
          <w:bCs/>
          <w:color w:val="333333"/>
          <w:lang w:eastAsia="en-US"/>
        </w:rPr>
        <w:t>Figure 1</w:t>
      </w:r>
    </w:p>
    <w:p w14:paraId="5887FA20" w14:textId="7EC0ABD6" w:rsidR="00ED493F" w:rsidRPr="00151412" w:rsidRDefault="00ED493F" w:rsidP="004B31C6">
      <w:pPr>
        <w:spacing w:after="0" w:line="480" w:lineRule="auto"/>
        <w:jc w:val="both"/>
        <w:rPr>
          <w:rFonts w:ascii="Times New Roman" w:eastAsia="Times New Roman" w:hAnsi="Times New Roman" w:cs="Times New Roman"/>
          <w:lang w:eastAsia="en-US"/>
        </w:rPr>
      </w:pPr>
      <w:r w:rsidRPr="00636ACF">
        <w:rPr>
          <w:rFonts w:ascii="Times New Roman" w:eastAsia="Times New Roman" w:hAnsi="Times New Roman" w:cs="Times New Roman"/>
          <w:i/>
          <w:iCs/>
          <w:color w:val="333333"/>
          <w:lang w:eastAsia="en-US"/>
        </w:rPr>
        <w:t>Illustration of four domains of Interoperable Exchange</w:t>
      </w:r>
      <w:r w:rsidRPr="00636ACF">
        <w:rPr>
          <w:rFonts w:ascii="Times New Roman" w:eastAsia="Times New Roman" w:hAnsi="Times New Roman" w:cs="Times New Roman"/>
          <w:i/>
          <w:iCs/>
          <w:color w:val="333333"/>
          <w:lang w:eastAsia="en-US"/>
        </w:rPr>
        <w:tab/>
      </w:r>
    </w:p>
    <w:p w14:paraId="644E4F1E" w14:textId="22222C55" w:rsidR="00151412" w:rsidRPr="00151412" w:rsidRDefault="00B64C50" w:rsidP="00151412">
      <w:pPr>
        <w:spacing w:after="0" w:line="240" w:lineRule="auto"/>
        <w:rPr>
          <w:rFonts w:ascii="Times New Roman" w:eastAsia="Times New Roman" w:hAnsi="Times New Roman" w:cs="Times New Roman"/>
          <w:lang w:eastAsia="en-US"/>
        </w:rPr>
      </w:pPr>
      <w:r w:rsidRPr="00636ACF">
        <w:rPr>
          <w:rFonts w:ascii="Times New Roman" w:hAnsi="Times New Roman" w:cs="Times New Roman"/>
          <w:noProof/>
          <w:color w:val="000000"/>
          <w:bdr w:val="none" w:sz="0" w:space="0" w:color="auto" w:frame="1"/>
        </w:rPr>
        <w:drawing>
          <wp:anchor distT="0" distB="0" distL="114300" distR="114300" simplePos="0" relativeHeight="251658240" behindDoc="0" locked="0" layoutInCell="1" allowOverlap="1" wp14:anchorId="1E5B9902" wp14:editId="62572177">
            <wp:simplePos x="0" y="0"/>
            <wp:positionH relativeFrom="column">
              <wp:posOffset>978348</wp:posOffset>
            </wp:positionH>
            <wp:positionV relativeFrom="paragraph">
              <wp:posOffset>175260</wp:posOffset>
            </wp:positionV>
            <wp:extent cx="3870549" cy="2388197"/>
            <wp:effectExtent l="0" t="0" r="3175" b="0"/>
            <wp:wrapSquare wrapText="bothSides"/>
            <wp:docPr id="33714083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0836" name="Picture 1" descr="A graph of different colored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0549" cy="2388197"/>
                    </a:xfrm>
                    <a:prstGeom prst="rect">
                      <a:avLst/>
                    </a:prstGeom>
                    <a:noFill/>
                    <a:ln>
                      <a:noFill/>
                    </a:ln>
                  </pic:spPr>
                </pic:pic>
              </a:graphicData>
            </a:graphic>
          </wp:anchor>
        </w:drawing>
      </w:r>
    </w:p>
    <w:p w14:paraId="714D03F1" w14:textId="77777777" w:rsidR="004B31C6" w:rsidRPr="00636ACF" w:rsidRDefault="004B31C6" w:rsidP="004B31C6">
      <w:pPr>
        <w:spacing w:line="480" w:lineRule="auto"/>
        <w:ind w:left="720" w:firstLine="720"/>
        <w:rPr>
          <w:rFonts w:ascii="Times New Roman" w:hAnsi="Times New Roman" w:cs="Times New Roman"/>
        </w:rPr>
      </w:pPr>
    </w:p>
    <w:p w14:paraId="30FDEA9B" w14:textId="749B7846" w:rsidR="4AB11FD0" w:rsidRPr="00636ACF" w:rsidRDefault="4AB11FD0" w:rsidP="573414A0">
      <w:pPr>
        <w:pStyle w:val="ListParagraph"/>
        <w:ind w:left="1440" w:hanging="720"/>
        <w:rPr>
          <w:rFonts w:ascii="Times New Roman" w:eastAsia="Times New Roman" w:hAnsi="Times New Roman" w:cs="Times New Roman"/>
        </w:rPr>
      </w:pPr>
      <w:r w:rsidRPr="00636ACF">
        <w:rPr>
          <w:rFonts w:ascii="Times New Roman" w:hAnsi="Times New Roman" w:cs="Times New Roman"/>
        </w:rPr>
        <w:t xml:space="preserve">    </w:t>
      </w:r>
    </w:p>
    <w:p w14:paraId="4B7030CC" w14:textId="51704E21" w:rsidR="01DC99FD" w:rsidRPr="00636ACF" w:rsidRDefault="01DC99FD" w:rsidP="01DC99FD">
      <w:pPr>
        <w:spacing w:line="480" w:lineRule="auto"/>
        <w:rPr>
          <w:rFonts w:ascii="Times New Roman" w:eastAsia="Times New Roman" w:hAnsi="Times New Roman" w:cs="Times New Roman"/>
        </w:rPr>
      </w:pPr>
    </w:p>
    <w:p w14:paraId="6C37974E" w14:textId="2F103F4D" w:rsidR="01DC99FD" w:rsidRPr="00636ACF" w:rsidRDefault="01DC99FD" w:rsidP="01DC99FD">
      <w:pPr>
        <w:spacing w:line="480" w:lineRule="auto"/>
        <w:rPr>
          <w:rFonts w:ascii="Times New Roman" w:eastAsia="Times New Roman" w:hAnsi="Times New Roman" w:cs="Times New Roman"/>
        </w:rPr>
      </w:pPr>
    </w:p>
    <w:p w14:paraId="2546BB31" w14:textId="07017488" w:rsidR="01DC99FD" w:rsidRPr="00636ACF" w:rsidRDefault="01DC99FD" w:rsidP="01DC99FD">
      <w:pPr>
        <w:spacing w:line="480" w:lineRule="auto"/>
        <w:jc w:val="center"/>
        <w:rPr>
          <w:rFonts w:ascii="Times New Roman" w:eastAsia="Times New Roman" w:hAnsi="Times New Roman" w:cs="Times New Roman"/>
        </w:rPr>
      </w:pPr>
    </w:p>
    <w:p w14:paraId="14843889" w14:textId="1EF52383" w:rsidR="01DC99FD" w:rsidRPr="00636ACF" w:rsidRDefault="00024E5C" w:rsidP="01DC99FD">
      <w:pPr>
        <w:spacing w:line="480" w:lineRule="auto"/>
        <w:jc w:val="center"/>
        <w:rPr>
          <w:rFonts w:ascii="Times New Roman" w:eastAsia="Times New Roman" w:hAnsi="Times New Roman" w:cs="Times New Roman"/>
        </w:rPr>
      </w:pPr>
      <w:r w:rsidRPr="00636ACF">
        <w:rPr>
          <w:rFonts w:ascii="Times New Roman" w:eastAsia="Times New Roman" w:hAnsi="Times New Roman" w:cs="Times New Roman"/>
        </w:rPr>
        <w:t xml:space="preserve">             </w:t>
      </w:r>
    </w:p>
    <w:p w14:paraId="1293BD61" w14:textId="10FDFBBC" w:rsidR="002F6F8C" w:rsidRPr="00444F80" w:rsidRDefault="004F500E" w:rsidP="00444F80">
      <w:pPr>
        <w:pStyle w:val="NormalWeb"/>
        <w:spacing w:before="0" w:beforeAutospacing="0" w:after="0" w:afterAutospacing="0" w:line="480" w:lineRule="auto"/>
      </w:pPr>
      <w:r w:rsidRPr="00636ACF">
        <w:rPr>
          <w:i/>
          <w:iCs/>
        </w:rPr>
        <w:lastRenderedPageBreak/>
        <w:t>Note:</w:t>
      </w:r>
      <w:r w:rsidR="002F6F8C" w:rsidRPr="00636ACF">
        <w:rPr>
          <w:color w:val="000000"/>
        </w:rPr>
        <w:t xml:space="preserve"> </w:t>
      </w:r>
      <w:r w:rsidR="002F6F8C" w:rsidRPr="00636ACF">
        <w:rPr>
          <w:color w:val="000000"/>
        </w:rPr>
        <w:t xml:space="preserve">This graph represents the percentage of hospitals meeting the four domains </w:t>
      </w:r>
      <w:r w:rsidR="008A5DDC">
        <w:rPr>
          <w:color w:val="000000"/>
        </w:rPr>
        <w:t xml:space="preserve">mentioned by ONC </w:t>
      </w:r>
      <w:r w:rsidR="002F6F8C" w:rsidRPr="00636ACF">
        <w:rPr>
          <w:color w:val="000000"/>
        </w:rPr>
        <w:t>from 2018 to 2023</w:t>
      </w:r>
      <w:r w:rsidR="002F6F8C" w:rsidRPr="00636ACF">
        <w:rPr>
          <w:color w:val="000000"/>
        </w:rPr>
        <w:t>.</w:t>
      </w:r>
      <w:r w:rsidR="00084548">
        <w:rPr>
          <w:color w:val="000000"/>
        </w:rPr>
        <w:t xml:space="preserve"> </w:t>
      </w:r>
      <w:r w:rsidR="00084548" w:rsidRPr="00084548">
        <w:rPr>
          <w:color w:val="000000"/>
        </w:rPr>
        <w:t xml:space="preserve">Taken from </w:t>
      </w:r>
      <w:r w:rsidR="008A5DDC">
        <w:rPr>
          <w:color w:val="000000"/>
        </w:rPr>
        <w:t>“Interoperable Exchange of Patient Health Information Among U.S. Hospitals: 2023” (ONC, 2024)</w:t>
      </w:r>
    </w:p>
    <w:p w14:paraId="79A7312B" w14:textId="21C9527D" w:rsidR="002F6F8C" w:rsidRPr="00636ACF" w:rsidRDefault="002F6F8C" w:rsidP="004D5A02">
      <w:pPr>
        <w:spacing w:after="0" w:line="480" w:lineRule="auto"/>
        <w:jc w:val="both"/>
        <w:rPr>
          <w:rFonts w:ascii="Times New Roman" w:eastAsia="Times New Roman" w:hAnsi="Times New Roman" w:cs="Times New Roman"/>
          <w:color w:val="333333"/>
          <w:lang w:eastAsia="en-US"/>
        </w:rPr>
      </w:pPr>
      <w:r w:rsidRPr="002F6F8C">
        <w:rPr>
          <w:rFonts w:ascii="Times New Roman" w:eastAsia="Times New Roman" w:hAnsi="Times New Roman" w:cs="Times New Roman"/>
          <w:color w:val="000000"/>
          <w:lang w:eastAsia="en-US"/>
        </w:rPr>
        <w:t> </w:t>
      </w:r>
      <w:r w:rsidRPr="00636ACF">
        <w:rPr>
          <w:rFonts w:ascii="Times New Roman" w:eastAsia="Times New Roman" w:hAnsi="Times New Roman" w:cs="Times New Roman"/>
          <w:color w:val="000000"/>
          <w:lang w:eastAsia="en-US"/>
        </w:rPr>
        <w:tab/>
      </w:r>
      <w:r w:rsidRPr="002F6F8C">
        <w:rPr>
          <w:rFonts w:ascii="Times New Roman" w:eastAsia="Times New Roman" w:hAnsi="Times New Roman" w:cs="Times New Roman"/>
          <w:color w:val="000000"/>
          <w:lang w:eastAsia="en-US"/>
        </w:rPr>
        <w:t xml:space="preserve">Hospitals are classified to be routinely </w:t>
      </w:r>
      <w:r w:rsidRPr="002F6F8C">
        <w:rPr>
          <w:rFonts w:ascii="Times New Roman" w:eastAsia="Times New Roman" w:hAnsi="Times New Roman" w:cs="Times New Roman"/>
          <w:color w:val="333333"/>
          <w:lang w:eastAsia="en-US"/>
        </w:rPr>
        <w:t xml:space="preserve">engaged if they often meet these four domains and are classified as sometimes interoperable when they only sometimes engage in the four domains. </w:t>
      </w:r>
      <w:r w:rsidRPr="002F6F8C">
        <w:rPr>
          <w:rFonts w:ascii="Times New Roman" w:eastAsia="Times New Roman" w:hAnsi="Times New Roman" w:cs="Times New Roman"/>
          <w:color w:val="000000"/>
          <w:lang w:eastAsia="en-US"/>
        </w:rPr>
        <w:t>Though the adoption of EHRs has significantly increased in the United States (96%), interoperability is only at 70% in 2023. Of this 70%, “</w:t>
      </w:r>
      <w:r w:rsidRPr="002F6F8C">
        <w:rPr>
          <w:rFonts w:ascii="Times New Roman" w:eastAsia="Times New Roman" w:hAnsi="Times New Roman" w:cs="Times New Roman"/>
          <w:color w:val="333333"/>
          <w:lang w:eastAsia="en-US"/>
        </w:rPr>
        <w:t xml:space="preserve">less than half of hospitals (43%) routinely engaged in interoperable exchange, while 27% sometimes engaged in interoperable </w:t>
      </w:r>
      <w:r w:rsidRPr="00636ACF">
        <w:rPr>
          <w:rFonts w:ascii="Times New Roman" w:eastAsia="Times New Roman" w:hAnsi="Times New Roman" w:cs="Times New Roman"/>
          <w:color w:val="333333"/>
          <w:lang w:eastAsia="en-US"/>
        </w:rPr>
        <w:t>exchange” (</w:t>
      </w:r>
      <w:r w:rsidRPr="002F6F8C">
        <w:rPr>
          <w:rFonts w:ascii="Times New Roman" w:eastAsia="Times New Roman" w:hAnsi="Times New Roman" w:cs="Times New Roman"/>
          <w:color w:val="333333"/>
          <w:lang w:eastAsia="en-US"/>
        </w:rPr>
        <w:t>Gabriel et al., 2024).</w:t>
      </w:r>
    </w:p>
    <w:p w14:paraId="6A3A695C" w14:textId="77777777" w:rsidR="002D0328" w:rsidRPr="002F6F8C" w:rsidRDefault="002D0328" w:rsidP="00FC41D0">
      <w:pPr>
        <w:spacing w:after="0" w:line="480" w:lineRule="auto"/>
        <w:jc w:val="both"/>
        <w:rPr>
          <w:rFonts w:ascii="Times New Roman" w:eastAsia="Times New Roman" w:hAnsi="Times New Roman" w:cs="Times New Roman"/>
          <w:lang w:eastAsia="en-US"/>
        </w:rPr>
      </w:pPr>
    </w:p>
    <w:p w14:paraId="1E163E27" w14:textId="77777777" w:rsidR="002F6F8C" w:rsidRPr="002F6F8C" w:rsidRDefault="002F6F8C" w:rsidP="00FC41D0">
      <w:pPr>
        <w:spacing w:after="0" w:line="480" w:lineRule="auto"/>
        <w:jc w:val="both"/>
        <w:rPr>
          <w:rFonts w:ascii="Times New Roman" w:eastAsia="Times New Roman" w:hAnsi="Times New Roman" w:cs="Times New Roman"/>
          <w:lang w:eastAsia="en-US"/>
        </w:rPr>
      </w:pPr>
      <w:r w:rsidRPr="002F6F8C">
        <w:rPr>
          <w:rFonts w:ascii="Times New Roman" w:eastAsia="Times New Roman" w:hAnsi="Times New Roman" w:cs="Times New Roman"/>
          <w:b/>
          <w:bCs/>
          <w:color w:val="333333"/>
          <w:lang w:eastAsia="en-US"/>
        </w:rPr>
        <w:t>Figure 2</w:t>
      </w:r>
    </w:p>
    <w:p w14:paraId="565B177D" w14:textId="0BE04B82" w:rsidR="002F6F8C" w:rsidRPr="00636ACF" w:rsidRDefault="002F6F8C" w:rsidP="00FC41D0">
      <w:pPr>
        <w:spacing w:after="0" w:line="480" w:lineRule="auto"/>
        <w:jc w:val="both"/>
        <w:rPr>
          <w:rFonts w:ascii="Times New Roman" w:eastAsia="Times New Roman" w:hAnsi="Times New Roman" w:cs="Times New Roman"/>
          <w:i/>
          <w:iCs/>
          <w:color w:val="333333"/>
          <w:lang w:eastAsia="en-US"/>
        </w:rPr>
      </w:pPr>
      <w:r w:rsidRPr="002F6F8C">
        <w:rPr>
          <w:rFonts w:ascii="Times New Roman" w:eastAsia="Times New Roman" w:hAnsi="Times New Roman" w:cs="Times New Roman"/>
          <w:i/>
          <w:iCs/>
          <w:color w:val="333333"/>
          <w:lang w:eastAsia="en-US"/>
        </w:rPr>
        <w:t xml:space="preserve">Illustration of the percentage of frequency of Non-federal Acute Care Hospitals engaging in Interoperable </w:t>
      </w:r>
      <w:r w:rsidRPr="00636ACF">
        <w:rPr>
          <w:rFonts w:ascii="Times New Roman" w:eastAsia="Times New Roman" w:hAnsi="Times New Roman" w:cs="Times New Roman"/>
          <w:i/>
          <w:iCs/>
          <w:color w:val="333333"/>
          <w:lang w:eastAsia="en-US"/>
        </w:rPr>
        <w:t>Exchange.</w:t>
      </w:r>
      <w:r w:rsidRPr="002F6F8C">
        <w:rPr>
          <w:rFonts w:ascii="Times New Roman" w:eastAsia="Times New Roman" w:hAnsi="Times New Roman" w:cs="Times New Roman"/>
          <w:i/>
          <w:iCs/>
          <w:color w:val="333333"/>
          <w:lang w:eastAsia="en-US"/>
        </w:rPr>
        <w:t> </w:t>
      </w:r>
    </w:p>
    <w:p w14:paraId="5BFC9872" w14:textId="3E3AF1FA" w:rsidR="00813CA4" w:rsidRPr="00636ACF" w:rsidRDefault="00813CA4" w:rsidP="00FC41D0">
      <w:pPr>
        <w:spacing w:after="0" w:line="480" w:lineRule="auto"/>
        <w:jc w:val="both"/>
        <w:rPr>
          <w:rFonts w:ascii="Times New Roman" w:hAnsi="Times New Roman" w:cs="Times New Roman"/>
          <w:noProof/>
          <w:color w:val="333333"/>
          <w:bdr w:val="none" w:sz="0" w:space="0" w:color="auto" w:frame="1"/>
        </w:rPr>
      </w:pPr>
      <w:r w:rsidRPr="00636ACF">
        <w:rPr>
          <w:rFonts w:ascii="Times New Roman" w:hAnsi="Times New Roman" w:cs="Times New Roman"/>
          <w:noProof/>
          <w:color w:val="333333"/>
          <w:bdr w:val="none" w:sz="0" w:space="0" w:color="auto" w:frame="1"/>
        </w:rPr>
        <w:t xml:space="preserve">      </w:t>
      </w:r>
      <w:r w:rsidRPr="00636ACF">
        <w:rPr>
          <w:rFonts w:ascii="Times New Roman" w:hAnsi="Times New Roman" w:cs="Times New Roman"/>
          <w:noProof/>
          <w:color w:val="333333"/>
          <w:bdr w:val="none" w:sz="0" w:space="0" w:color="auto" w:frame="1"/>
        </w:rPr>
        <w:tab/>
      </w:r>
      <w:r w:rsidRPr="00636ACF">
        <w:rPr>
          <w:rFonts w:ascii="Times New Roman" w:hAnsi="Times New Roman" w:cs="Times New Roman"/>
          <w:noProof/>
          <w:color w:val="333333"/>
          <w:bdr w:val="none" w:sz="0" w:space="0" w:color="auto" w:frame="1"/>
        </w:rPr>
        <w:tab/>
      </w:r>
      <w:r w:rsidRPr="00636ACF">
        <w:rPr>
          <w:rFonts w:ascii="Times New Roman" w:hAnsi="Times New Roman" w:cs="Times New Roman"/>
          <w:noProof/>
          <w:color w:val="333333"/>
          <w:bdr w:val="none" w:sz="0" w:space="0" w:color="auto" w:frame="1"/>
        </w:rPr>
        <w:drawing>
          <wp:inline distT="0" distB="0" distL="0" distR="0" wp14:anchorId="61980E6B" wp14:editId="7661CD79">
            <wp:extent cx="4485939" cy="2828171"/>
            <wp:effectExtent l="0" t="0" r="0" b="4445"/>
            <wp:docPr id="1795277962"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77962" name="Picture 2" descr="A graph of a number of peop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9348" cy="2836625"/>
                    </a:xfrm>
                    <a:prstGeom prst="rect">
                      <a:avLst/>
                    </a:prstGeom>
                    <a:noFill/>
                    <a:ln>
                      <a:noFill/>
                    </a:ln>
                  </pic:spPr>
                </pic:pic>
              </a:graphicData>
            </a:graphic>
          </wp:inline>
        </w:drawing>
      </w:r>
    </w:p>
    <w:p w14:paraId="62D35012" w14:textId="0C099315" w:rsidR="00444F80" w:rsidRPr="008A5DDC" w:rsidRDefault="0081640E" w:rsidP="00084548">
      <w:pPr>
        <w:pStyle w:val="NormalWeb"/>
        <w:spacing w:before="0" w:beforeAutospacing="0" w:after="0" w:afterAutospacing="0" w:line="480" w:lineRule="auto"/>
      </w:pPr>
      <w:r w:rsidRPr="00636ACF">
        <w:rPr>
          <w:i/>
          <w:iCs/>
          <w:noProof/>
          <w:color w:val="333333"/>
          <w:bdr w:val="none" w:sz="0" w:space="0" w:color="auto" w:frame="1"/>
        </w:rPr>
        <w:lastRenderedPageBreak/>
        <w:t>Note:</w:t>
      </w:r>
      <w:r w:rsidR="001269FF" w:rsidRPr="00636ACF">
        <w:rPr>
          <w:color w:val="333333"/>
        </w:rPr>
        <w:t xml:space="preserve"> </w:t>
      </w:r>
      <w:r w:rsidR="001269FF" w:rsidRPr="00636ACF">
        <w:rPr>
          <w:color w:val="333333"/>
        </w:rPr>
        <w:t>This graph represents the Percentage of frequency of Routine and Sometimes interoperable exchange from 2018 to 2023.</w:t>
      </w:r>
      <w:r w:rsidR="00084548">
        <w:rPr>
          <w:color w:val="333333"/>
        </w:rPr>
        <w:t xml:space="preserve"> </w:t>
      </w:r>
      <w:r w:rsidR="008A5DDC" w:rsidRPr="00084548">
        <w:rPr>
          <w:color w:val="000000"/>
        </w:rPr>
        <w:t xml:space="preserve">Taken from </w:t>
      </w:r>
      <w:r w:rsidR="0057379F">
        <w:rPr>
          <w:color w:val="000000"/>
        </w:rPr>
        <w:t>“</w:t>
      </w:r>
      <w:r w:rsidR="008A5DDC">
        <w:rPr>
          <w:color w:val="000000"/>
        </w:rPr>
        <w:t>Interoperable Exchange of Patient Health Information Among U.S. Hospitals: 2023” (ONC, 2024)</w:t>
      </w:r>
    </w:p>
    <w:p w14:paraId="2C213282" w14:textId="382AF3AF" w:rsidR="001269FF" w:rsidRPr="00084548" w:rsidRDefault="001269FF" w:rsidP="00084548">
      <w:pPr>
        <w:pStyle w:val="NormalWeb"/>
        <w:spacing w:before="0" w:beforeAutospacing="0" w:after="0" w:afterAutospacing="0" w:line="480" w:lineRule="auto"/>
      </w:pPr>
      <w:r w:rsidRPr="001269FF">
        <w:rPr>
          <w:b/>
          <w:bCs/>
          <w:color w:val="333333"/>
        </w:rPr>
        <w:t xml:space="preserve">    </w:t>
      </w:r>
    </w:p>
    <w:p w14:paraId="48BC7F0F" w14:textId="5C4EB510" w:rsidR="001269FF" w:rsidRPr="001269FF" w:rsidRDefault="001269FF" w:rsidP="00D605EB">
      <w:pPr>
        <w:spacing w:after="0" w:line="480" w:lineRule="auto"/>
        <w:ind w:left="1440" w:firstLine="720"/>
        <w:jc w:val="both"/>
        <w:rPr>
          <w:rFonts w:ascii="Times New Roman" w:eastAsia="Times New Roman" w:hAnsi="Times New Roman" w:cs="Times New Roman"/>
          <w:lang w:eastAsia="en-US"/>
        </w:rPr>
      </w:pPr>
      <w:r w:rsidRPr="001269FF">
        <w:rPr>
          <w:rFonts w:ascii="Times New Roman" w:eastAsia="Times New Roman" w:hAnsi="Times New Roman" w:cs="Times New Roman"/>
          <w:b/>
          <w:bCs/>
          <w:color w:val="333333"/>
          <w:lang w:eastAsia="en-US"/>
        </w:rPr>
        <w:t xml:space="preserve">  </w:t>
      </w:r>
      <w:r w:rsidR="00D605EB">
        <w:rPr>
          <w:rFonts w:ascii="Times New Roman" w:eastAsia="Times New Roman" w:hAnsi="Times New Roman" w:cs="Times New Roman"/>
          <w:b/>
          <w:bCs/>
          <w:color w:val="333333"/>
          <w:lang w:eastAsia="en-US"/>
        </w:rPr>
        <w:t xml:space="preserve">  </w:t>
      </w:r>
      <w:r w:rsidRPr="001269FF">
        <w:rPr>
          <w:rFonts w:ascii="Times New Roman" w:eastAsia="Times New Roman" w:hAnsi="Times New Roman" w:cs="Times New Roman"/>
          <w:b/>
          <w:bCs/>
          <w:color w:val="333333"/>
          <w:lang w:eastAsia="en-US"/>
        </w:rPr>
        <w:t>Evolution of Health Information Exchange </w:t>
      </w:r>
    </w:p>
    <w:p w14:paraId="4652C5A7" w14:textId="39E632D3" w:rsidR="002D0328" w:rsidRPr="00636ACF" w:rsidRDefault="001269FF" w:rsidP="00D605EB">
      <w:pPr>
        <w:pStyle w:val="NormalWeb"/>
        <w:spacing w:before="0" w:beforeAutospacing="0" w:after="0" w:afterAutospacing="0" w:line="480" w:lineRule="auto"/>
        <w:ind w:firstLine="720"/>
        <w:jc w:val="both"/>
        <w:rPr>
          <w:color w:val="333333"/>
        </w:rPr>
      </w:pPr>
      <w:r w:rsidRPr="001269FF">
        <w:rPr>
          <w:color w:val="333333"/>
        </w:rPr>
        <w:t xml:space="preserve">Health information Exchange has evolved significantly over time to </w:t>
      </w:r>
      <w:r w:rsidR="001B54DE">
        <w:rPr>
          <w:color w:val="333333"/>
        </w:rPr>
        <w:t xml:space="preserve">achieve smoother flow </w:t>
      </w:r>
      <w:r w:rsidRPr="001269FF">
        <w:rPr>
          <w:color w:val="333333"/>
        </w:rPr>
        <w:t xml:space="preserve">of electronic information </w:t>
      </w:r>
      <w:r w:rsidRPr="00636ACF">
        <w:rPr>
          <w:color w:val="333333"/>
        </w:rPr>
        <w:t>between</w:t>
      </w:r>
      <w:r w:rsidR="001B54DE">
        <w:rPr>
          <w:color w:val="333333"/>
        </w:rPr>
        <w:t xml:space="preserve"> different systems</w:t>
      </w:r>
      <w:r w:rsidRPr="00636ACF">
        <w:rPr>
          <w:color w:val="333333"/>
        </w:rPr>
        <w:t>.</w:t>
      </w:r>
      <w:r w:rsidRPr="001269FF">
        <w:rPr>
          <w:color w:val="333333"/>
        </w:rPr>
        <w:t xml:space="preserve"> It started with Paper-based sharing, rise of EHRs, Community Health Information Exchanges, Regional Health information Organizations (RHIOs), </w:t>
      </w:r>
      <w:r w:rsidRPr="00636ACF">
        <w:rPr>
          <w:color w:val="333333"/>
        </w:rPr>
        <w:t>Statewide</w:t>
      </w:r>
      <w:r w:rsidRPr="001269FF">
        <w:rPr>
          <w:color w:val="333333"/>
        </w:rPr>
        <w:t xml:space="preserve"> Health Information Exchanges and National Health Information network (NHIN). The regional and </w:t>
      </w:r>
      <w:r w:rsidRPr="00636ACF">
        <w:rPr>
          <w:color w:val="333333"/>
        </w:rPr>
        <w:t>statewide</w:t>
      </w:r>
      <w:r w:rsidRPr="001269FF">
        <w:rPr>
          <w:color w:val="333333"/>
        </w:rPr>
        <w:t xml:space="preserve"> health information exchanges focus on intra region and </w:t>
      </w:r>
      <w:r w:rsidR="002D0328" w:rsidRPr="00636ACF">
        <w:rPr>
          <w:color w:val="333333"/>
        </w:rPr>
        <w:t>intra state information exchange and “its success has inspired the US government to come up with an interoperable nationwide health information network (NHIN)” (Dixon et al., 2010). </w:t>
      </w:r>
    </w:p>
    <w:p w14:paraId="3DB56C9F" w14:textId="77777777" w:rsidR="002D0328" w:rsidRPr="00636ACF" w:rsidRDefault="002D0328" w:rsidP="00FC41D0">
      <w:pPr>
        <w:pStyle w:val="NormalWeb"/>
        <w:spacing w:before="0" w:beforeAutospacing="0" w:after="0" w:afterAutospacing="0" w:line="480" w:lineRule="auto"/>
        <w:ind w:firstLine="720"/>
        <w:jc w:val="both"/>
      </w:pPr>
    </w:p>
    <w:p w14:paraId="70756E95" w14:textId="77777777" w:rsidR="002D0328" w:rsidRPr="002D0328" w:rsidRDefault="002D0328" w:rsidP="00D605EB">
      <w:pPr>
        <w:spacing w:after="0" w:line="480" w:lineRule="auto"/>
        <w:ind w:firstLine="720"/>
        <w:jc w:val="both"/>
        <w:rPr>
          <w:rFonts w:ascii="Times New Roman" w:eastAsia="Times New Roman" w:hAnsi="Times New Roman" w:cs="Times New Roman"/>
          <w:lang w:eastAsia="en-US"/>
        </w:rPr>
      </w:pPr>
      <w:r w:rsidRPr="002D0328">
        <w:rPr>
          <w:rFonts w:ascii="Times New Roman" w:eastAsia="Times New Roman" w:hAnsi="Times New Roman" w:cs="Times New Roman"/>
          <w:color w:val="333333"/>
          <w:lang w:eastAsia="en-US"/>
        </w:rPr>
        <w:t> </w:t>
      </w:r>
      <w:r w:rsidRPr="002D0328">
        <w:rPr>
          <w:rFonts w:ascii="Times New Roman" w:eastAsia="Times New Roman" w:hAnsi="Times New Roman" w:cs="Times New Roman"/>
          <w:color w:val="333333"/>
          <w:lang w:eastAsia="en-US"/>
        </w:rPr>
        <w:tab/>
        <w:t xml:space="preserve">     </w:t>
      </w:r>
      <w:r w:rsidRPr="002D0328">
        <w:rPr>
          <w:rFonts w:ascii="Times New Roman" w:eastAsia="Times New Roman" w:hAnsi="Times New Roman" w:cs="Times New Roman"/>
          <w:b/>
          <w:bCs/>
          <w:color w:val="333333"/>
          <w:lang w:eastAsia="en-US"/>
        </w:rPr>
        <w:t>   Critical Components of Health Information Exchange </w:t>
      </w:r>
    </w:p>
    <w:p w14:paraId="64203EF1" w14:textId="24D88F91" w:rsidR="002D0328" w:rsidRPr="002D0328" w:rsidRDefault="002D0328" w:rsidP="00D605EB">
      <w:pPr>
        <w:spacing w:after="0" w:line="480" w:lineRule="auto"/>
        <w:ind w:firstLine="720"/>
        <w:jc w:val="both"/>
        <w:rPr>
          <w:rFonts w:ascii="Times New Roman" w:eastAsia="Times New Roman" w:hAnsi="Times New Roman" w:cs="Times New Roman"/>
          <w:lang w:eastAsia="en-US"/>
        </w:rPr>
      </w:pPr>
      <w:r w:rsidRPr="002D0328">
        <w:rPr>
          <w:rFonts w:ascii="Times New Roman" w:eastAsia="Times New Roman" w:hAnsi="Times New Roman" w:cs="Times New Roman"/>
          <w:color w:val="333333"/>
          <w:lang w:eastAsia="en-US"/>
        </w:rPr>
        <w:t xml:space="preserve">For HIE to operate efficiently, the key components include “Health information systems, interoperability standards and Health Information Exchange platform” (Bria, 2025). Different healthcare organizations use different health information systems that better suit their needs. For example, a hospital stores patient data in EHRs, a laboratory will store patient data in Laboratory Information </w:t>
      </w:r>
      <w:r w:rsidRPr="00636ACF">
        <w:rPr>
          <w:rFonts w:ascii="Times New Roman" w:eastAsia="Times New Roman" w:hAnsi="Times New Roman" w:cs="Times New Roman"/>
          <w:color w:val="333333"/>
          <w:lang w:eastAsia="en-US"/>
        </w:rPr>
        <w:t>systems (</w:t>
      </w:r>
      <w:r w:rsidRPr="002D0328">
        <w:rPr>
          <w:rFonts w:ascii="Times New Roman" w:eastAsia="Times New Roman" w:hAnsi="Times New Roman" w:cs="Times New Roman"/>
          <w:color w:val="333333"/>
          <w:lang w:eastAsia="en-US"/>
        </w:rPr>
        <w:t>LIS), Pharmacy similarly stores patient data in Pharmacy Information Systems (PIS). Interoperability standards in HIE help the health care information systems to meaningfully use this exchanged data. The four types of Interoperability are “Foundational (Level 1</w:t>
      </w:r>
      <w:r w:rsidRPr="00636ACF">
        <w:rPr>
          <w:rFonts w:ascii="Times New Roman" w:eastAsia="Times New Roman" w:hAnsi="Times New Roman" w:cs="Times New Roman"/>
          <w:color w:val="333333"/>
          <w:lang w:eastAsia="en-US"/>
        </w:rPr>
        <w:t>),</w:t>
      </w:r>
      <w:r w:rsidRPr="002D0328">
        <w:rPr>
          <w:rFonts w:ascii="Times New Roman" w:eastAsia="Times New Roman" w:hAnsi="Times New Roman" w:cs="Times New Roman"/>
          <w:color w:val="333333"/>
          <w:lang w:eastAsia="en-US"/>
        </w:rPr>
        <w:t xml:space="preserve"> Structural (Level 2), Semantic (Level 3) and Organization (Level 4)” (Healthcare Information and Management Systems </w:t>
      </w:r>
      <w:r w:rsidR="006C120F" w:rsidRPr="002D0328">
        <w:rPr>
          <w:rFonts w:ascii="Times New Roman" w:eastAsia="Times New Roman" w:hAnsi="Times New Roman" w:cs="Times New Roman"/>
          <w:color w:val="333333"/>
          <w:lang w:eastAsia="en-US"/>
        </w:rPr>
        <w:t>Society</w:t>
      </w:r>
      <w:r w:rsidR="006C120F">
        <w:rPr>
          <w:rFonts w:ascii="Times New Roman" w:eastAsia="Times New Roman" w:hAnsi="Times New Roman" w:cs="Times New Roman"/>
          <w:color w:val="333333"/>
          <w:lang w:eastAsia="en-US"/>
        </w:rPr>
        <w:t xml:space="preserve"> (HIMSS), </w:t>
      </w:r>
      <w:r w:rsidR="006C120F" w:rsidRPr="002D0328">
        <w:rPr>
          <w:rFonts w:ascii="Times New Roman" w:eastAsia="Times New Roman" w:hAnsi="Times New Roman" w:cs="Times New Roman"/>
          <w:color w:val="333333"/>
          <w:lang w:eastAsia="en-US"/>
        </w:rPr>
        <w:t>2025</w:t>
      </w:r>
      <w:r w:rsidRPr="002D0328">
        <w:rPr>
          <w:rFonts w:ascii="Times New Roman" w:eastAsia="Times New Roman" w:hAnsi="Times New Roman" w:cs="Times New Roman"/>
          <w:color w:val="333333"/>
          <w:lang w:eastAsia="en-US"/>
        </w:rPr>
        <w:t xml:space="preserve">).  Foundational interoperability enables secure </w:t>
      </w:r>
      <w:r w:rsidRPr="002D0328">
        <w:rPr>
          <w:rFonts w:ascii="Times New Roman" w:eastAsia="Times New Roman" w:hAnsi="Times New Roman" w:cs="Times New Roman"/>
          <w:color w:val="333333"/>
          <w:lang w:eastAsia="en-US"/>
        </w:rPr>
        <w:lastRenderedPageBreak/>
        <w:t xml:space="preserve">exchange of patient health information between systems. </w:t>
      </w:r>
      <w:r w:rsidRPr="002D0328">
        <w:rPr>
          <w:rFonts w:ascii="Times New Roman" w:eastAsia="Times New Roman" w:hAnsi="Times New Roman" w:cs="Times New Roman"/>
          <w:color w:val="161513"/>
          <w:shd w:val="clear" w:color="auto" w:fill="FFFFFF"/>
          <w:lang w:eastAsia="en-US"/>
        </w:rPr>
        <w:t xml:space="preserve">Structural interoperability is facilitated by the data standards which ensures the data is represented in a standard format between both the systems and includes examples like </w:t>
      </w:r>
      <w:r w:rsidR="006C120F" w:rsidRPr="0057379F">
        <w:rPr>
          <w:rFonts w:ascii="Times New Roman" w:hAnsi="Times New Roman" w:cs="Times New Roman"/>
          <w:color w:val="333333"/>
        </w:rPr>
        <w:t>Health</w:t>
      </w:r>
      <w:r w:rsidR="0057379F">
        <w:rPr>
          <w:rFonts w:ascii="Times New Roman" w:hAnsi="Times New Roman" w:cs="Times New Roman"/>
          <w:color w:val="333333"/>
        </w:rPr>
        <w:t xml:space="preserve"> </w:t>
      </w:r>
      <w:r w:rsidR="006C120F" w:rsidRPr="0057379F">
        <w:rPr>
          <w:rFonts w:ascii="Times New Roman" w:hAnsi="Times New Roman" w:cs="Times New Roman"/>
          <w:color w:val="333333"/>
        </w:rPr>
        <w:t>Level</w:t>
      </w:r>
      <w:r w:rsidR="0057379F">
        <w:rPr>
          <w:rFonts w:ascii="Times New Roman" w:hAnsi="Times New Roman" w:cs="Times New Roman"/>
          <w:color w:val="333333"/>
        </w:rPr>
        <w:t xml:space="preserve"> </w:t>
      </w:r>
      <w:r w:rsidR="006C120F" w:rsidRPr="0057379F">
        <w:rPr>
          <w:rFonts w:ascii="Times New Roman" w:hAnsi="Times New Roman" w:cs="Times New Roman"/>
          <w:color w:val="333333"/>
        </w:rPr>
        <w:t xml:space="preserve">Seven </w:t>
      </w:r>
      <w:r w:rsidR="006C120F" w:rsidRPr="0057379F">
        <w:rPr>
          <w:rFonts w:ascii="Times New Roman" w:hAnsi="Times New Roman" w:cs="Times New Roman"/>
          <w:color w:val="333333"/>
        </w:rPr>
        <w:t>(</w:t>
      </w:r>
      <w:r w:rsidRPr="002D0328">
        <w:rPr>
          <w:rFonts w:ascii="Times New Roman" w:eastAsia="Times New Roman" w:hAnsi="Times New Roman" w:cs="Times New Roman"/>
          <w:color w:val="161513"/>
          <w:shd w:val="clear" w:color="auto" w:fill="FFFFFF"/>
          <w:lang w:eastAsia="en-US"/>
        </w:rPr>
        <w:t>HL7</w:t>
      </w:r>
      <w:r w:rsidR="006C120F" w:rsidRPr="0057379F">
        <w:rPr>
          <w:rFonts w:ascii="Times New Roman" w:eastAsia="Times New Roman" w:hAnsi="Times New Roman" w:cs="Times New Roman"/>
          <w:color w:val="161513"/>
          <w:shd w:val="clear" w:color="auto" w:fill="FFFFFF"/>
          <w:lang w:eastAsia="en-US"/>
        </w:rPr>
        <w:t>)</w:t>
      </w:r>
      <w:r w:rsidRPr="002D0328">
        <w:rPr>
          <w:rFonts w:ascii="Times New Roman" w:eastAsia="Times New Roman" w:hAnsi="Times New Roman" w:cs="Times New Roman"/>
          <w:color w:val="161513"/>
          <w:shd w:val="clear" w:color="auto" w:fill="FFFFFF"/>
          <w:lang w:eastAsia="en-US"/>
        </w:rPr>
        <w:t>. Semantic interoperability establishes shared language and terminology standards to ensure different systems interpret the data in the accurate and meaningful way. Organizational interoperability includes policies and governance to enable seamless flow of data between and within organizations (HIMSS 2025, Nelson 2023). </w:t>
      </w:r>
    </w:p>
    <w:p w14:paraId="46BE3621" w14:textId="0E732A99" w:rsidR="007652A7" w:rsidRPr="00636ACF" w:rsidRDefault="002D0328" w:rsidP="007652A7">
      <w:pPr>
        <w:pStyle w:val="NormalWeb"/>
        <w:spacing w:before="0" w:beforeAutospacing="0" w:after="0" w:afterAutospacing="0" w:line="480" w:lineRule="auto"/>
        <w:ind w:firstLine="720"/>
        <w:jc w:val="both"/>
      </w:pPr>
      <w:r w:rsidRPr="002D0328">
        <w:rPr>
          <w:color w:val="333333"/>
        </w:rPr>
        <w:t>Standards in HIE are “the agreed upon guidelines that ensure uniformity and consistency in the way day is structured, transmitted and interpreted” (Bria, 2025). These standards include content standards which define the format of the data being exchanged like</w:t>
      </w:r>
      <w:r w:rsidR="008E15A0">
        <w:rPr>
          <w:color w:val="333333"/>
        </w:rPr>
        <w:t xml:space="preserve"> </w:t>
      </w:r>
      <w:r w:rsidRPr="002D0328">
        <w:rPr>
          <w:color w:val="333333"/>
        </w:rPr>
        <w:t>HL7,</w:t>
      </w:r>
      <w:r w:rsidR="007652A7" w:rsidRPr="00636ACF">
        <w:rPr>
          <w:color w:val="333333"/>
        </w:rPr>
        <w:t xml:space="preserve"> </w:t>
      </w:r>
      <w:r w:rsidR="006C120F">
        <w:rPr>
          <w:color w:val="333333"/>
        </w:rPr>
        <w:t xml:space="preserve">Consolidated </w:t>
      </w:r>
      <w:r w:rsidR="008E15A0">
        <w:rPr>
          <w:color w:val="333333"/>
        </w:rPr>
        <w:t>Clinical</w:t>
      </w:r>
      <w:r w:rsidR="006C120F">
        <w:rPr>
          <w:color w:val="333333"/>
        </w:rPr>
        <w:t xml:space="preserve"> Document Architecture</w:t>
      </w:r>
      <w:r w:rsidR="008E15A0">
        <w:rPr>
          <w:color w:val="333333"/>
        </w:rPr>
        <w:t xml:space="preserve"> </w:t>
      </w:r>
      <w:r w:rsidR="006C120F">
        <w:rPr>
          <w:color w:val="333333"/>
        </w:rPr>
        <w:t>(</w:t>
      </w:r>
      <w:r w:rsidRPr="002D0328">
        <w:rPr>
          <w:color w:val="333333"/>
        </w:rPr>
        <w:t>C-CDA</w:t>
      </w:r>
      <w:r w:rsidR="006C120F">
        <w:rPr>
          <w:color w:val="333333"/>
        </w:rPr>
        <w:t>)</w:t>
      </w:r>
      <w:r w:rsidRPr="002D0328">
        <w:rPr>
          <w:color w:val="333333"/>
        </w:rPr>
        <w:t xml:space="preserve">. Identifiers standards are used by information systems to securely identify and verify patients and other systems via Medical Record Number and Master Patient Index. </w:t>
      </w:r>
      <w:r w:rsidR="00A21996">
        <w:rPr>
          <w:color w:val="333333"/>
        </w:rPr>
        <w:t xml:space="preserve"> Health In</w:t>
      </w:r>
      <w:r w:rsidR="00C30623">
        <w:rPr>
          <w:color w:val="333333"/>
        </w:rPr>
        <w:t>surance Portability and Accountability Act (</w:t>
      </w:r>
      <w:r w:rsidRPr="002D0328">
        <w:rPr>
          <w:color w:val="333333"/>
        </w:rPr>
        <w:t>HIPAA</w:t>
      </w:r>
      <w:r w:rsidR="00C30623">
        <w:rPr>
          <w:color w:val="333333"/>
        </w:rPr>
        <w:t xml:space="preserve">) </w:t>
      </w:r>
      <w:r w:rsidRPr="002D0328">
        <w:rPr>
          <w:color w:val="333333"/>
        </w:rPr>
        <w:t>upholds Privacy</w:t>
      </w:r>
      <w:r w:rsidR="007652A7" w:rsidRPr="00636ACF">
        <w:rPr>
          <w:color w:val="333333"/>
        </w:rPr>
        <w:t xml:space="preserve"> </w:t>
      </w:r>
      <w:r w:rsidR="007652A7" w:rsidRPr="00636ACF">
        <w:rPr>
          <w:color w:val="333333"/>
        </w:rPr>
        <w:t xml:space="preserve">and security standards to protect data privacy security. Terminology standards facilitate semantic interoperability by defining common vocabulary and terminology for the data to be exchanged and interpreted meaningfully. Transport standards facilitate foundational interoperability </w:t>
      </w:r>
      <w:r w:rsidR="00A21996" w:rsidRPr="00636ACF">
        <w:rPr>
          <w:color w:val="333333"/>
        </w:rPr>
        <w:t>data</w:t>
      </w:r>
      <w:r w:rsidR="007652A7" w:rsidRPr="00636ACF">
        <w:rPr>
          <w:color w:val="333333"/>
        </w:rPr>
        <w:t xml:space="preserve"> is transported and includes examples like</w:t>
      </w:r>
      <w:r w:rsidR="007652A7" w:rsidRPr="00636ACF">
        <w:rPr>
          <w:b/>
          <w:bCs/>
          <w:color w:val="333333"/>
        </w:rPr>
        <w:t xml:space="preserve"> “</w:t>
      </w:r>
      <w:r w:rsidR="007652A7" w:rsidRPr="00636ACF">
        <w:rPr>
          <w:color w:val="333333"/>
        </w:rPr>
        <w:t>Digital Imaging and Communication in Medicine” (DICOM</w:t>
      </w:r>
      <w:r w:rsidR="007652A7" w:rsidRPr="00636ACF">
        <w:rPr>
          <w:b/>
          <w:bCs/>
          <w:color w:val="333333"/>
        </w:rPr>
        <w:t xml:space="preserve">), </w:t>
      </w:r>
      <w:r w:rsidR="007652A7" w:rsidRPr="00636ACF">
        <w:rPr>
          <w:color w:val="333333"/>
        </w:rPr>
        <w:t>Fast Healthcare and interoperability Resources (FHIR) (HIMSS, 2025).  Finally, the Health Information Exchange platform is the platform that facilitates the actual data exchange, interoperability between information systems while withholding all the standards of HIE (Bria, 2025).</w:t>
      </w:r>
    </w:p>
    <w:p w14:paraId="0A2F6257" w14:textId="77777777" w:rsidR="007652A7" w:rsidRPr="007652A7" w:rsidRDefault="007652A7" w:rsidP="007652A7">
      <w:pPr>
        <w:spacing w:after="0" w:line="480" w:lineRule="auto"/>
        <w:ind w:firstLine="720"/>
        <w:jc w:val="both"/>
        <w:rPr>
          <w:rFonts w:ascii="Times New Roman" w:eastAsia="Times New Roman" w:hAnsi="Times New Roman" w:cs="Times New Roman"/>
          <w:lang w:eastAsia="en-US"/>
        </w:rPr>
      </w:pPr>
      <w:r w:rsidRPr="007652A7">
        <w:rPr>
          <w:rFonts w:ascii="Times New Roman" w:eastAsia="Times New Roman" w:hAnsi="Times New Roman" w:cs="Times New Roman"/>
          <w:b/>
          <w:bCs/>
          <w:color w:val="333333"/>
          <w:lang w:eastAsia="en-US"/>
        </w:rPr>
        <w:t>                             Key Modalities and the exchange of Data </w:t>
      </w:r>
    </w:p>
    <w:p w14:paraId="56DC489E" w14:textId="524C16D4" w:rsidR="007652A7" w:rsidRPr="007652A7" w:rsidRDefault="00A21996" w:rsidP="00A21996">
      <w:pPr>
        <w:spacing w:after="0" w:line="480" w:lineRule="auto"/>
        <w:ind w:firstLine="720"/>
        <w:rPr>
          <w:rFonts w:ascii="Times New Roman" w:eastAsia="Times New Roman" w:hAnsi="Times New Roman" w:cs="Times New Roman"/>
          <w:lang w:eastAsia="en-US"/>
        </w:rPr>
      </w:pPr>
      <w:r w:rsidRPr="00A21996">
        <w:rPr>
          <w:rFonts w:ascii="Times New Roman" w:eastAsia="Times New Roman" w:hAnsi="Times New Roman" w:cs="Times New Roman"/>
          <w:color w:val="444746"/>
          <w:lang w:eastAsia="en-US"/>
        </w:rPr>
        <w:lastRenderedPageBreak/>
        <w:t>The Sermo team (2022</w:t>
      </w:r>
      <w:r w:rsidRPr="00A21996">
        <w:rPr>
          <w:rFonts w:ascii="Times New Roman" w:eastAsia="Times New Roman" w:hAnsi="Times New Roman" w:cs="Times New Roman"/>
          <w:color w:val="444746"/>
          <w:lang w:eastAsia="en-US"/>
        </w:rPr>
        <w:t>) clearly</w:t>
      </w:r>
      <w:r w:rsidRPr="00A21996">
        <w:rPr>
          <w:rFonts w:ascii="Times New Roman" w:eastAsia="Times New Roman" w:hAnsi="Times New Roman" w:cs="Times New Roman"/>
          <w:color w:val="444746"/>
          <w:lang w:eastAsia="en-US"/>
        </w:rPr>
        <w:t xml:space="preserve"> elucidated the three fundamental forms of the HIE as </w:t>
      </w:r>
      <w:r>
        <w:rPr>
          <w:rFonts w:ascii="Times New Roman" w:eastAsia="Times New Roman" w:hAnsi="Times New Roman" w:cs="Times New Roman"/>
          <w:color w:val="444746"/>
          <w:lang w:eastAsia="en-US"/>
        </w:rPr>
        <w:t>“</w:t>
      </w:r>
      <w:r w:rsidRPr="00A21996">
        <w:rPr>
          <w:rFonts w:ascii="Times New Roman" w:eastAsia="Times New Roman" w:hAnsi="Times New Roman" w:cs="Times New Roman"/>
          <w:color w:val="444746"/>
          <w:lang w:eastAsia="en-US"/>
        </w:rPr>
        <w:t>Directed Exchange, Query Based Exchange and Consume based exchange</w:t>
      </w:r>
      <w:r>
        <w:rPr>
          <w:rFonts w:ascii="Times New Roman" w:eastAsia="Times New Roman" w:hAnsi="Times New Roman" w:cs="Times New Roman"/>
          <w:color w:val="444746"/>
          <w:lang w:eastAsia="en-US"/>
        </w:rPr>
        <w:t>”.</w:t>
      </w:r>
      <w:r w:rsidR="007652A7" w:rsidRPr="007652A7">
        <w:rPr>
          <w:rFonts w:ascii="Times New Roman" w:eastAsia="Times New Roman" w:hAnsi="Times New Roman" w:cs="Times New Roman"/>
          <w:color w:val="333333"/>
          <w:lang w:eastAsia="en-US"/>
        </w:rPr>
        <w:t>  </w:t>
      </w:r>
    </w:p>
    <w:p w14:paraId="5BDACB42" w14:textId="00845767" w:rsidR="007652A7" w:rsidRPr="007652A7" w:rsidRDefault="007652A7" w:rsidP="007652A7">
      <w:pPr>
        <w:spacing w:after="0" w:line="480" w:lineRule="auto"/>
        <w:ind w:firstLine="720"/>
        <w:jc w:val="both"/>
        <w:rPr>
          <w:rFonts w:ascii="Times New Roman" w:eastAsia="Times New Roman" w:hAnsi="Times New Roman" w:cs="Times New Roman"/>
          <w:lang w:eastAsia="en-US"/>
        </w:rPr>
      </w:pPr>
      <w:r w:rsidRPr="007652A7">
        <w:rPr>
          <w:rFonts w:ascii="Times New Roman" w:eastAsia="Times New Roman" w:hAnsi="Times New Roman" w:cs="Times New Roman"/>
          <w:color w:val="333333"/>
          <w:lang w:eastAsia="en-US"/>
        </w:rPr>
        <w:t xml:space="preserve">Directed Exchange is a way of information exchange that allows the sharing and receiving of secure patient health information between providers “via encrypted, secure, and reliable messaging” </w:t>
      </w:r>
      <w:r w:rsidR="006C120F" w:rsidRPr="007652A7">
        <w:rPr>
          <w:rFonts w:ascii="Times New Roman" w:eastAsia="Times New Roman" w:hAnsi="Times New Roman" w:cs="Times New Roman"/>
          <w:color w:val="333333"/>
          <w:lang w:eastAsia="en-US"/>
        </w:rPr>
        <w:t>(Office of the National Coordinator for Health Information Technology</w:t>
      </w:r>
      <w:r w:rsidR="006C120F">
        <w:rPr>
          <w:rFonts w:ascii="Times New Roman" w:eastAsia="Times New Roman" w:hAnsi="Times New Roman" w:cs="Times New Roman"/>
          <w:color w:val="333333"/>
          <w:lang w:eastAsia="en-US"/>
        </w:rPr>
        <w:t xml:space="preserve"> (ONC)</w:t>
      </w:r>
      <w:r w:rsidR="006C120F" w:rsidRPr="007652A7">
        <w:rPr>
          <w:rFonts w:ascii="Times New Roman" w:eastAsia="Times New Roman" w:hAnsi="Times New Roman" w:cs="Times New Roman"/>
          <w:color w:val="333333"/>
          <w:lang w:eastAsia="en-US"/>
        </w:rPr>
        <w:t>, 2019)</w:t>
      </w:r>
      <w:r w:rsidR="006C120F">
        <w:rPr>
          <w:rFonts w:ascii="Times New Roman" w:eastAsia="Times New Roman" w:hAnsi="Times New Roman" w:cs="Times New Roman"/>
          <w:color w:val="333333"/>
          <w:lang w:eastAsia="en-US"/>
        </w:rPr>
        <w:t xml:space="preserve"> </w:t>
      </w:r>
      <w:r w:rsidRPr="007652A7">
        <w:rPr>
          <w:rFonts w:ascii="Times New Roman" w:eastAsia="Times New Roman" w:hAnsi="Times New Roman" w:cs="Times New Roman"/>
          <w:color w:val="333333"/>
          <w:lang w:eastAsia="en-US"/>
        </w:rPr>
        <w:t>and is used in regular care benefitting patients from the coordinated care (</w:t>
      </w:r>
      <w:r w:rsidR="006C120F">
        <w:rPr>
          <w:rFonts w:ascii="Times New Roman" w:eastAsia="Times New Roman" w:hAnsi="Times New Roman" w:cs="Times New Roman"/>
          <w:color w:val="333333"/>
          <w:lang w:eastAsia="en-US"/>
        </w:rPr>
        <w:t xml:space="preserve">ONC, </w:t>
      </w:r>
      <w:r w:rsidRPr="007652A7">
        <w:rPr>
          <w:rFonts w:ascii="Times New Roman" w:eastAsia="Times New Roman" w:hAnsi="Times New Roman" w:cs="Times New Roman"/>
          <w:color w:val="333333"/>
          <w:lang w:eastAsia="en-US"/>
        </w:rPr>
        <w:t>2019). This is often used for sending referrals, lab results and discharge summaries of the patients. To achieve HIPAA security standards, direct information exchange relies on Health Information Service Provider (HISP). HISP is a vendor responsible for verifying,</w:t>
      </w:r>
      <w:r w:rsidRPr="00636ACF">
        <w:rPr>
          <w:rFonts w:ascii="Times New Roman" w:eastAsia="Times New Roman" w:hAnsi="Times New Roman" w:cs="Times New Roman"/>
          <w:color w:val="333333"/>
          <w:lang w:eastAsia="en-US"/>
        </w:rPr>
        <w:t xml:space="preserve"> </w:t>
      </w:r>
      <w:r w:rsidRPr="007652A7">
        <w:rPr>
          <w:rFonts w:ascii="Times New Roman" w:eastAsia="Times New Roman" w:hAnsi="Times New Roman" w:cs="Times New Roman"/>
          <w:color w:val="333333"/>
          <w:lang w:eastAsia="en-US"/>
        </w:rPr>
        <w:t>identity,</w:t>
      </w:r>
      <w:r w:rsidRPr="00636ACF">
        <w:rPr>
          <w:rFonts w:ascii="Times New Roman" w:eastAsia="Times New Roman" w:hAnsi="Times New Roman" w:cs="Times New Roman"/>
          <w:color w:val="333333"/>
          <w:lang w:eastAsia="en-US"/>
        </w:rPr>
        <w:t xml:space="preserve"> </w:t>
      </w:r>
      <w:r w:rsidRPr="007652A7">
        <w:rPr>
          <w:rFonts w:ascii="Times New Roman" w:eastAsia="Times New Roman" w:hAnsi="Times New Roman" w:cs="Times New Roman"/>
          <w:color w:val="333333"/>
          <w:lang w:eastAsia="en-US"/>
        </w:rPr>
        <w:t xml:space="preserve">encrypting critical information </w:t>
      </w:r>
      <w:r w:rsidRPr="00636ACF">
        <w:rPr>
          <w:rFonts w:ascii="Times New Roman" w:eastAsia="Times New Roman" w:hAnsi="Times New Roman" w:cs="Times New Roman"/>
          <w:color w:val="333333"/>
          <w:lang w:eastAsia="en-US"/>
        </w:rPr>
        <w:t>and establishing</w:t>
      </w:r>
      <w:r w:rsidRPr="007652A7">
        <w:rPr>
          <w:rFonts w:ascii="Times New Roman" w:eastAsia="Times New Roman" w:hAnsi="Times New Roman" w:cs="Times New Roman"/>
          <w:color w:val="333333"/>
          <w:lang w:eastAsia="en-US"/>
        </w:rPr>
        <w:t xml:space="preserve"> a secure way of direct communication between the verified providers. Even with HISP, direct information exchange still deals with interoperability challenges as it does not guarantee the format in which the data is actually exchanged (Definitive Healthcare, 2025). </w:t>
      </w:r>
    </w:p>
    <w:p w14:paraId="441B8449" w14:textId="3FEBF531" w:rsidR="002D0328" w:rsidRPr="00636ACF" w:rsidRDefault="007652A7" w:rsidP="007652A7">
      <w:pPr>
        <w:spacing w:after="0" w:line="480" w:lineRule="auto"/>
        <w:ind w:firstLine="720"/>
        <w:jc w:val="both"/>
        <w:rPr>
          <w:rFonts w:ascii="Times New Roman" w:eastAsia="Times New Roman" w:hAnsi="Times New Roman" w:cs="Times New Roman"/>
          <w:color w:val="333333"/>
          <w:lang w:eastAsia="en-US"/>
        </w:rPr>
      </w:pPr>
      <w:r w:rsidRPr="00636ACF">
        <w:rPr>
          <w:rFonts w:ascii="Times New Roman" w:eastAsia="Times New Roman" w:hAnsi="Times New Roman" w:cs="Times New Roman"/>
          <w:color w:val="333333"/>
          <w:lang w:eastAsia="en-US"/>
        </w:rPr>
        <w:t> </w:t>
      </w:r>
      <w:r w:rsidRPr="00636ACF">
        <w:rPr>
          <w:rFonts w:ascii="Times New Roman" w:eastAsia="Times New Roman" w:hAnsi="Times New Roman" w:cs="Times New Roman"/>
          <w:color w:val="333333"/>
          <w:lang w:eastAsia="en-US"/>
        </w:rPr>
        <w:tab/>
        <w:t>“Query-based exchange enables providers to request or find patient information from other providers</w:t>
      </w:r>
      <w:r w:rsidRPr="00636ACF">
        <w:rPr>
          <w:rFonts w:ascii="Times New Roman" w:eastAsia="Times New Roman" w:hAnsi="Times New Roman" w:cs="Times New Roman"/>
          <w:b/>
          <w:bCs/>
          <w:color w:val="333333"/>
          <w:lang w:eastAsia="en-US"/>
        </w:rPr>
        <w:t xml:space="preserve"> </w:t>
      </w:r>
      <w:r w:rsidRPr="00636ACF">
        <w:rPr>
          <w:rFonts w:ascii="Times New Roman" w:eastAsia="Times New Roman" w:hAnsi="Times New Roman" w:cs="Times New Roman"/>
          <w:color w:val="333333"/>
          <w:lang w:eastAsia="en-US"/>
        </w:rPr>
        <w:t>within a network and is used in unplanned care like in emergency situations” (</w:t>
      </w:r>
      <w:r w:rsidR="006E5537">
        <w:rPr>
          <w:rFonts w:ascii="Times New Roman" w:eastAsia="Times New Roman" w:hAnsi="Times New Roman" w:cs="Times New Roman"/>
          <w:color w:val="333333"/>
          <w:lang w:eastAsia="en-US"/>
        </w:rPr>
        <w:t>ONC</w:t>
      </w:r>
      <w:r w:rsidRPr="00636ACF">
        <w:rPr>
          <w:rFonts w:ascii="Times New Roman" w:eastAsia="Times New Roman" w:hAnsi="Times New Roman" w:cs="Times New Roman"/>
          <w:color w:val="333333"/>
          <w:lang w:eastAsia="en-US"/>
        </w:rPr>
        <w:t xml:space="preserve">, 2019). This is helpful in fetching comprehensive patient health information. In a </w:t>
      </w:r>
      <w:r w:rsidRPr="00636ACF">
        <w:rPr>
          <w:rFonts w:ascii="Times New Roman" w:eastAsia="Times New Roman" w:hAnsi="Times New Roman" w:cs="Times New Roman"/>
          <w:color w:val="333333"/>
          <w:lang w:eastAsia="en-US"/>
        </w:rPr>
        <w:t>query-based</w:t>
      </w:r>
      <w:r w:rsidRPr="00636ACF">
        <w:rPr>
          <w:rFonts w:ascii="Times New Roman" w:eastAsia="Times New Roman" w:hAnsi="Times New Roman" w:cs="Times New Roman"/>
          <w:color w:val="333333"/>
          <w:lang w:eastAsia="en-US"/>
        </w:rPr>
        <w:t xml:space="preserve"> health information exchange, the requestor (EHR system) sends a query to fetch the required comprehensive patient health information in HIE. HIE then locates the patient documents within the trust network via Master Patient Index (MPI) or Record Locator Service (RLS) (Carequality, 2021). The patient data is sent back in standard formats like C-CDA, CCD, but is not automatically converted if they are stored in unstructured formats.</w:t>
      </w:r>
    </w:p>
    <w:p w14:paraId="271B0443" w14:textId="25CF26EC" w:rsidR="006D3240" w:rsidRPr="006D3240" w:rsidRDefault="006B2B90" w:rsidP="00444F80">
      <w:pPr>
        <w:spacing w:after="0" w:line="480" w:lineRule="auto"/>
        <w:ind w:firstLine="720"/>
        <w:jc w:val="both"/>
        <w:rPr>
          <w:rFonts w:ascii="Times New Roman" w:eastAsia="Times New Roman" w:hAnsi="Times New Roman" w:cs="Times New Roman"/>
          <w:lang w:eastAsia="en-US"/>
        </w:rPr>
      </w:pPr>
      <w:r w:rsidRPr="006B2B90">
        <w:rPr>
          <w:rFonts w:ascii="Times New Roman" w:hAnsi="Times New Roman" w:cs="Times New Roman"/>
          <w:color w:val="000000" w:themeColor="text1"/>
          <w:spacing w:val="3"/>
        </w:rPr>
        <w:t xml:space="preserve">Consumer-mediated exchange places patients at the center of their own health data. It lets them oversee and share their complete medical information with different providers, correct </w:t>
      </w:r>
      <w:r w:rsidRPr="006B2B90">
        <w:rPr>
          <w:rFonts w:ascii="Times New Roman" w:hAnsi="Times New Roman" w:cs="Times New Roman"/>
          <w:color w:val="000000" w:themeColor="text1"/>
          <w:spacing w:val="3"/>
        </w:rPr>
        <w:lastRenderedPageBreak/>
        <w:t>inaccuracies in clinical or billing records, and stay actively involved in tracking and managing their health over time (Sermo Team, 2022).</w:t>
      </w:r>
      <w:r w:rsidR="006D3240" w:rsidRPr="006D3240">
        <w:rPr>
          <w:rFonts w:ascii="Times New Roman" w:eastAsia="Times New Roman" w:hAnsi="Times New Roman" w:cs="Times New Roman"/>
          <w:color w:val="000000" w:themeColor="text1"/>
          <w:lang w:eastAsia="en-US"/>
        </w:rPr>
        <w:t xml:space="preserve"> </w:t>
      </w:r>
    </w:p>
    <w:p w14:paraId="6FD9E63F" w14:textId="3AFD3C41" w:rsidR="00742B46" w:rsidRDefault="006D3240" w:rsidP="00534786">
      <w:pPr>
        <w:spacing w:after="0" w:line="480" w:lineRule="auto"/>
        <w:ind w:firstLine="720"/>
        <w:jc w:val="both"/>
        <w:rPr>
          <w:rFonts w:ascii="Times New Roman" w:eastAsia="Times New Roman" w:hAnsi="Times New Roman" w:cs="Times New Roman"/>
          <w:color w:val="333333"/>
          <w:lang w:eastAsia="en-US"/>
        </w:rPr>
      </w:pPr>
      <w:r w:rsidRPr="006D3240">
        <w:rPr>
          <w:rFonts w:ascii="Times New Roman" w:eastAsia="Times New Roman" w:hAnsi="Times New Roman" w:cs="Times New Roman"/>
          <w:color w:val="161513"/>
          <w:shd w:val="clear" w:color="auto" w:fill="FFFFFF"/>
          <w:lang w:eastAsia="en-US"/>
        </w:rPr>
        <w:t xml:space="preserve">This form of exchange enhances patient engagement mainly addressing the underserved people who are affected by limited access to healthcare and “facilitates transparency and patient-centric care” </w:t>
      </w:r>
      <w:r w:rsidRPr="006D3240">
        <w:rPr>
          <w:rFonts w:ascii="Times New Roman" w:eastAsia="Times New Roman" w:hAnsi="Times New Roman" w:cs="Times New Roman"/>
          <w:color w:val="333333"/>
          <w:lang w:eastAsia="en-US"/>
        </w:rPr>
        <w:t>(Civitas Networks for Health, 2025).</w:t>
      </w:r>
    </w:p>
    <w:p w14:paraId="66BA16B6" w14:textId="77777777" w:rsidR="00444F80" w:rsidRPr="00636ACF" w:rsidRDefault="00444F80" w:rsidP="00534786">
      <w:pPr>
        <w:spacing w:after="0" w:line="480" w:lineRule="auto"/>
        <w:ind w:firstLine="720"/>
        <w:jc w:val="both"/>
        <w:rPr>
          <w:rFonts w:ascii="Times New Roman" w:eastAsia="Times New Roman" w:hAnsi="Times New Roman" w:cs="Times New Roman"/>
          <w:color w:val="333333"/>
          <w:lang w:eastAsia="en-US"/>
        </w:rPr>
      </w:pPr>
    </w:p>
    <w:p w14:paraId="25A18EDB" w14:textId="19B6BBC5" w:rsidR="00742B46" w:rsidRPr="00742B46" w:rsidRDefault="00D231CD" w:rsidP="00D605EB">
      <w:pPr>
        <w:spacing w:after="0" w:line="480" w:lineRule="auto"/>
        <w:jc w:val="both"/>
        <w:rPr>
          <w:rFonts w:ascii="Times New Roman" w:eastAsia="Times New Roman" w:hAnsi="Times New Roman" w:cs="Times New Roman"/>
          <w:lang w:eastAsia="en-US"/>
        </w:rPr>
      </w:pPr>
      <w:r>
        <w:rPr>
          <w:rFonts w:ascii="Times New Roman" w:eastAsia="Times New Roman" w:hAnsi="Times New Roman" w:cs="Times New Roman"/>
          <w:b/>
          <w:bCs/>
          <w:color w:val="333333"/>
          <w:lang w:eastAsia="en-US"/>
        </w:rPr>
        <w:t xml:space="preserve">                                  </w:t>
      </w:r>
      <w:r w:rsidR="00D605EB">
        <w:rPr>
          <w:rFonts w:ascii="Times New Roman" w:eastAsia="Times New Roman" w:hAnsi="Times New Roman" w:cs="Times New Roman"/>
          <w:b/>
          <w:bCs/>
          <w:color w:val="333333"/>
          <w:lang w:eastAsia="en-US"/>
        </w:rPr>
        <w:t xml:space="preserve"> </w:t>
      </w:r>
      <w:r w:rsidR="00742B46" w:rsidRPr="00742B46">
        <w:rPr>
          <w:rFonts w:ascii="Times New Roman" w:eastAsia="Times New Roman" w:hAnsi="Times New Roman" w:cs="Times New Roman"/>
          <w:b/>
          <w:bCs/>
          <w:color w:val="333333"/>
          <w:lang w:eastAsia="en-US"/>
        </w:rPr>
        <w:t>Federal policies for strengthening Interoperability</w:t>
      </w:r>
    </w:p>
    <w:p w14:paraId="41F240A6" w14:textId="6CD22010" w:rsidR="00742B46" w:rsidRPr="00742B46" w:rsidRDefault="00742B46" w:rsidP="00D605EB">
      <w:pPr>
        <w:spacing w:after="0" w:line="480" w:lineRule="auto"/>
        <w:ind w:firstLine="720"/>
        <w:jc w:val="both"/>
        <w:rPr>
          <w:rFonts w:ascii="Times New Roman" w:eastAsia="Times New Roman" w:hAnsi="Times New Roman" w:cs="Times New Roman"/>
          <w:lang w:eastAsia="en-US"/>
        </w:rPr>
      </w:pPr>
      <w:r w:rsidRPr="00742B46">
        <w:rPr>
          <w:rFonts w:ascii="Times New Roman" w:eastAsia="Times New Roman" w:hAnsi="Times New Roman" w:cs="Times New Roman"/>
          <w:color w:val="333333"/>
          <w:lang w:eastAsia="en-US"/>
        </w:rPr>
        <w:t>The ONC had developed the Trusted Exchange Framework and Common Agreement (</w:t>
      </w:r>
      <w:r w:rsidRPr="00636ACF">
        <w:rPr>
          <w:rFonts w:ascii="Times New Roman" w:eastAsia="Times New Roman" w:hAnsi="Times New Roman" w:cs="Times New Roman"/>
          <w:color w:val="333333"/>
          <w:lang w:eastAsia="en-US"/>
        </w:rPr>
        <w:t xml:space="preserve">TEFCA) </w:t>
      </w:r>
      <w:r w:rsidR="0057379F">
        <w:rPr>
          <w:rFonts w:ascii="Times New Roman" w:eastAsia="Times New Roman" w:hAnsi="Times New Roman" w:cs="Times New Roman"/>
          <w:color w:val="333333"/>
          <w:lang w:eastAsia="en-US"/>
        </w:rPr>
        <w:t>“</w:t>
      </w:r>
      <w:r w:rsidRPr="00742B46">
        <w:rPr>
          <w:rFonts w:ascii="Times New Roman" w:eastAsia="Times New Roman" w:hAnsi="Times New Roman" w:cs="Times New Roman"/>
          <w:color w:val="333333"/>
          <w:lang w:eastAsia="en-US"/>
        </w:rPr>
        <w:t>to provide a framework for Health Information Networks across the country” (</w:t>
      </w:r>
      <w:r w:rsidR="006E5537">
        <w:rPr>
          <w:rFonts w:ascii="Times New Roman" w:eastAsia="Times New Roman" w:hAnsi="Times New Roman" w:cs="Times New Roman"/>
          <w:color w:val="333333"/>
          <w:lang w:eastAsia="en-US"/>
        </w:rPr>
        <w:t xml:space="preserve">ONC, </w:t>
      </w:r>
      <w:r w:rsidRPr="00742B46">
        <w:rPr>
          <w:rFonts w:ascii="Times New Roman" w:eastAsia="Times New Roman" w:hAnsi="Times New Roman" w:cs="Times New Roman"/>
          <w:color w:val="333333"/>
          <w:lang w:eastAsia="en-US"/>
        </w:rPr>
        <w:t>n.d.) by creating rules and legal structure to enable nationwide sharing of health information to improve care coordination. QHINs are designated entities which become “central exchange nodes and facilitate nationwide data exchange. QHINs are selected via a rigorous on-boarding process led by Recognized Coordinating Entry” (ChartRequest, 2025). </w:t>
      </w:r>
    </w:p>
    <w:p w14:paraId="05A6F906" w14:textId="77777777" w:rsidR="00742B46" w:rsidRPr="00742B46" w:rsidRDefault="00742B46" w:rsidP="00FC41D0">
      <w:pPr>
        <w:spacing w:after="0" w:line="480" w:lineRule="auto"/>
        <w:ind w:firstLine="720"/>
        <w:jc w:val="both"/>
        <w:rPr>
          <w:rFonts w:ascii="Times New Roman" w:eastAsia="Times New Roman" w:hAnsi="Times New Roman" w:cs="Times New Roman"/>
          <w:lang w:eastAsia="en-US"/>
        </w:rPr>
      </w:pPr>
      <w:r w:rsidRPr="00742B46">
        <w:rPr>
          <w:rFonts w:ascii="Times New Roman" w:eastAsia="Times New Roman" w:hAnsi="Times New Roman" w:cs="Times New Roman"/>
          <w:color w:val="444746"/>
          <w:lang w:eastAsia="en-US"/>
        </w:rPr>
        <w:t xml:space="preserve">The 21st century Cures Act established regulations that prohibit information blocking and made sharing electronic health information a norm and this law is applied to healthcare providers, HIE’s, HIN’s and health IT developers. It is done to advance interoperability &amp; enhance accessibility, usability, and privacy &amp; security of HIT </w:t>
      </w:r>
      <w:r w:rsidRPr="00742B46">
        <w:rPr>
          <w:rFonts w:ascii="Times New Roman" w:eastAsia="Times New Roman" w:hAnsi="Times New Roman" w:cs="Times New Roman"/>
          <w:color w:val="333333"/>
          <w:lang w:eastAsia="en-US"/>
        </w:rPr>
        <w:t>(ONC, n.d.)</w:t>
      </w:r>
      <w:r w:rsidRPr="00742B46">
        <w:rPr>
          <w:rFonts w:ascii="Times New Roman" w:eastAsia="Times New Roman" w:hAnsi="Times New Roman" w:cs="Times New Roman"/>
          <w:color w:val="444746"/>
          <w:lang w:eastAsia="en-US"/>
        </w:rPr>
        <w:t>.</w:t>
      </w:r>
    </w:p>
    <w:p w14:paraId="01CA17B7" w14:textId="02971CB9" w:rsidR="00742B46" w:rsidRDefault="00742B46" w:rsidP="00FC41D0">
      <w:pPr>
        <w:spacing w:after="0" w:line="480" w:lineRule="auto"/>
        <w:ind w:firstLine="720"/>
        <w:jc w:val="both"/>
        <w:rPr>
          <w:rFonts w:ascii="Times New Roman" w:eastAsia="Times New Roman" w:hAnsi="Times New Roman" w:cs="Times New Roman"/>
          <w:color w:val="333333"/>
          <w:lang w:eastAsia="en-US"/>
        </w:rPr>
      </w:pPr>
      <w:r w:rsidRPr="00636ACF">
        <w:rPr>
          <w:rFonts w:ascii="Times New Roman" w:eastAsia="Times New Roman" w:hAnsi="Times New Roman" w:cs="Times New Roman"/>
          <w:color w:val="333333"/>
          <w:lang w:eastAsia="en-US"/>
        </w:rPr>
        <w:t>The 2024</w:t>
      </w:r>
      <w:r w:rsidRPr="00636ACF">
        <w:rPr>
          <w:rFonts w:ascii="Times New Roman" w:eastAsia="Times New Roman" w:hAnsi="Times New Roman" w:cs="Times New Roman"/>
          <w:color w:val="333333"/>
          <w:lang w:eastAsia="en-US"/>
        </w:rPr>
        <w:t xml:space="preserve"> Center for Medicare and Medicaid Services (CMS) Interoperability and </w:t>
      </w:r>
      <w:r w:rsidRPr="00636ACF">
        <w:rPr>
          <w:rFonts w:ascii="Times New Roman" w:eastAsia="Times New Roman" w:hAnsi="Times New Roman" w:cs="Times New Roman"/>
          <w:color w:val="333333"/>
          <w:lang w:eastAsia="en-US"/>
        </w:rPr>
        <w:t>Patient Access</w:t>
      </w:r>
      <w:r w:rsidRPr="00636ACF">
        <w:rPr>
          <w:rFonts w:ascii="Times New Roman" w:eastAsia="Times New Roman" w:hAnsi="Times New Roman" w:cs="Times New Roman"/>
          <w:color w:val="333333"/>
          <w:lang w:eastAsia="en-US"/>
        </w:rPr>
        <w:t xml:space="preserve"> Final </w:t>
      </w:r>
      <w:r w:rsidRPr="006E5537">
        <w:rPr>
          <w:rFonts w:ascii="Times New Roman" w:eastAsia="Times New Roman" w:hAnsi="Times New Roman" w:cs="Times New Roman"/>
          <w:color w:val="333333"/>
          <w:lang w:eastAsia="en-US"/>
        </w:rPr>
        <w:t xml:space="preserve">Rule </w:t>
      </w:r>
      <w:r w:rsidR="006E5537" w:rsidRPr="006E5537">
        <w:rPr>
          <w:rFonts w:ascii="Times New Roman" w:eastAsia="Times New Roman" w:hAnsi="Times New Roman" w:cs="Times New Roman"/>
          <w:color w:val="333333"/>
          <w:lang w:eastAsia="en-US"/>
        </w:rPr>
        <w:t>framework emphasizes</w:t>
      </w:r>
      <w:r w:rsidRPr="006E5537">
        <w:rPr>
          <w:rFonts w:ascii="Times New Roman" w:eastAsia="Times New Roman" w:hAnsi="Times New Roman" w:cs="Times New Roman"/>
          <w:color w:val="333333"/>
          <w:lang w:eastAsia="en-US"/>
        </w:rPr>
        <w:t xml:space="preserve"> structural interoperability and aims to improve seamless data exchange between different systems mandating certain payers to adopt common standards like FHIR APIs and USCDI (United States Core Data for Interoperability) (Lo et al., 2025). </w:t>
      </w:r>
    </w:p>
    <w:p w14:paraId="4BB3EEDD" w14:textId="14FD2A8D" w:rsidR="00E91346" w:rsidRPr="00E91346" w:rsidRDefault="00E91346" w:rsidP="00FC41D0">
      <w:pPr>
        <w:spacing w:after="0" w:line="480" w:lineRule="auto"/>
        <w:ind w:firstLine="720"/>
        <w:jc w:val="both"/>
        <w:rPr>
          <w:rFonts w:ascii="Times New Roman" w:eastAsia="Times New Roman" w:hAnsi="Times New Roman" w:cs="Times New Roman"/>
          <w:color w:val="000000" w:themeColor="text1"/>
          <w:lang w:eastAsia="en-US"/>
        </w:rPr>
      </w:pPr>
      <w:r w:rsidRPr="00E91346">
        <w:rPr>
          <w:rFonts w:ascii="Times New Roman" w:hAnsi="Times New Roman" w:cs="Times New Roman"/>
          <w:color w:val="000000" w:themeColor="text1"/>
          <w:spacing w:val="3"/>
        </w:rPr>
        <w:t>The HITECH Act of 2009 introduced financial incentives to encourage healthcare providers to adopt certified electronic health records</w:t>
      </w:r>
      <w:r w:rsidRPr="00E91346">
        <w:rPr>
          <w:rFonts w:ascii="Times New Roman" w:hAnsi="Times New Roman" w:cs="Times New Roman"/>
          <w:color w:val="000000" w:themeColor="text1"/>
          <w:spacing w:val="3"/>
        </w:rPr>
        <w:t xml:space="preserve"> </w:t>
      </w:r>
      <w:r w:rsidRPr="00E91346">
        <w:rPr>
          <w:rFonts w:ascii="Times New Roman" w:hAnsi="Times New Roman" w:cs="Times New Roman"/>
          <w:color w:val="000000" w:themeColor="text1"/>
          <w:spacing w:val="3"/>
        </w:rPr>
        <w:t xml:space="preserve">and to advance the meaningful use of </w:t>
      </w:r>
      <w:r w:rsidRPr="00E91346">
        <w:rPr>
          <w:rFonts w:ascii="Times New Roman" w:hAnsi="Times New Roman" w:cs="Times New Roman"/>
          <w:color w:val="000000" w:themeColor="text1"/>
          <w:spacing w:val="3"/>
        </w:rPr>
        <w:lastRenderedPageBreak/>
        <w:t>health information technology. In doing so, it indirectly promoted voluntary participation in health information exchange efforts (Healthcare Compliance Journal, 2025</w:t>
      </w:r>
      <w:r>
        <w:rPr>
          <w:rFonts w:ascii="Times New Roman" w:hAnsi="Times New Roman" w:cs="Times New Roman"/>
          <w:color w:val="000000" w:themeColor="text1"/>
          <w:spacing w:val="3"/>
        </w:rPr>
        <w:t>).</w:t>
      </w:r>
    </w:p>
    <w:p w14:paraId="5264454D" w14:textId="4A21D113" w:rsidR="009447C1" w:rsidRPr="009447C1" w:rsidRDefault="00E91346" w:rsidP="00FC41D0">
      <w:pPr>
        <w:spacing w:after="0" w:line="480" w:lineRule="auto"/>
        <w:ind w:firstLine="720"/>
        <w:jc w:val="both"/>
        <w:rPr>
          <w:rFonts w:ascii="Times New Roman" w:eastAsia="Times New Roman" w:hAnsi="Times New Roman" w:cs="Times New Roman"/>
          <w:color w:val="000000" w:themeColor="text1"/>
          <w:lang w:eastAsia="en-US"/>
        </w:rPr>
      </w:pPr>
      <w:r w:rsidRPr="00E91346">
        <w:rPr>
          <w:rFonts w:ascii="Times New Roman" w:hAnsi="Times New Roman" w:cs="Times New Roman"/>
          <w:color w:val="000000" w:themeColor="text1"/>
          <w:spacing w:val="3"/>
        </w:rPr>
        <w:t>The ONC’s Health IT Certification Program, a voluntary federal initiative</w:t>
      </w:r>
      <w:r>
        <w:rPr>
          <w:rFonts w:ascii="Roboto" w:hAnsi="Roboto"/>
          <w:color w:val="444746"/>
          <w:spacing w:val="3"/>
          <w:sz w:val="21"/>
          <w:szCs w:val="21"/>
        </w:rPr>
        <w:t>,</w:t>
      </w:r>
      <w:r w:rsidR="009447C1" w:rsidRPr="009447C1">
        <w:rPr>
          <w:rFonts w:ascii="Times New Roman" w:eastAsia="Times New Roman" w:hAnsi="Times New Roman" w:cs="Times New Roman"/>
          <w:color w:val="000000" w:themeColor="text1"/>
          <w:lang w:eastAsia="en-US"/>
        </w:rPr>
        <w:t xml:space="preserve"> which mainly requires EHRs to meet a certain standard for exchange of data defined by ONC. “A final rule issued in 2020 </w:t>
      </w:r>
      <w:r w:rsidR="009447C1" w:rsidRPr="00E91346">
        <w:rPr>
          <w:rFonts w:ascii="Times New Roman" w:eastAsia="Times New Roman" w:hAnsi="Times New Roman" w:cs="Times New Roman"/>
          <w:color w:val="000000" w:themeColor="text1"/>
          <w:lang w:eastAsia="en-US"/>
        </w:rPr>
        <w:t>involved the</w:t>
      </w:r>
      <w:r w:rsidR="009447C1" w:rsidRPr="009447C1">
        <w:rPr>
          <w:rFonts w:ascii="Times New Roman" w:eastAsia="Times New Roman" w:hAnsi="Times New Roman" w:cs="Times New Roman"/>
          <w:color w:val="000000" w:themeColor="text1"/>
          <w:lang w:eastAsia="en-US"/>
        </w:rPr>
        <w:t xml:space="preserve"> United States Core Data for Interoperability (USCDI), a standard set of data classes for describing the health data that may be exchanged” (Lo et al., 2025) See Appendix table for USCDI</w:t>
      </w:r>
      <w:r w:rsidRPr="00E91346">
        <w:rPr>
          <w:rFonts w:ascii="Times New Roman" w:eastAsia="Times New Roman" w:hAnsi="Times New Roman" w:cs="Times New Roman"/>
          <w:color w:val="000000" w:themeColor="text1"/>
          <w:lang w:eastAsia="en-US"/>
        </w:rPr>
        <w:t xml:space="preserve"> V6</w:t>
      </w:r>
      <w:r w:rsidR="009447C1" w:rsidRPr="009447C1">
        <w:rPr>
          <w:rFonts w:ascii="Times New Roman" w:eastAsia="Times New Roman" w:hAnsi="Times New Roman" w:cs="Times New Roman"/>
          <w:color w:val="000000" w:themeColor="text1"/>
          <w:lang w:eastAsia="en-US"/>
        </w:rPr>
        <w:t xml:space="preserve"> summary. </w:t>
      </w:r>
    </w:p>
    <w:p w14:paraId="6BC386DE" w14:textId="4FA76607" w:rsidR="009447C1" w:rsidRPr="00E91346" w:rsidRDefault="009447C1" w:rsidP="00FC41D0">
      <w:pPr>
        <w:spacing w:after="0" w:line="480" w:lineRule="auto"/>
        <w:ind w:firstLine="720"/>
        <w:jc w:val="both"/>
        <w:rPr>
          <w:rFonts w:ascii="Times New Roman" w:eastAsia="Times New Roman" w:hAnsi="Times New Roman" w:cs="Times New Roman"/>
          <w:color w:val="000000" w:themeColor="text1"/>
          <w:lang w:eastAsia="en-US"/>
        </w:rPr>
      </w:pPr>
      <w:r w:rsidRPr="009447C1">
        <w:rPr>
          <w:rFonts w:ascii="Times New Roman" w:eastAsia="Times New Roman" w:hAnsi="Times New Roman" w:cs="Times New Roman"/>
          <w:color w:val="000000" w:themeColor="text1"/>
          <w:lang w:eastAsia="en-US"/>
        </w:rPr>
        <w:t xml:space="preserve">Health Information networks adopting the CMS interoperability </w:t>
      </w:r>
      <w:r w:rsidRPr="00E91346">
        <w:rPr>
          <w:rFonts w:ascii="Times New Roman" w:eastAsia="Times New Roman" w:hAnsi="Times New Roman" w:cs="Times New Roman"/>
          <w:color w:val="000000" w:themeColor="text1"/>
          <w:lang w:eastAsia="en-US"/>
        </w:rPr>
        <w:t>framework,</w:t>
      </w:r>
      <w:r w:rsidRPr="009447C1">
        <w:rPr>
          <w:rFonts w:ascii="Times New Roman" w:eastAsia="Times New Roman" w:hAnsi="Times New Roman" w:cs="Times New Roman"/>
          <w:color w:val="000000" w:themeColor="text1"/>
          <w:lang w:eastAsia="en-US"/>
        </w:rPr>
        <w:t xml:space="preserve"> exchange data through FHIR APIs, complying with “US Core FHIR implementation guide, including full FHIR capabilities statement and USCDI V3 (or later) with terminology compliance by July 4, 2026” (CMS, 2025). </w:t>
      </w:r>
    </w:p>
    <w:p w14:paraId="2D4B5DB8" w14:textId="7DC42D80" w:rsidR="001B64C9" w:rsidRPr="001B64C9" w:rsidRDefault="001B64C9" w:rsidP="00FC41D0">
      <w:pPr>
        <w:spacing w:after="0" w:line="480" w:lineRule="auto"/>
        <w:jc w:val="both"/>
        <w:rPr>
          <w:rFonts w:ascii="Times New Roman" w:eastAsia="Times New Roman" w:hAnsi="Times New Roman" w:cs="Times New Roman"/>
          <w:lang w:eastAsia="en-US"/>
        </w:rPr>
      </w:pPr>
      <w:r w:rsidRPr="001B64C9">
        <w:rPr>
          <w:rFonts w:ascii="Times New Roman" w:eastAsia="Times New Roman" w:hAnsi="Times New Roman" w:cs="Times New Roman"/>
          <w:b/>
          <w:bCs/>
          <w:color w:val="000000"/>
          <w:shd w:val="clear" w:color="auto" w:fill="FFFFFF"/>
          <w:lang w:eastAsia="en-US"/>
        </w:rPr>
        <w:t> </w:t>
      </w:r>
      <w:r w:rsidRPr="00636ACF">
        <w:rPr>
          <w:rFonts w:ascii="Times New Roman" w:eastAsia="Times New Roman" w:hAnsi="Times New Roman" w:cs="Times New Roman"/>
          <w:b/>
          <w:bCs/>
          <w:color w:val="000000"/>
          <w:shd w:val="clear" w:color="auto" w:fill="FFFFFF"/>
          <w:lang w:eastAsia="en-US"/>
        </w:rPr>
        <w:tab/>
      </w:r>
      <w:r w:rsidRPr="00636ACF">
        <w:rPr>
          <w:rFonts w:ascii="Times New Roman" w:eastAsia="Times New Roman" w:hAnsi="Times New Roman" w:cs="Times New Roman"/>
          <w:b/>
          <w:bCs/>
          <w:color w:val="000000"/>
          <w:shd w:val="clear" w:color="auto" w:fill="FFFFFF"/>
          <w:lang w:eastAsia="en-US"/>
        </w:rPr>
        <w:tab/>
      </w:r>
      <w:r w:rsidRPr="00636ACF">
        <w:rPr>
          <w:rFonts w:ascii="Times New Roman" w:eastAsia="Times New Roman" w:hAnsi="Times New Roman" w:cs="Times New Roman"/>
          <w:b/>
          <w:bCs/>
          <w:color w:val="000000"/>
          <w:shd w:val="clear" w:color="auto" w:fill="FFFFFF"/>
          <w:lang w:eastAsia="en-US"/>
        </w:rPr>
        <w:tab/>
      </w:r>
      <w:r w:rsidRPr="001B64C9">
        <w:rPr>
          <w:rFonts w:ascii="Times New Roman" w:eastAsia="Times New Roman" w:hAnsi="Times New Roman" w:cs="Times New Roman"/>
          <w:b/>
          <w:bCs/>
          <w:color w:val="000000"/>
          <w:shd w:val="clear" w:color="auto" w:fill="FFFFFF"/>
          <w:lang w:eastAsia="en-US"/>
        </w:rPr>
        <w:t xml:space="preserve">Benefits </w:t>
      </w:r>
      <w:r w:rsidR="001B54DE">
        <w:rPr>
          <w:rFonts w:ascii="Times New Roman" w:eastAsia="Times New Roman" w:hAnsi="Times New Roman" w:cs="Times New Roman"/>
          <w:b/>
          <w:bCs/>
          <w:color w:val="000000"/>
          <w:shd w:val="clear" w:color="auto" w:fill="FFFFFF"/>
          <w:lang w:eastAsia="en-US"/>
        </w:rPr>
        <w:t xml:space="preserve">of </w:t>
      </w:r>
      <w:r w:rsidR="001B54DE" w:rsidRPr="001B64C9">
        <w:rPr>
          <w:rFonts w:ascii="Times New Roman" w:eastAsia="Times New Roman" w:hAnsi="Times New Roman" w:cs="Times New Roman"/>
          <w:b/>
          <w:bCs/>
          <w:color w:val="000000"/>
          <w:shd w:val="clear" w:color="auto" w:fill="FFFFFF"/>
          <w:lang w:eastAsia="en-US"/>
        </w:rPr>
        <w:t>Achieving</w:t>
      </w:r>
      <w:r w:rsidR="008A2A3C">
        <w:rPr>
          <w:rFonts w:ascii="Times New Roman" w:eastAsia="Times New Roman" w:hAnsi="Times New Roman" w:cs="Times New Roman"/>
          <w:b/>
          <w:bCs/>
          <w:color w:val="000000"/>
          <w:shd w:val="clear" w:color="auto" w:fill="FFFFFF"/>
          <w:lang w:eastAsia="en-US"/>
        </w:rPr>
        <w:t xml:space="preserve"> Interoperability</w:t>
      </w:r>
      <w:r w:rsidR="001B54DE">
        <w:rPr>
          <w:rFonts w:ascii="Times New Roman" w:eastAsia="Times New Roman" w:hAnsi="Times New Roman" w:cs="Times New Roman"/>
          <w:b/>
          <w:bCs/>
          <w:color w:val="000000"/>
          <w:shd w:val="clear" w:color="auto" w:fill="FFFFFF"/>
          <w:lang w:eastAsia="en-US"/>
        </w:rPr>
        <w:t xml:space="preserve"> and HIE</w:t>
      </w:r>
    </w:p>
    <w:p w14:paraId="3F57189C" w14:textId="4FEE847E" w:rsidR="001B64C9" w:rsidRPr="001B64C9" w:rsidRDefault="001B64C9" w:rsidP="00FC41D0">
      <w:pPr>
        <w:spacing w:after="0" w:line="480" w:lineRule="auto"/>
        <w:ind w:firstLine="720"/>
        <w:jc w:val="both"/>
        <w:rPr>
          <w:rFonts w:ascii="Times New Roman" w:eastAsia="Times New Roman" w:hAnsi="Times New Roman" w:cs="Times New Roman"/>
          <w:lang w:eastAsia="en-US"/>
        </w:rPr>
      </w:pPr>
      <w:r w:rsidRPr="001B64C9">
        <w:rPr>
          <w:rFonts w:ascii="Times New Roman" w:eastAsia="Times New Roman" w:hAnsi="Times New Roman" w:cs="Times New Roman"/>
          <w:color w:val="000000"/>
          <w:lang w:eastAsia="en-US"/>
        </w:rPr>
        <w:t xml:space="preserve">Adoption of HIEs provides a wide range of benefits to providers, patients, payors, public health and research. </w:t>
      </w:r>
      <w:r w:rsidR="001B54DE">
        <w:rPr>
          <w:rFonts w:ascii="Times New Roman" w:eastAsia="Times New Roman" w:hAnsi="Times New Roman" w:cs="Times New Roman"/>
          <w:color w:val="000000"/>
          <w:lang w:eastAsia="en-US"/>
        </w:rPr>
        <w:t>With HIE,</w:t>
      </w:r>
      <w:r w:rsidRPr="001B64C9">
        <w:rPr>
          <w:rFonts w:ascii="Times New Roman" w:eastAsia="Times New Roman" w:hAnsi="Times New Roman" w:cs="Times New Roman"/>
          <w:color w:val="000000"/>
          <w:lang w:eastAsia="en-US"/>
        </w:rPr>
        <w:t xml:space="preserve"> healthcare providers </w:t>
      </w:r>
      <w:r w:rsidR="001B54DE">
        <w:rPr>
          <w:rFonts w:ascii="Times New Roman" w:eastAsia="Times New Roman" w:hAnsi="Times New Roman" w:cs="Times New Roman"/>
          <w:color w:val="000000"/>
          <w:lang w:eastAsia="en-US"/>
        </w:rPr>
        <w:t>can easily</w:t>
      </w:r>
      <w:r w:rsidRPr="001B64C9">
        <w:rPr>
          <w:rFonts w:ascii="Times New Roman" w:eastAsia="Times New Roman" w:hAnsi="Times New Roman" w:cs="Times New Roman"/>
          <w:color w:val="000000"/>
          <w:lang w:eastAsia="en-US"/>
        </w:rPr>
        <w:t xml:space="preserve"> access and obtain timely patient health information allowing them to make accurate </w:t>
      </w:r>
      <w:r w:rsidRPr="00636ACF">
        <w:rPr>
          <w:rFonts w:ascii="Times New Roman" w:eastAsia="Times New Roman" w:hAnsi="Times New Roman" w:cs="Times New Roman"/>
          <w:color w:val="000000"/>
          <w:lang w:eastAsia="en-US"/>
        </w:rPr>
        <w:t>clinical decisions</w:t>
      </w:r>
      <w:r w:rsidRPr="001B64C9">
        <w:rPr>
          <w:rFonts w:ascii="Times New Roman" w:eastAsia="Times New Roman" w:hAnsi="Times New Roman" w:cs="Times New Roman"/>
          <w:color w:val="000000"/>
          <w:lang w:eastAsia="en-US"/>
        </w:rPr>
        <w:t xml:space="preserve"> at the point of care. Access to real-time patient information reduces manual workload and improves the administrative workflow. </w:t>
      </w:r>
      <w:r w:rsidRPr="001B64C9">
        <w:rPr>
          <w:rFonts w:ascii="Times New Roman" w:eastAsia="Times New Roman" w:hAnsi="Times New Roman" w:cs="Times New Roman"/>
          <w:color w:val="000000"/>
          <w:shd w:val="clear" w:color="auto" w:fill="FFFFFF"/>
          <w:lang w:eastAsia="en-US"/>
        </w:rPr>
        <w:t xml:space="preserve">Helps providers to have a view of comprehensive health information including medication history, allergies reducing the medical errors and duplicate tests thereby reducing the healthcare </w:t>
      </w:r>
      <w:r w:rsidRPr="00636ACF">
        <w:rPr>
          <w:rFonts w:ascii="Times New Roman" w:eastAsia="Times New Roman" w:hAnsi="Times New Roman" w:cs="Times New Roman"/>
          <w:color w:val="000000"/>
          <w:shd w:val="clear" w:color="auto" w:fill="FFFFFF"/>
          <w:lang w:eastAsia="en-US"/>
        </w:rPr>
        <w:t>costs. (</w:t>
      </w:r>
      <w:r w:rsidRPr="001B64C9">
        <w:rPr>
          <w:rFonts w:ascii="Times New Roman" w:eastAsia="Times New Roman" w:hAnsi="Times New Roman" w:cs="Times New Roman"/>
          <w:color w:val="000000"/>
          <w:shd w:val="clear" w:color="auto" w:fill="FFFFFF"/>
          <w:lang w:eastAsia="en-US"/>
        </w:rPr>
        <w:t>Bria, 2025). It also benefits public health departments and researchers by having hospitals share the information on infectious diseases to them through HIE and supports case investigations to monitor and track, identify the patterns of the disease outbreaks (Texas Health and Human Services Commission, n.d.). </w:t>
      </w:r>
    </w:p>
    <w:p w14:paraId="0B57FE6E" w14:textId="77777777" w:rsidR="001B64C9" w:rsidRPr="001B64C9" w:rsidRDefault="001B64C9" w:rsidP="00FC41D0">
      <w:pPr>
        <w:spacing w:after="0" w:line="480" w:lineRule="auto"/>
        <w:ind w:left="720"/>
        <w:jc w:val="both"/>
        <w:rPr>
          <w:rFonts w:ascii="Times New Roman" w:eastAsia="Times New Roman" w:hAnsi="Times New Roman" w:cs="Times New Roman"/>
          <w:lang w:eastAsia="en-US"/>
        </w:rPr>
      </w:pPr>
      <w:r w:rsidRPr="001B64C9">
        <w:rPr>
          <w:rFonts w:ascii="Times New Roman" w:eastAsia="Times New Roman" w:hAnsi="Times New Roman" w:cs="Times New Roman"/>
          <w:color w:val="000000"/>
          <w:shd w:val="clear" w:color="auto" w:fill="FFFFFF"/>
          <w:lang w:eastAsia="en-US"/>
        </w:rPr>
        <w:lastRenderedPageBreak/>
        <w:t>“HIEs can also notify the public health agencies when an individual taking treatment for an infectious disease discontinues and reappears at an emergency hospital, which allows them to follow-up and help resume the treatment” (Civitas Networks for Health, 2023). </w:t>
      </w:r>
    </w:p>
    <w:p w14:paraId="30F788F3" w14:textId="49C868B3" w:rsidR="001B64C9" w:rsidRDefault="001B64C9" w:rsidP="00FC41D0">
      <w:pPr>
        <w:spacing w:after="0" w:line="480" w:lineRule="auto"/>
        <w:ind w:firstLine="720"/>
        <w:jc w:val="both"/>
        <w:rPr>
          <w:rFonts w:ascii="Times New Roman" w:eastAsia="Times New Roman" w:hAnsi="Times New Roman" w:cs="Times New Roman"/>
          <w:color w:val="212529"/>
          <w:lang w:eastAsia="en-US"/>
        </w:rPr>
      </w:pPr>
      <w:r w:rsidRPr="00636ACF">
        <w:rPr>
          <w:rFonts w:ascii="Times New Roman" w:eastAsia="Times New Roman" w:hAnsi="Times New Roman" w:cs="Times New Roman"/>
          <w:color w:val="000000"/>
          <w:lang w:eastAsia="en-US"/>
        </w:rPr>
        <w:t>Patient-centric exchange allows patients to access their health information through patient portals, encouraging them to be involved in the health care decisions and “</w:t>
      </w:r>
      <w:r w:rsidRPr="00636ACF">
        <w:rPr>
          <w:rFonts w:ascii="Times New Roman" w:eastAsia="Times New Roman" w:hAnsi="Times New Roman" w:cs="Times New Roman"/>
          <w:color w:val="212529"/>
          <w:lang w:eastAsia="en-US"/>
        </w:rPr>
        <w:t>share their medical information with multiple healthcare organizations” (Esmaeilzadeh et al., 2024).</w:t>
      </w:r>
    </w:p>
    <w:p w14:paraId="649230D3" w14:textId="77777777" w:rsidR="00444F80" w:rsidRPr="00636ACF" w:rsidRDefault="00444F80" w:rsidP="00FC41D0">
      <w:pPr>
        <w:spacing w:after="0" w:line="480" w:lineRule="auto"/>
        <w:ind w:firstLine="720"/>
        <w:jc w:val="both"/>
        <w:rPr>
          <w:rFonts w:ascii="Times New Roman" w:eastAsia="Times New Roman" w:hAnsi="Times New Roman" w:cs="Times New Roman"/>
          <w:color w:val="212529"/>
          <w:lang w:eastAsia="en-US"/>
        </w:rPr>
      </w:pPr>
    </w:p>
    <w:p w14:paraId="0DC0ED8A" w14:textId="0536931F" w:rsidR="00BE5C34" w:rsidRPr="00BE5C34" w:rsidRDefault="00D605EB" w:rsidP="00FC41D0">
      <w:pPr>
        <w:spacing w:after="0" w:line="480" w:lineRule="auto"/>
        <w:ind w:left="2160"/>
        <w:jc w:val="both"/>
        <w:rPr>
          <w:rFonts w:ascii="Times New Roman" w:eastAsia="Times New Roman" w:hAnsi="Times New Roman" w:cs="Times New Roman"/>
          <w:lang w:eastAsia="en-US"/>
        </w:rPr>
      </w:pPr>
      <w:r>
        <w:rPr>
          <w:rFonts w:ascii="Times New Roman" w:eastAsia="Times New Roman" w:hAnsi="Times New Roman" w:cs="Times New Roman"/>
          <w:b/>
          <w:bCs/>
          <w:color w:val="000000"/>
          <w:lang w:eastAsia="en-US"/>
        </w:rPr>
        <w:t xml:space="preserve">      </w:t>
      </w:r>
      <w:r w:rsidR="00BE5C34" w:rsidRPr="00BE5C34">
        <w:rPr>
          <w:rFonts w:ascii="Times New Roman" w:eastAsia="Times New Roman" w:hAnsi="Times New Roman" w:cs="Times New Roman"/>
          <w:b/>
          <w:bCs/>
          <w:color w:val="000000"/>
          <w:lang w:eastAsia="en-US"/>
        </w:rPr>
        <w:t>Manifest MedEx and Adventist Health </w:t>
      </w:r>
    </w:p>
    <w:p w14:paraId="3D657A16" w14:textId="0B9A085A" w:rsidR="00BE5C34" w:rsidRPr="00BE5C34" w:rsidRDefault="00BE5C34" w:rsidP="00FC41D0">
      <w:pPr>
        <w:spacing w:after="0" w:line="480" w:lineRule="auto"/>
        <w:ind w:firstLine="720"/>
        <w:jc w:val="both"/>
        <w:rPr>
          <w:rFonts w:ascii="Times New Roman" w:eastAsia="Times New Roman" w:hAnsi="Times New Roman" w:cs="Times New Roman"/>
          <w:lang w:eastAsia="en-US"/>
        </w:rPr>
      </w:pPr>
      <w:r w:rsidRPr="00BE5C34">
        <w:rPr>
          <w:rFonts w:ascii="Times New Roman" w:eastAsia="Times New Roman" w:hAnsi="Times New Roman" w:cs="Times New Roman"/>
          <w:color w:val="000000"/>
          <w:lang w:eastAsia="en-US"/>
        </w:rPr>
        <w:t xml:space="preserve">“Manifest Medex is a California based non-profit </w:t>
      </w:r>
      <w:r w:rsidRPr="00636ACF">
        <w:rPr>
          <w:rFonts w:ascii="Times New Roman" w:eastAsia="Times New Roman" w:hAnsi="Times New Roman" w:cs="Times New Roman"/>
          <w:color w:val="000000"/>
          <w:lang w:eastAsia="en-US"/>
        </w:rPr>
        <w:t>statewide</w:t>
      </w:r>
      <w:r w:rsidRPr="00BE5C34">
        <w:rPr>
          <w:rFonts w:ascii="Times New Roman" w:eastAsia="Times New Roman" w:hAnsi="Times New Roman" w:cs="Times New Roman"/>
          <w:color w:val="000000"/>
          <w:lang w:eastAsia="en-US"/>
        </w:rPr>
        <w:t xml:space="preserve"> Health Information Exchange and also a Qualified Health Information Organization (QHIO) formed in 2017” (Manifest MedEx, n.d.). It serves 3300 plus California Healthcare organizations, 140 plus Hospitals and has access to 50 </w:t>
      </w:r>
      <w:r w:rsidRPr="00636ACF">
        <w:rPr>
          <w:rFonts w:ascii="Times New Roman" w:eastAsia="Times New Roman" w:hAnsi="Times New Roman" w:cs="Times New Roman"/>
          <w:color w:val="000000"/>
          <w:lang w:eastAsia="en-US"/>
        </w:rPr>
        <w:t>million</w:t>
      </w:r>
      <w:r w:rsidRPr="00BE5C34">
        <w:rPr>
          <w:rFonts w:ascii="Times New Roman" w:eastAsia="Times New Roman" w:hAnsi="Times New Roman" w:cs="Times New Roman"/>
          <w:color w:val="000000"/>
          <w:lang w:eastAsia="en-US"/>
        </w:rPr>
        <w:t xml:space="preserve"> patient records. Manifest Medex’s mission is to give as much as information access to improve healthcare outcomes, care and reduce healthcare costs. Its main office </w:t>
      </w:r>
      <w:r w:rsidRPr="00636ACF">
        <w:rPr>
          <w:rFonts w:ascii="Times New Roman" w:eastAsia="Times New Roman" w:hAnsi="Times New Roman" w:cs="Times New Roman"/>
          <w:color w:val="000000"/>
          <w:lang w:eastAsia="en-US"/>
        </w:rPr>
        <w:t>is in</w:t>
      </w:r>
      <w:r w:rsidRPr="00BE5C34">
        <w:rPr>
          <w:rFonts w:ascii="Times New Roman" w:eastAsia="Times New Roman" w:hAnsi="Times New Roman" w:cs="Times New Roman"/>
          <w:color w:val="000000"/>
          <w:lang w:eastAsia="en-US"/>
        </w:rPr>
        <w:t xml:space="preserve"> Riverside, California and has several branches and affiliations. Manifest MedEx has strong collaborations with “regional HIOs like San </w:t>
      </w:r>
      <w:r w:rsidRPr="00BE5C34">
        <w:rPr>
          <w:rFonts w:ascii="Times New Roman" w:eastAsia="Times New Roman" w:hAnsi="Times New Roman" w:cs="Times New Roman"/>
          <w:color w:val="000000"/>
          <w:shd w:val="clear" w:color="auto" w:fill="FFFFFF"/>
          <w:lang w:eastAsia="en-US"/>
        </w:rPr>
        <w:t>Joaquin Community, Central Valley and Inland Empire” (Manifest MedEx, n.d.) to build a strong information exchange network. Manifest MedEx enables Healthcare organizations to exchange data in widely recognized standards like USCDI v2, HL7, CCDA and FHIR (Manifest MedEx, n.d.). Manifest MedEx provides multiple products and services namely Mx Access, Mx Notify, Mx Analyze and Mx Data.</w:t>
      </w:r>
    </w:p>
    <w:p w14:paraId="7909653F" w14:textId="22BD1F97" w:rsidR="00BE5C34" w:rsidRPr="00636ACF" w:rsidRDefault="00BE5C34" w:rsidP="00FC41D0">
      <w:pPr>
        <w:spacing w:after="0" w:line="480" w:lineRule="auto"/>
        <w:ind w:firstLine="720"/>
        <w:jc w:val="both"/>
        <w:rPr>
          <w:rFonts w:ascii="Times New Roman" w:eastAsia="Times New Roman" w:hAnsi="Times New Roman" w:cs="Times New Roman"/>
          <w:color w:val="000000"/>
          <w:lang w:eastAsia="en-US"/>
        </w:rPr>
      </w:pPr>
      <w:r w:rsidRPr="00BE5C34">
        <w:rPr>
          <w:rFonts w:ascii="Times New Roman" w:eastAsia="Times New Roman" w:hAnsi="Times New Roman" w:cs="Times New Roman"/>
          <w:color w:val="000000"/>
          <w:lang w:eastAsia="en-US"/>
        </w:rPr>
        <w:t xml:space="preserve">Adventist </w:t>
      </w:r>
      <w:r w:rsidRPr="00636ACF">
        <w:rPr>
          <w:rFonts w:ascii="Times New Roman" w:eastAsia="Times New Roman" w:hAnsi="Times New Roman" w:cs="Times New Roman"/>
          <w:color w:val="000000"/>
          <w:lang w:eastAsia="en-US"/>
        </w:rPr>
        <w:t>Health is</w:t>
      </w:r>
      <w:r w:rsidRPr="00BE5C34">
        <w:rPr>
          <w:rFonts w:ascii="Times New Roman" w:eastAsia="Times New Roman" w:hAnsi="Times New Roman" w:cs="Times New Roman"/>
          <w:color w:val="000000"/>
          <w:lang w:eastAsia="en-US"/>
        </w:rPr>
        <w:t xml:space="preserve"> a “faith-based, non-profit integrated health system serving more than 90 communities on the west coast and Hawaii” (Adventist Health, n.d.) serving 400 plus care sites” (Adventist Health, n.d.). Adventist Health has its main office in Roseville, California. Their care sites include clinics, hospitals, home healthcare, hospice agencies, specialty care and 27 acute care </w:t>
      </w:r>
      <w:r w:rsidRPr="00BE5C34">
        <w:rPr>
          <w:rFonts w:ascii="Times New Roman" w:eastAsia="Times New Roman" w:hAnsi="Times New Roman" w:cs="Times New Roman"/>
          <w:color w:val="000000"/>
          <w:lang w:eastAsia="en-US"/>
        </w:rPr>
        <w:lastRenderedPageBreak/>
        <w:t xml:space="preserve">hospitals. It provides comprehensive healthcare services including in-home care and hospice care (Adventist Health, n.d.). </w:t>
      </w:r>
    </w:p>
    <w:p w14:paraId="78979164" w14:textId="35AAA353" w:rsidR="00872303" w:rsidRPr="00636ACF" w:rsidRDefault="00872303" w:rsidP="00FC41D0">
      <w:pPr>
        <w:spacing w:after="0" w:line="480" w:lineRule="auto"/>
        <w:ind w:firstLine="720"/>
        <w:jc w:val="both"/>
        <w:rPr>
          <w:rFonts w:ascii="Times New Roman" w:hAnsi="Times New Roman" w:cs="Times New Roman"/>
          <w:color w:val="000000"/>
          <w:shd w:val="clear" w:color="auto" w:fill="FFFFFF"/>
        </w:rPr>
      </w:pPr>
      <w:r w:rsidRPr="00636ACF">
        <w:rPr>
          <w:rFonts w:ascii="Times New Roman" w:hAnsi="Times New Roman" w:cs="Times New Roman"/>
          <w:color w:val="000000"/>
        </w:rPr>
        <w:t xml:space="preserve">With Adventist Health joining Manifest MedEx in </w:t>
      </w:r>
      <w:r w:rsidRPr="00636ACF">
        <w:rPr>
          <w:rFonts w:ascii="Times New Roman" w:hAnsi="Times New Roman" w:cs="Times New Roman"/>
          <w:color w:val="000000"/>
        </w:rPr>
        <w:t>2021,</w:t>
      </w:r>
      <w:r w:rsidRPr="00636ACF">
        <w:rPr>
          <w:rFonts w:ascii="Times New Roman" w:hAnsi="Times New Roman" w:cs="Times New Roman"/>
          <w:color w:val="000000"/>
        </w:rPr>
        <w:t xml:space="preserve"> the HIE's coverage increased by as many as 21 hospitals and 7 million patients.  </w:t>
      </w:r>
      <w:r w:rsidRPr="00636ACF">
        <w:rPr>
          <w:rFonts w:ascii="Times New Roman" w:hAnsi="Times New Roman" w:cs="Times New Roman"/>
          <w:color w:val="000000"/>
          <w:shd w:val="clear" w:color="auto" w:fill="FFFFFF"/>
        </w:rPr>
        <w:t xml:space="preserve">Mx Access allows </w:t>
      </w:r>
      <w:r w:rsidRPr="00636ACF">
        <w:rPr>
          <w:rFonts w:ascii="Times New Roman" w:hAnsi="Times New Roman" w:cs="Times New Roman"/>
          <w:color w:val="000000"/>
        </w:rPr>
        <w:t>Adventist</w:t>
      </w:r>
      <w:r w:rsidRPr="00636ACF">
        <w:rPr>
          <w:rFonts w:ascii="Times New Roman" w:hAnsi="Times New Roman" w:cs="Times New Roman"/>
          <w:color w:val="000000"/>
          <w:shd w:val="clear" w:color="auto" w:fill="FFFFFF"/>
        </w:rPr>
        <w:t xml:space="preserve"> Health to have full access and a comprehensive view of </w:t>
      </w:r>
      <w:r w:rsidRPr="00636ACF">
        <w:rPr>
          <w:rFonts w:ascii="Times New Roman" w:hAnsi="Times New Roman" w:cs="Times New Roman"/>
          <w:color w:val="000000"/>
          <w:shd w:val="clear" w:color="auto" w:fill="FFFFFF"/>
        </w:rPr>
        <w:t>patient’s</w:t>
      </w:r>
      <w:r w:rsidRPr="00636ACF">
        <w:rPr>
          <w:rFonts w:ascii="Times New Roman" w:hAnsi="Times New Roman" w:cs="Times New Roman"/>
          <w:color w:val="000000"/>
          <w:shd w:val="clear" w:color="auto" w:fill="FFFFFF"/>
        </w:rPr>
        <w:t xml:space="preserve"> health information allowing them to improve patient flow, reduce healthcare </w:t>
      </w:r>
      <w:r w:rsidRPr="00636ACF">
        <w:rPr>
          <w:rFonts w:ascii="Times New Roman" w:hAnsi="Times New Roman" w:cs="Times New Roman"/>
          <w:color w:val="000000"/>
          <w:shd w:val="clear" w:color="auto" w:fill="FFFFFF"/>
        </w:rPr>
        <w:t>expenditure,</w:t>
      </w:r>
      <w:r w:rsidRPr="00636ACF">
        <w:rPr>
          <w:rFonts w:ascii="Times New Roman" w:hAnsi="Times New Roman" w:cs="Times New Roman"/>
          <w:color w:val="000000"/>
          <w:shd w:val="clear" w:color="auto" w:fill="FFFFFF"/>
        </w:rPr>
        <w:t xml:space="preserve"> reduce medical errors </w:t>
      </w:r>
      <w:r w:rsidRPr="00636ACF">
        <w:rPr>
          <w:rFonts w:ascii="Times New Roman" w:hAnsi="Times New Roman" w:cs="Times New Roman"/>
          <w:color w:val="000000"/>
          <w:shd w:val="clear" w:color="auto" w:fill="FFFFFF"/>
        </w:rPr>
        <w:t>like adverse</w:t>
      </w:r>
      <w:r w:rsidRPr="00636ACF">
        <w:rPr>
          <w:rFonts w:ascii="Times New Roman" w:hAnsi="Times New Roman" w:cs="Times New Roman"/>
          <w:color w:val="000000"/>
          <w:shd w:val="clear" w:color="auto" w:fill="FFFFFF"/>
        </w:rPr>
        <w:t xml:space="preserve"> drug interactions</w:t>
      </w:r>
      <w:r w:rsidRPr="00636ACF">
        <w:rPr>
          <w:rFonts w:ascii="Times New Roman" w:hAnsi="Times New Roman" w:cs="Times New Roman"/>
          <w:color w:val="000000"/>
        </w:rPr>
        <w:t xml:space="preserve">. </w:t>
      </w:r>
      <w:r w:rsidRPr="00636ACF">
        <w:rPr>
          <w:rFonts w:ascii="Times New Roman" w:hAnsi="Times New Roman" w:cs="Times New Roman"/>
          <w:color w:val="000000"/>
          <w:shd w:val="clear" w:color="auto" w:fill="FFFFFF"/>
        </w:rPr>
        <w:t xml:space="preserve">Manifest Medex provides other services like Mx Data which can help integrate HL7 data streams into existing platforms of Adventist Health and build pipelines. This data can also be analyzed via Mx </w:t>
      </w:r>
      <w:r w:rsidRPr="00636ACF">
        <w:rPr>
          <w:rFonts w:ascii="Times New Roman" w:hAnsi="Times New Roman" w:cs="Times New Roman"/>
          <w:color w:val="000000"/>
          <w:shd w:val="clear" w:color="auto" w:fill="FFFFFF"/>
        </w:rPr>
        <w:t>analyze,</w:t>
      </w:r>
      <w:r w:rsidRPr="00636ACF">
        <w:rPr>
          <w:rFonts w:ascii="Times New Roman" w:hAnsi="Times New Roman" w:cs="Times New Roman"/>
          <w:color w:val="000000"/>
          <w:shd w:val="clear" w:color="auto" w:fill="FFFFFF"/>
        </w:rPr>
        <w:t xml:space="preserve"> which helps providers analyze, derive key insights on the underlying population health and clinical reports taking SDOH into account (Manifest MedEx, n.d.). Mx Notify provides “real-time admission, transfer, and discharge (ADT) notifications” (Manifest MedEx, n.d.). to allow providers to identify when one of the events occurs. The key driving force for Adventist health to join Manifest Medex was to “better focus attention on the people who need it most and collaborate for the wellbeing of all Californians” (TechTarget, 2021). Primary Care hospitals in California saw 21 - 29% reduction in readmission rates in emergency departments (ED) using Manifest MedEx ADT notifications which helped hospitals get immediately notified about the patient status on admitting or discharging from the ED, allowing them to take necessary actions to prevent complications. These follow-ups prevented reduced hospitalizations and saved approximately </w:t>
      </w:r>
      <w:r w:rsidRPr="00636ACF">
        <w:rPr>
          <w:rFonts w:ascii="Times New Roman" w:hAnsi="Times New Roman" w:cs="Times New Roman"/>
          <w:color w:val="000000"/>
        </w:rPr>
        <w:t>$4.2 million (CHCF, 2025). Manifest MedEx can help</w:t>
      </w:r>
      <w:r w:rsidRPr="00636ACF">
        <w:rPr>
          <w:rFonts w:ascii="Times New Roman" w:hAnsi="Times New Roman" w:cs="Times New Roman"/>
          <w:b/>
          <w:bCs/>
          <w:color w:val="000000"/>
        </w:rPr>
        <w:t xml:space="preserve"> </w:t>
      </w:r>
      <w:r w:rsidRPr="00636ACF">
        <w:rPr>
          <w:rFonts w:ascii="Times New Roman" w:hAnsi="Times New Roman" w:cs="Times New Roman"/>
          <w:color w:val="000000"/>
        </w:rPr>
        <w:t xml:space="preserve">Adventist Health gain such benefits furtherly. A case study of “Inland Empire Foundation for Medical Cares ACO using Mx Notify, Mx Access has shown reduction </w:t>
      </w:r>
      <w:r w:rsidRPr="00636ACF">
        <w:rPr>
          <w:rFonts w:ascii="Times New Roman" w:hAnsi="Times New Roman" w:cs="Times New Roman"/>
          <w:color w:val="000000"/>
        </w:rPr>
        <w:t>in Patient</w:t>
      </w:r>
      <w:r w:rsidRPr="00636ACF">
        <w:rPr>
          <w:rFonts w:ascii="Times New Roman" w:hAnsi="Times New Roman" w:cs="Times New Roman"/>
          <w:color w:val="000000"/>
        </w:rPr>
        <w:t xml:space="preserve"> admissions post-discharge by 39.4%,</w:t>
      </w:r>
      <w:r w:rsidRPr="00636ACF">
        <w:rPr>
          <w:rFonts w:ascii="Times New Roman" w:hAnsi="Times New Roman" w:cs="Times New Roman"/>
          <w:color w:val="757575"/>
          <w:shd w:val="clear" w:color="auto" w:fill="FFFFFF"/>
        </w:rPr>
        <w:t> </w:t>
      </w:r>
      <w:r w:rsidRPr="00636ACF">
        <w:rPr>
          <w:rFonts w:ascii="Times New Roman" w:hAnsi="Times New Roman" w:cs="Times New Roman"/>
          <w:color w:val="000000"/>
          <w:shd w:val="clear" w:color="auto" w:fill="FFFFFF"/>
        </w:rPr>
        <w:t>a</w:t>
      </w:r>
      <w:r w:rsidRPr="00636ACF">
        <w:rPr>
          <w:rFonts w:ascii="Times New Roman" w:hAnsi="Times New Roman" w:cs="Times New Roman"/>
          <w:color w:val="000000"/>
          <w:shd w:val="clear" w:color="auto" w:fill="FFFFFF"/>
        </w:rPr>
        <w:t xml:space="preserve"> </w:t>
      </w:r>
      <w:r w:rsidRPr="00636ACF">
        <w:rPr>
          <w:rFonts w:ascii="Times New Roman" w:hAnsi="Times New Roman" w:cs="Times New Roman"/>
          <w:color w:val="000000"/>
          <w:shd w:val="clear" w:color="auto" w:fill="FFFFFF"/>
        </w:rPr>
        <w:t>3.1% reduction in ER visits, and a 5.3% reduction in ER visits leading to hospitalizations” (Manifest MedEx, n.d.).</w:t>
      </w:r>
    </w:p>
    <w:p w14:paraId="0B4C82E3" w14:textId="77777777" w:rsidR="0000601C" w:rsidRPr="00636ACF" w:rsidRDefault="0000601C" w:rsidP="00872303">
      <w:pPr>
        <w:spacing w:after="0" w:line="480" w:lineRule="auto"/>
        <w:ind w:firstLine="720"/>
        <w:rPr>
          <w:rFonts w:ascii="Times New Roman" w:hAnsi="Times New Roman" w:cs="Times New Roman"/>
          <w:color w:val="000000"/>
          <w:shd w:val="clear" w:color="auto" w:fill="FFFFFF"/>
        </w:rPr>
      </w:pPr>
    </w:p>
    <w:p w14:paraId="0A12C311" w14:textId="311470ED" w:rsidR="0000601C" w:rsidRPr="00636ACF" w:rsidRDefault="0000601C" w:rsidP="00FC41D0">
      <w:pPr>
        <w:pStyle w:val="NormalWeb"/>
        <w:spacing w:before="0" w:beforeAutospacing="0" w:after="0" w:afterAutospacing="0" w:line="480" w:lineRule="auto"/>
        <w:ind w:left="2160" w:firstLine="720"/>
        <w:jc w:val="both"/>
      </w:pPr>
      <w:r w:rsidRPr="00636ACF">
        <w:rPr>
          <w:b/>
          <w:bCs/>
          <w:color w:val="000000"/>
        </w:rPr>
        <w:lastRenderedPageBreak/>
        <w:t>Keystone</w:t>
      </w:r>
      <w:r w:rsidRPr="00636ACF">
        <w:rPr>
          <w:b/>
          <w:bCs/>
          <w:color w:val="000000"/>
        </w:rPr>
        <w:t xml:space="preserve"> and Geisinger Health</w:t>
      </w:r>
    </w:p>
    <w:p w14:paraId="0CD21143" w14:textId="46085648" w:rsidR="0000601C" w:rsidRPr="00636ACF" w:rsidRDefault="0000601C" w:rsidP="00FC41D0">
      <w:pPr>
        <w:spacing w:line="480" w:lineRule="auto"/>
        <w:jc w:val="both"/>
        <w:rPr>
          <w:rFonts w:ascii="Times New Roman" w:hAnsi="Times New Roman" w:cs="Times New Roman"/>
        </w:rPr>
      </w:pPr>
      <w:r w:rsidRPr="00636ACF">
        <w:rPr>
          <w:rFonts w:ascii="Times New Roman" w:hAnsi="Times New Roman" w:cs="Times New Roman"/>
          <w:shd w:val="clear" w:color="auto" w:fill="FFFFFF"/>
        </w:rPr>
        <w:t> </w:t>
      </w:r>
      <w:r w:rsidR="008A674E" w:rsidRPr="00636ACF">
        <w:rPr>
          <w:rFonts w:ascii="Times New Roman" w:hAnsi="Times New Roman" w:cs="Times New Roman"/>
          <w:shd w:val="clear" w:color="auto" w:fill="FFFFFF"/>
        </w:rPr>
        <w:tab/>
      </w:r>
      <w:r w:rsidRPr="00636ACF">
        <w:rPr>
          <w:rFonts w:ascii="Times New Roman" w:hAnsi="Times New Roman" w:cs="Times New Roman"/>
          <w:shd w:val="clear" w:color="auto" w:fill="FFFFFF"/>
        </w:rPr>
        <w:t xml:space="preserve">Keystone health information exchange (KeyHIE) was founded in 2005 by Geisinger Health to create a network for seamless exchange of information between organizations. Its Head office </w:t>
      </w:r>
      <w:r w:rsidRPr="00636ACF">
        <w:rPr>
          <w:rFonts w:ascii="Times New Roman" w:hAnsi="Times New Roman" w:cs="Times New Roman"/>
          <w:shd w:val="clear" w:color="auto" w:fill="FFFFFF"/>
        </w:rPr>
        <w:t>is in</w:t>
      </w:r>
      <w:r w:rsidRPr="00636ACF">
        <w:rPr>
          <w:rFonts w:ascii="Times New Roman" w:hAnsi="Times New Roman" w:cs="Times New Roman"/>
          <w:shd w:val="clear" w:color="auto" w:fill="FFFFFF"/>
        </w:rPr>
        <w:t xml:space="preserve"> Danville, Pennsylvania and “covers 5.8 million patients across States of New Jersey and </w:t>
      </w:r>
      <w:r w:rsidR="006C62C3" w:rsidRPr="00636ACF">
        <w:rPr>
          <w:rFonts w:ascii="Times New Roman" w:hAnsi="Times New Roman" w:cs="Times New Roman"/>
          <w:shd w:val="clear" w:color="auto" w:fill="FFFFFF"/>
        </w:rPr>
        <w:t>Pennsylvania” (</w:t>
      </w:r>
      <w:r w:rsidRPr="00636ACF">
        <w:rPr>
          <w:rFonts w:ascii="Times New Roman" w:hAnsi="Times New Roman" w:cs="Times New Roman"/>
          <w:shd w:val="clear" w:color="auto" w:fill="FFFFFF"/>
        </w:rPr>
        <w:t xml:space="preserve">KeyHIE, n.d.). Key HIE is built on the four key principles of Quality, Partnership, Interoperability and Security to improve the care delivery. It contains a broad range of products including quality services like CCDA Scorecard, Summary and Clinical Document Viewer, Role Based Notifications / Reminders and MyKeyCare.  Its key interoperability services include EHR Publisher, Direct Secure Messaging, </w:t>
      </w:r>
      <w:r w:rsidRPr="00636ACF">
        <w:rPr>
          <w:rFonts w:ascii="Times New Roman" w:hAnsi="Times New Roman" w:cs="Times New Roman"/>
          <w:shd w:val="clear" w:color="auto" w:fill="FFFFFF"/>
        </w:rPr>
        <w:t>KeyHieTransforms -</w:t>
      </w:r>
      <w:r w:rsidRPr="00636ACF">
        <w:rPr>
          <w:rFonts w:ascii="Times New Roman" w:hAnsi="Times New Roman" w:cs="Times New Roman"/>
          <w:shd w:val="clear" w:color="auto" w:fill="FFFFFF"/>
        </w:rPr>
        <w:t xml:space="preserve"> EMS Provides, LTPAC &amp; Home </w:t>
      </w:r>
      <w:r w:rsidR="006C62C3" w:rsidRPr="00636ACF">
        <w:rPr>
          <w:rFonts w:ascii="Times New Roman" w:hAnsi="Times New Roman" w:cs="Times New Roman"/>
          <w:shd w:val="clear" w:color="auto" w:fill="FFFFFF"/>
        </w:rPr>
        <w:t>Health,</w:t>
      </w:r>
      <w:r w:rsidRPr="00636ACF">
        <w:rPr>
          <w:rFonts w:ascii="Times New Roman" w:hAnsi="Times New Roman" w:cs="Times New Roman"/>
          <w:shd w:val="clear" w:color="auto" w:fill="FFFFFF"/>
        </w:rPr>
        <w:t xml:space="preserve"> eHealth Exchange Gateway - The Sequoia Project. It also includes some other services like ACO </w:t>
      </w:r>
      <w:r w:rsidRPr="00636ACF">
        <w:rPr>
          <w:rFonts w:ascii="Times New Roman" w:hAnsi="Times New Roman" w:cs="Times New Roman"/>
          <w:shd w:val="clear" w:color="auto" w:fill="FFFFFF"/>
        </w:rPr>
        <w:t>partnering,</w:t>
      </w:r>
      <w:r w:rsidRPr="00636ACF">
        <w:rPr>
          <w:rFonts w:ascii="Times New Roman" w:hAnsi="Times New Roman" w:cs="Times New Roman"/>
          <w:shd w:val="clear" w:color="auto" w:fill="FFFFFF"/>
        </w:rPr>
        <w:t xml:space="preserve"> Payor partnering (KeyHIE, n.d.).</w:t>
      </w:r>
    </w:p>
    <w:p w14:paraId="2C8B4192" w14:textId="64D53A11" w:rsidR="00FC41D0" w:rsidRPr="00636ACF" w:rsidRDefault="0000601C" w:rsidP="008A674E">
      <w:pPr>
        <w:spacing w:line="480" w:lineRule="auto"/>
        <w:ind w:firstLine="720"/>
        <w:jc w:val="both"/>
        <w:rPr>
          <w:rFonts w:ascii="Times New Roman" w:hAnsi="Times New Roman" w:cs="Times New Roman"/>
          <w:color w:val="202122"/>
          <w:shd w:val="clear" w:color="auto" w:fill="FFFFFF"/>
        </w:rPr>
      </w:pPr>
      <w:r w:rsidRPr="00636ACF">
        <w:rPr>
          <w:rFonts w:ascii="Times New Roman" w:hAnsi="Times New Roman" w:cs="Times New Roman"/>
          <w:shd w:val="clear" w:color="auto" w:fill="FFFFFF"/>
        </w:rPr>
        <w:t>Geisinger Health i</w:t>
      </w:r>
      <w:r w:rsidRPr="00636ACF">
        <w:rPr>
          <w:rFonts w:ascii="Times New Roman" w:hAnsi="Times New Roman" w:cs="Times New Roman"/>
          <w:color w:val="202122"/>
          <w:shd w:val="clear" w:color="auto" w:fill="FFFFFF"/>
        </w:rPr>
        <w:t>s an integrated health system providing care to 4.2 million patients. It comprises 134 care sites and 10 hospital campuses and mainly operates in central, south-central and northeastern</w:t>
      </w:r>
      <w:r w:rsidRPr="00636ACF">
        <w:rPr>
          <w:rFonts w:ascii="Times New Roman" w:hAnsi="Times New Roman" w:cs="Times New Roman"/>
        </w:rPr>
        <w:t xml:space="preserve"> </w:t>
      </w:r>
      <w:r w:rsidR="006C62C3" w:rsidRPr="00636ACF">
        <w:rPr>
          <w:rFonts w:ascii="Times New Roman" w:hAnsi="Times New Roman" w:cs="Times New Roman"/>
        </w:rPr>
        <w:t xml:space="preserve">Pennsylvania </w:t>
      </w:r>
      <w:r w:rsidRPr="00636ACF">
        <w:rPr>
          <w:rFonts w:ascii="Times New Roman" w:hAnsi="Times New Roman" w:cs="Times New Roman"/>
          <w:color w:val="202122"/>
          <w:shd w:val="clear" w:color="auto" w:fill="FFFFFF"/>
        </w:rPr>
        <w:t>regions (Highmark Health, 2024). It operates in 45 counties in Pennsylvania and in 7 counties in southern New Jersey. Geisinger Health serves rural populations as well where 32 counties of 45 are rural counties (AcademyHealth, n.d.). It provides comprehensive healthcare services along with telehealth services, and behavioral health services</w:t>
      </w:r>
      <w:r w:rsidR="00FC41D0" w:rsidRPr="00636ACF">
        <w:rPr>
          <w:rFonts w:ascii="Times New Roman" w:hAnsi="Times New Roman" w:cs="Times New Roman"/>
          <w:color w:val="202122"/>
          <w:shd w:val="clear" w:color="auto" w:fill="FFFFFF"/>
        </w:rPr>
        <w:t>.</w:t>
      </w:r>
    </w:p>
    <w:p w14:paraId="24C9AC47" w14:textId="29CB0E7F" w:rsidR="00A84519" w:rsidRPr="00A84519" w:rsidRDefault="00A84519" w:rsidP="008A674E">
      <w:pPr>
        <w:spacing w:after="0" w:line="480" w:lineRule="auto"/>
        <w:ind w:firstLine="720"/>
        <w:jc w:val="both"/>
        <w:rPr>
          <w:rFonts w:ascii="Times New Roman" w:eastAsia="Times New Roman" w:hAnsi="Times New Roman" w:cs="Times New Roman"/>
          <w:lang w:eastAsia="en-US"/>
        </w:rPr>
      </w:pPr>
      <w:r w:rsidRPr="00A84519">
        <w:rPr>
          <w:rFonts w:ascii="Times New Roman" w:eastAsia="Times New Roman" w:hAnsi="Times New Roman" w:cs="Times New Roman"/>
          <w:color w:val="202122"/>
          <w:shd w:val="clear" w:color="auto" w:fill="FFFFFF"/>
          <w:lang w:eastAsia="en-US"/>
        </w:rPr>
        <w:t xml:space="preserve">Geisinger Health using KeyHIEs Information Delivery Service (IDS) which sends real-time alerts to the care givers when a patient gets admitted or discharged has seen IDS saved more than an hour per day for the nurses which allowed them to focus on providing care to other patients in need of care and also discuss further treatments with the care providers for the patients who had an event to avoid complications and readmission rates. These Information Delivery Services also identify the patients at risk and gather the data and consolidate in a single record that helps care </w:t>
      </w:r>
      <w:r w:rsidRPr="00A84519">
        <w:rPr>
          <w:rFonts w:ascii="Times New Roman" w:eastAsia="Times New Roman" w:hAnsi="Times New Roman" w:cs="Times New Roman"/>
          <w:color w:val="202122"/>
          <w:shd w:val="clear" w:color="auto" w:fill="FFFFFF"/>
          <w:lang w:eastAsia="en-US"/>
        </w:rPr>
        <w:lastRenderedPageBreak/>
        <w:t>providers and Accountable care organizations (ACO) support Population Health Management (Siwicki, 2016). A 2019 annual report of KeyHIE showed that they had health records of 6.2 million patients and 312K accesses by different providers to view the records. This reflects that KeyHIE enhances care coordination by avoiding repeating of tests, reducing medical errors and supporting population health management (Keystone Health Information Exchange, 2019). </w:t>
      </w:r>
    </w:p>
    <w:p w14:paraId="67E2DC8F" w14:textId="77777777" w:rsidR="00A84519" w:rsidRPr="00A84519" w:rsidRDefault="00A84519" w:rsidP="00A84519">
      <w:pPr>
        <w:spacing w:after="0" w:line="240" w:lineRule="auto"/>
        <w:rPr>
          <w:rFonts w:ascii="Times New Roman" w:eastAsia="Times New Roman" w:hAnsi="Times New Roman" w:cs="Times New Roman"/>
          <w:lang w:eastAsia="en-US"/>
        </w:rPr>
      </w:pPr>
    </w:p>
    <w:p w14:paraId="6731F927" w14:textId="77777777" w:rsidR="00697ADA" w:rsidRPr="00636ACF" w:rsidRDefault="00697ADA" w:rsidP="008A674E">
      <w:pPr>
        <w:spacing w:after="0" w:line="480" w:lineRule="auto"/>
        <w:jc w:val="both"/>
        <w:rPr>
          <w:rFonts w:ascii="Times New Roman" w:hAnsi="Times New Roman" w:cs="Times New Roman"/>
          <w:color w:val="202122"/>
          <w:shd w:val="clear" w:color="auto" w:fill="FFFFFF"/>
        </w:rPr>
      </w:pPr>
    </w:p>
    <w:p w14:paraId="4D860E0C" w14:textId="1782A127" w:rsidR="001E2D72" w:rsidRPr="00697ADA" w:rsidRDefault="00697ADA" w:rsidP="00B0241F">
      <w:pPr>
        <w:spacing w:after="0" w:line="480" w:lineRule="auto"/>
        <w:ind w:left="3600"/>
        <w:jc w:val="both"/>
        <w:rPr>
          <w:rFonts w:ascii="Times New Roman" w:eastAsia="Times New Roman" w:hAnsi="Times New Roman" w:cs="Times New Roman"/>
          <w:b/>
          <w:bCs/>
          <w:color w:val="000000"/>
          <w:lang w:eastAsia="en-US"/>
        </w:rPr>
      </w:pPr>
      <w:r w:rsidRPr="00697ADA">
        <w:rPr>
          <w:rFonts w:ascii="Times New Roman" w:eastAsia="Times New Roman" w:hAnsi="Times New Roman" w:cs="Times New Roman"/>
          <w:b/>
          <w:bCs/>
          <w:color w:val="000000"/>
          <w:lang w:eastAsia="en-US"/>
        </w:rPr>
        <w:t>Conclusion</w:t>
      </w:r>
    </w:p>
    <w:p w14:paraId="4D522874" w14:textId="5C930840" w:rsidR="00697ADA" w:rsidRPr="00697ADA" w:rsidRDefault="00697ADA" w:rsidP="00697ADA">
      <w:pPr>
        <w:spacing w:after="0" w:line="480" w:lineRule="auto"/>
        <w:ind w:firstLine="720"/>
        <w:jc w:val="both"/>
        <w:rPr>
          <w:rFonts w:ascii="Times New Roman" w:eastAsia="Times New Roman" w:hAnsi="Times New Roman" w:cs="Times New Roman"/>
          <w:lang w:eastAsia="en-US"/>
        </w:rPr>
      </w:pPr>
      <w:r w:rsidRPr="00697ADA">
        <w:rPr>
          <w:rFonts w:ascii="Times New Roman" w:eastAsia="Times New Roman" w:hAnsi="Times New Roman" w:cs="Times New Roman"/>
          <w:color w:val="000000"/>
          <w:lang w:eastAsia="en-US"/>
        </w:rPr>
        <w:t xml:space="preserve">The adoption and coverage of HIE has been growing significantly since the last few years. With the help of QHINs, TEFCA and other national bodies are driving HIE towards a model where the majority of HIE networks are connected to each other facilitating health information exchange between everyone in the network eliminating any information silos that exist today. All the information exchanged via HIE's does follow data standards and federal security protocols in place for </w:t>
      </w:r>
      <w:r w:rsidRPr="00636ACF">
        <w:rPr>
          <w:rFonts w:ascii="Times New Roman" w:eastAsia="Times New Roman" w:hAnsi="Times New Roman" w:cs="Times New Roman"/>
          <w:color w:val="000000"/>
          <w:lang w:eastAsia="en-US"/>
        </w:rPr>
        <w:t>interoperability,</w:t>
      </w:r>
      <w:r w:rsidRPr="00697ADA">
        <w:rPr>
          <w:rFonts w:ascii="Times New Roman" w:eastAsia="Times New Roman" w:hAnsi="Times New Roman" w:cs="Times New Roman"/>
          <w:color w:val="000000"/>
          <w:lang w:eastAsia="en-US"/>
        </w:rPr>
        <w:t xml:space="preserve"> patient privacy and security. A nationwide connected HIE can reduce care gaps, promote public health research to build a patient centered health care. </w:t>
      </w:r>
    </w:p>
    <w:p w14:paraId="63E6C314" w14:textId="3211B00F" w:rsidR="00697ADA" w:rsidRPr="00697ADA" w:rsidRDefault="00697ADA" w:rsidP="00697ADA">
      <w:pPr>
        <w:spacing w:after="0" w:line="480" w:lineRule="auto"/>
        <w:ind w:firstLine="720"/>
        <w:jc w:val="both"/>
        <w:rPr>
          <w:rFonts w:ascii="Times New Roman" w:eastAsia="Times New Roman" w:hAnsi="Times New Roman" w:cs="Times New Roman"/>
          <w:lang w:eastAsia="en-US"/>
        </w:rPr>
      </w:pPr>
      <w:r w:rsidRPr="00697ADA">
        <w:rPr>
          <w:rFonts w:ascii="Times New Roman" w:eastAsia="Times New Roman" w:hAnsi="Times New Roman" w:cs="Times New Roman"/>
          <w:color w:val="000000"/>
          <w:lang w:eastAsia="en-US"/>
        </w:rPr>
        <w:t xml:space="preserve">Integrating secure technology and automation tools to HIE should further bring down the administrative burden. A significant portion of health data is unstructured text, like clinical </w:t>
      </w:r>
      <w:r w:rsidRPr="00636ACF">
        <w:rPr>
          <w:rFonts w:ascii="Times New Roman" w:eastAsia="Times New Roman" w:hAnsi="Times New Roman" w:cs="Times New Roman"/>
          <w:color w:val="000000"/>
          <w:lang w:eastAsia="en-US"/>
        </w:rPr>
        <w:t>notes,</w:t>
      </w:r>
      <w:r w:rsidRPr="00697ADA">
        <w:rPr>
          <w:rFonts w:ascii="Times New Roman" w:eastAsia="Times New Roman" w:hAnsi="Times New Roman" w:cs="Times New Roman"/>
          <w:color w:val="000000"/>
          <w:lang w:eastAsia="en-US"/>
        </w:rPr>
        <w:t xml:space="preserve"> discharge notes and reports that cannot be fully ingested and translated by HIE.  Integrating AI and Machine Learning into HIE can help identify inconsistencies and anomalies in data at real time, improving and helping clinical decisions support systems.  Integration of the AI to the health care </w:t>
      </w:r>
      <w:r w:rsidRPr="00636ACF">
        <w:rPr>
          <w:rFonts w:ascii="Times New Roman" w:eastAsia="Times New Roman" w:hAnsi="Times New Roman" w:cs="Times New Roman"/>
          <w:color w:val="000000"/>
          <w:lang w:eastAsia="en-US"/>
        </w:rPr>
        <w:t>ecosystem,</w:t>
      </w:r>
      <w:r w:rsidRPr="00697ADA">
        <w:rPr>
          <w:rFonts w:ascii="Times New Roman" w:eastAsia="Times New Roman" w:hAnsi="Times New Roman" w:cs="Times New Roman"/>
          <w:color w:val="000000"/>
          <w:lang w:eastAsia="en-US"/>
        </w:rPr>
        <w:t xml:space="preserve"> requires stricter laws and security standards to ensure patient's privacy and data are not violated. </w:t>
      </w:r>
    </w:p>
    <w:p w14:paraId="46802930" w14:textId="77777777" w:rsidR="008A674E" w:rsidRPr="00636ACF" w:rsidRDefault="008A674E" w:rsidP="003B0D86">
      <w:pPr>
        <w:pStyle w:val="NormalWeb"/>
        <w:spacing w:before="0" w:beforeAutospacing="0" w:after="0" w:afterAutospacing="0" w:line="480" w:lineRule="auto"/>
        <w:ind w:left="3600"/>
        <w:rPr>
          <w:b/>
          <w:bCs/>
          <w:color w:val="000000"/>
        </w:rPr>
      </w:pPr>
    </w:p>
    <w:p w14:paraId="7A2BCDDE" w14:textId="77777777" w:rsidR="008A674E" w:rsidRPr="00636ACF" w:rsidRDefault="008A674E" w:rsidP="003B0D86">
      <w:pPr>
        <w:pStyle w:val="NormalWeb"/>
        <w:spacing w:before="0" w:beforeAutospacing="0" w:after="0" w:afterAutospacing="0" w:line="480" w:lineRule="auto"/>
        <w:ind w:left="3600"/>
        <w:rPr>
          <w:b/>
          <w:bCs/>
          <w:color w:val="000000"/>
        </w:rPr>
      </w:pPr>
    </w:p>
    <w:p w14:paraId="028827A7" w14:textId="454997B3" w:rsidR="00881298" w:rsidRPr="00636ACF" w:rsidRDefault="00881298" w:rsidP="003B0D86">
      <w:pPr>
        <w:pStyle w:val="NormalWeb"/>
        <w:spacing w:before="0" w:beforeAutospacing="0" w:after="0" w:afterAutospacing="0" w:line="480" w:lineRule="auto"/>
        <w:ind w:left="3600"/>
        <w:rPr>
          <w:b/>
          <w:bCs/>
          <w:color w:val="000000"/>
        </w:rPr>
      </w:pPr>
      <w:r w:rsidRPr="00636ACF">
        <w:rPr>
          <w:b/>
          <w:bCs/>
          <w:color w:val="000000"/>
        </w:rPr>
        <w:lastRenderedPageBreak/>
        <w:t>References</w:t>
      </w:r>
    </w:p>
    <w:p w14:paraId="796BA5D2" w14:textId="33DA95B6" w:rsidR="00EC0138" w:rsidRPr="00636ACF" w:rsidRDefault="00974CC3" w:rsidP="00242A56">
      <w:pPr>
        <w:pStyle w:val="NormalWeb"/>
        <w:snapToGrid w:val="0"/>
        <w:spacing w:before="0" w:beforeAutospacing="0" w:after="0" w:afterAutospacing="0" w:line="480" w:lineRule="auto"/>
        <w:ind w:left="720" w:hanging="720"/>
        <w:jc w:val="both"/>
        <w:textAlignment w:val="baseline"/>
        <w:rPr>
          <w:color w:val="000000"/>
        </w:rPr>
      </w:pPr>
      <w:r w:rsidRPr="00636ACF">
        <w:rPr>
          <w:color w:val="000000"/>
        </w:rPr>
        <w:t xml:space="preserve">AcademyHealth. (n.d.). </w:t>
      </w:r>
      <w:r w:rsidRPr="00636ACF">
        <w:rPr>
          <w:i/>
          <w:iCs/>
          <w:color w:val="000000"/>
        </w:rPr>
        <w:t>Geisinger Health System</w:t>
      </w:r>
      <w:r w:rsidRPr="00636ACF">
        <w:rPr>
          <w:color w:val="000000"/>
        </w:rPr>
        <w:t>.</w:t>
      </w:r>
      <w:hyperlink r:id="rId10" w:history="1">
        <w:r w:rsidRPr="00636ACF">
          <w:rPr>
            <w:rStyle w:val="Hyperlink"/>
            <w:color w:val="000000"/>
          </w:rPr>
          <w:t xml:space="preserve"> </w:t>
        </w:r>
        <w:r w:rsidRPr="00636ACF">
          <w:rPr>
            <w:rStyle w:val="Hyperlink"/>
            <w:color w:val="1155CC"/>
          </w:rPr>
          <w:t>https://academyhealth.org/page/geisinger-health-system</w:t>
        </w:r>
      </w:hyperlink>
    </w:p>
    <w:p w14:paraId="2E679359" w14:textId="751D2043" w:rsidR="00881298" w:rsidRPr="00636ACF" w:rsidRDefault="00881298" w:rsidP="00242A56">
      <w:pPr>
        <w:spacing w:after="0" w:line="480" w:lineRule="auto"/>
        <w:ind w:left="720" w:hanging="720"/>
        <w:jc w:val="both"/>
        <w:rPr>
          <w:rFonts w:ascii="Times New Roman" w:hAnsi="Times New Roman" w:cs="Times New Roman"/>
        </w:rPr>
      </w:pPr>
      <w:r w:rsidRPr="00636ACF">
        <w:rPr>
          <w:rFonts w:ascii="Times New Roman" w:hAnsi="Times New Roman" w:cs="Times New Roman"/>
        </w:rPr>
        <w:t xml:space="preserve">Adventist Health. (n.d.). </w:t>
      </w:r>
      <w:r w:rsidRPr="00636ACF">
        <w:rPr>
          <w:rFonts w:ascii="Times New Roman" w:hAnsi="Times New Roman" w:cs="Times New Roman"/>
          <w:i/>
          <w:iCs/>
        </w:rPr>
        <w:t>Adventist Health Care Network</w:t>
      </w:r>
      <w:r w:rsidRPr="00636ACF">
        <w:rPr>
          <w:rFonts w:ascii="Times New Roman" w:hAnsi="Times New Roman" w:cs="Times New Roman"/>
        </w:rPr>
        <w:t>.</w:t>
      </w:r>
      <w:hyperlink r:id="rId11" w:history="1">
        <w:r w:rsidRPr="00636ACF">
          <w:rPr>
            <w:rStyle w:val="Hyperlink"/>
            <w:rFonts w:ascii="Times New Roman" w:hAnsi="Times New Roman" w:cs="Times New Roman"/>
            <w:color w:val="000000"/>
          </w:rPr>
          <w:t xml:space="preserve"> </w:t>
        </w:r>
        <w:r w:rsidRPr="00636ACF">
          <w:rPr>
            <w:rStyle w:val="Hyperlink"/>
            <w:rFonts w:ascii="Times New Roman" w:hAnsi="Times New Roman" w:cs="Times New Roman"/>
            <w:color w:val="1155CC"/>
          </w:rPr>
          <w:t>h</w:t>
        </w:r>
        <w:r w:rsidRPr="00636ACF">
          <w:rPr>
            <w:rStyle w:val="Hyperlink"/>
            <w:rFonts w:ascii="Times New Roman" w:hAnsi="Times New Roman" w:cs="Times New Roman"/>
            <w:color w:val="1155CC"/>
          </w:rPr>
          <w:t>ttps://www.adventisthealth.org/about-us/adventist-health-care-network</w:t>
        </w:r>
      </w:hyperlink>
    </w:p>
    <w:p w14:paraId="568C7E4B" w14:textId="77777777" w:rsidR="00881298" w:rsidRPr="00636ACF" w:rsidRDefault="00881298" w:rsidP="00242A56">
      <w:pPr>
        <w:spacing w:after="0" w:line="480" w:lineRule="auto"/>
        <w:ind w:left="720" w:hanging="720"/>
        <w:jc w:val="both"/>
        <w:rPr>
          <w:rFonts w:ascii="Times New Roman" w:hAnsi="Times New Roman" w:cs="Times New Roman"/>
        </w:rPr>
      </w:pPr>
      <w:r w:rsidRPr="00636ACF">
        <w:rPr>
          <w:rFonts w:ascii="Times New Roman" w:hAnsi="Times New Roman" w:cs="Times New Roman"/>
        </w:rPr>
        <w:t xml:space="preserve">American Institute of Healthcare Compliance. (n.d.). </w:t>
      </w:r>
      <w:r w:rsidRPr="00636ACF">
        <w:rPr>
          <w:rFonts w:ascii="Times New Roman" w:hAnsi="Times New Roman" w:cs="Times New Roman"/>
          <w:i/>
          <w:iCs/>
        </w:rPr>
        <w:t>Part 1: CMS interoperability framework project: Should we be concerned?</w:t>
      </w:r>
      <w:hyperlink r:id="rId12" w:history="1">
        <w:r w:rsidRPr="00636ACF">
          <w:rPr>
            <w:rStyle w:val="Hyperlink"/>
            <w:rFonts w:ascii="Times New Roman" w:hAnsi="Times New Roman" w:cs="Times New Roman"/>
            <w:color w:val="000000"/>
          </w:rPr>
          <w:t xml:space="preserve"> </w:t>
        </w:r>
      </w:hyperlink>
      <w:hyperlink r:id="rId13" w:history="1">
        <w:r w:rsidRPr="00636ACF">
          <w:rPr>
            <w:rStyle w:val="Hyperlink"/>
            <w:rFonts w:ascii="Times New Roman" w:hAnsi="Times New Roman" w:cs="Times New Roman"/>
            <w:color w:val="1155CC"/>
          </w:rPr>
          <w:t>https://aihc-assn.org/cms-interoperability-framework-project-should-we-be-concerned/</w:t>
        </w:r>
      </w:hyperlink>
    </w:p>
    <w:p w14:paraId="66D5EF97" w14:textId="77777777" w:rsidR="00881298" w:rsidRPr="00636ACF" w:rsidRDefault="00881298" w:rsidP="00242A56">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Bates, D. W., &amp; Samal, L. (2018). Interoperability: What is it, how can we make it work for clinicians, and how should we measure it in the future? </w:t>
      </w:r>
      <w:r w:rsidRPr="00636ACF">
        <w:rPr>
          <w:i/>
          <w:iCs/>
          <w:color w:val="000000"/>
        </w:rPr>
        <w:t>Health Services Research, 53</w:t>
      </w:r>
      <w:r w:rsidRPr="00636ACF">
        <w:rPr>
          <w:color w:val="000000"/>
        </w:rPr>
        <w:t xml:space="preserve">(5), 3270–3277. </w:t>
      </w:r>
      <w:hyperlink r:id="rId14" w:history="1">
        <w:r w:rsidRPr="00636ACF">
          <w:rPr>
            <w:rStyle w:val="Hyperlink"/>
            <w:color w:val="1155CC"/>
          </w:rPr>
          <w:t>https://doi.org/10.1111/1475-6773.12852</w:t>
        </w:r>
      </w:hyperlink>
    </w:p>
    <w:p w14:paraId="385566B9" w14:textId="77777777" w:rsidR="00881298" w:rsidRPr="00636ACF" w:rsidRDefault="00881298" w:rsidP="00242A56">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Bria, A. (2025, October 20). </w:t>
      </w:r>
      <w:r w:rsidRPr="00636ACF">
        <w:rPr>
          <w:i/>
          <w:iCs/>
          <w:color w:val="000000"/>
        </w:rPr>
        <w:t>History of health information exchange, evolution and impact</w:t>
      </w:r>
      <w:r w:rsidRPr="00636ACF">
        <w:rPr>
          <w:color w:val="000000"/>
        </w:rPr>
        <w:t>. Medicai Blog.</w:t>
      </w:r>
      <w:hyperlink r:id="rId15" w:history="1">
        <w:r w:rsidRPr="00636ACF">
          <w:rPr>
            <w:rStyle w:val="Hyperlink"/>
            <w:color w:val="000000"/>
          </w:rPr>
          <w:t xml:space="preserve"> </w:t>
        </w:r>
      </w:hyperlink>
      <w:hyperlink r:id="rId16" w:history="1">
        <w:r w:rsidRPr="00636ACF">
          <w:rPr>
            <w:rStyle w:val="Hyperlink"/>
            <w:color w:val="1155CC"/>
          </w:rPr>
          <w:t>https://blog.medicai.io/en/history-of-health-information-exchange/</w:t>
        </w:r>
      </w:hyperlink>
    </w:p>
    <w:p w14:paraId="3F528C24" w14:textId="77777777" w:rsidR="00881298" w:rsidRPr="00636ACF" w:rsidRDefault="00881298" w:rsidP="00242A56">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California Health Care Foundation. (2025, July 9). </w:t>
      </w:r>
      <w:r w:rsidRPr="00636ACF">
        <w:rPr>
          <w:i/>
          <w:iCs/>
          <w:color w:val="000000"/>
        </w:rPr>
        <w:t>Health data exchange drives efficiency and cuts costs</w:t>
      </w:r>
      <w:r w:rsidRPr="00636ACF">
        <w:rPr>
          <w:color w:val="000000"/>
        </w:rPr>
        <w:t>.</w:t>
      </w:r>
      <w:hyperlink r:id="rId17" w:history="1">
        <w:r w:rsidRPr="00636ACF">
          <w:rPr>
            <w:rStyle w:val="Hyperlink"/>
            <w:color w:val="000000"/>
          </w:rPr>
          <w:t xml:space="preserve"> </w:t>
        </w:r>
        <w:r w:rsidRPr="00636ACF">
          <w:rPr>
            <w:rStyle w:val="Hyperlink"/>
            <w:color w:val="1155CC"/>
          </w:rPr>
          <w:t>https://www.chcf.org/resource/health-data-exchange-drives-efficiency-cuts-costs</w:t>
        </w:r>
      </w:hyperlink>
    </w:p>
    <w:p w14:paraId="5CD71F1D" w14:textId="77777777" w:rsidR="00881298" w:rsidRPr="00636ACF" w:rsidRDefault="00881298" w:rsidP="00242A56">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Carequality. (2021, July 12). </w:t>
      </w:r>
      <w:r w:rsidRPr="00636ACF">
        <w:rPr>
          <w:i/>
          <w:iCs/>
          <w:color w:val="000000"/>
        </w:rPr>
        <w:t>Query-Based Document Exchange Implementation Guide (v2.0)</w:t>
      </w:r>
      <w:r w:rsidRPr="00636ACF">
        <w:rPr>
          <w:color w:val="000000"/>
        </w:rPr>
        <w:t xml:space="preserve"> [PDF]. Retrieved from</w:t>
      </w:r>
      <w:hyperlink r:id="rId18" w:history="1">
        <w:r w:rsidRPr="00636ACF">
          <w:rPr>
            <w:rStyle w:val="Hyperlink"/>
            <w:color w:val="000000"/>
          </w:rPr>
          <w:t xml:space="preserve"> </w:t>
        </w:r>
      </w:hyperlink>
      <w:hyperlink r:id="rId19" w:history="1">
        <w:r w:rsidRPr="00636ACF">
          <w:rPr>
            <w:rStyle w:val="Hyperlink"/>
            <w:color w:val="1155CC"/>
          </w:rPr>
          <w:t>https://carequality.org/wp-content/uploads/2021/07/Query-Based-Document-Exchange-Implementation-Guide-v2.0-Published-07122021-1.pdf</w:t>
        </w:r>
      </w:hyperlink>
    </w:p>
    <w:p w14:paraId="43D173CD" w14:textId="77777777" w:rsidR="00881298" w:rsidRPr="00636ACF" w:rsidRDefault="00881298" w:rsidP="00242A56">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ChartRequest. (2025, June 20). </w:t>
      </w:r>
      <w:r w:rsidRPr="00636ACF">
        <w:rPr>
          <w:i/>
          <w:iCs/>
          <w:color w:val="000000"/>
        </w:rPr>
        <w:t>What Is the Trusted Exchange Framework and Common Agreement(TEFCA)</w:t>
      </w:r>
      <w:r w:rsidRPr="00636ACF">
        <w:rPr>
          <w:color w:val="000000"/>
        </w:rPr>
        <w:t>ChartRequest.</w:t>
      </w:r>
      <w:hyperlink r:id="rId20" w:history="1">
        <w:r w:rsidRPr="00636ACF">
          <w:rPr>
            <w:rStyle w:val="Hyperlink"/>
            <w:color w:val="1155CC"/>
          </w:rPr>
          <w:t>https://chartrequest.com/articles/tefca-trusted-exchange-framework</w:t>
        </w:r>
      </w:hyperlink>
    </w:p>
    <w:p w14:paraId="55545843"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lastRenderedPageBreak/>
        <w:t xml:space="preserve">Centers for Medicare &amp; Medicaid Services. (2025, July 31). </w:t>
      </w:r>
      <w:r w:rsidRPr="00636ACF">
        <w:rPr>
          <w:i/>
          <w:iCs/>
          <w:color w:val="000000"/>
        </w:rPr>
        <w:t>Interoperability Framework</w:t>
      </w:r>
      <w:r w:rsidRPr="00636ACF">
        <w:rPr>
          <w:color w:val="000000"/>
        </w:rPr>
        <w:t>.</w:t>
      </w:r>
      <w:hyperlink r:id="rId21" w:history="1">
        <w:r w:rsidRPr="00636ACF">
          <w:rPr>
            <w:rStyle w:val="Hyperlink"/>
            <w:color w:val="000000"/>
          </w:rPr>
          <w:t xml:space="preserve"> </w:t>
        </w:r>
        <w:r w:rsidRPr="00636ACF">
          <w:rPr>
            <w:rStyle w:val="Hyperlink"/>
            <w:color w:val="1155CC"/>
          </w:rPr>
          <w:t>https://www.cms.gov/health-technology-ecosystem/interoperability-framework</w:t>
        </w:r>
      </w:hyperlink>
      <w:hyperlink r:id="rId22" w:history="1">
        <w:r w:rsidRPr="00636ACF">
          <w:rPr>
            <w:rStyle w:val="Hyperlink"/>
            <w:color w:val="000000"/>
          </w:rPr>
          <w:t xml:space="preserve"> </w:t>
        </w:r>
        <w:r w:rsidRPr="00636ACF">
          <w:rPr>
            <w:rStyle w:val="Hyperlink"/>
            <w:color w:val="1155CC"/>
          </w:rPr>
          <w:t>cms.gov</w:t>
        </w:r>
      </w:hyperlink>
    </w:p>
    <w:p w14:paraId="1FCAE58C"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Civitas Networks for Health. (2023). </w:t>
      </w:r>
      <w:r w:rsidRPr="00636ACF">
        <w:rPr>
          <w:i/>
          <w:iCs/>
          <w:color w:val="000000"/>
        </w:rPr>
        <w:t>Using health information exchange to support public health agencies</w:t>
      </w:r>
      <w:r w:rsidRPr="00636ACF">
        <w:rPr>
          <w:color w:val="000000"/>
        </w:rPr>
        <w:t xml:space="preserve"> [Issue brief].</w:t>
      </w:r>
      <w:hyperlink r:id="rId23" w:history="1">
        <w:r w:rsidRPr="00636ACF">
          <w:rPr>
            <w:rStyle w:val="Hyperlink"/>
            <w:color w:val="000000"/>
          </w:rPr>
          <w:t xml:space="preserve"> </w:t>
        </w:r>
      </w:hyperlink>
      <w:hyperlink r:id="rId24" w:history="1">
        <w:r w:rsidRPr="00636ACF">
          <w:rPr>
            <w:rStyle w:val="Hyperlink"/>
            <w:color w:val="1155CC"/>
          </w:rPr>
          <w:t>https://www.civitasforhealth.org/wp-content/uploads/2023/01/02-Using-HIE-to-Support-Public-Health-Agencies-FINAL.pdf</w:t>
        </w:r>
      </w:hyperlink>
    </w:p>
    <w:p w14:paraId="45D4F238"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Civitas Networks for Health. (2025). </w:t>
      </w:r>
      <w:r w:rsidRPr="00636ACF">
        <w:rPr>
          <w:i/>
          <w:iCs/>
          <w:color w:val="000000"/>
        </w:rPr>
        <w:t>Health Information Exchange: Things to consider</w:t>
      </w:r>
      <w:r w:rsidRPr="00636ACF">
        <w:rPr>
          <w:color w:val="000000"/>
        </w:rPr>
        <w:t>.</w:t>
      </w:r>
      <w:hyperlink r:id="rId25" w:history="1">
        <w:r w:rsidRPr="00636ACF">
          <w:rPr>
            <w:rStyle w:val="Hyperlink"/>
            <w:color w:val="000000"/>
          </w:rPr>
          <w:t xml:space="preserve"> </w:t>
        </w:r>
      </w:hyperlink>
      <w:hyperlink r:id="rId26" w:history="1">
        <w:r w:rsidRPr="00636ACF">
          <w:rPr>
            <w:rStyle w:val="Hyperlink"/>
            <w:color w:val="1155CC"/>
          </w:rPr>
          <w:t>https://civitasforhealth.org/health-information-exchange/#</w:t>
        </w:r>
      </w:hyperlink>
    </w:p>
    <w:p w14:paraId="155D1754"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Definitive Healthcare. (2025, November 21). </w:t>
      </w:r>
      <w:r w:rsidRPr="00636ACF">
        <w:rPr>
          <w:i/>
          <w:iCs/>
          <w:color w:val="000000"/>
        </w:rPr>
        <w:t>Health Information Service Provider (HISP)</w:t>
      </w:r>
      <w:r w:rsidRPr="00636ACF">
        <w:rPr>
          <w:color w:val="000000"/>
        </w:rPr>
        <w:t xml:space="preserve">. Retrieved from </w:t>
      </w:r>
      <w:hyperlink r:id="rId27" w:history="1">
        <w:r w:rsidRPr="00636ACF">
          <w:rPr>
            <w:rStyle w:val="Hyperlink"/>
            <w:color w:val="1155CC"/>
          </w:rPr>
          <w:t>https://www.definitivehc.com/resources/glossary/health-information-service-provider</w:t>
        </w:r>
      </w:hyperlink>
    </w:p>
    <w:p w14:paraId="2F54A1D9"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Dixon, B. E., Zafar, A., &amp; Overhage, J. M. (2010). A framework for evaluating the costs, effort, and value of nationwide health information exchange. </w:t>
      </w:r>
      <w:r w:rsidRPr="00636ACF">
        <w:rPr>
          <w:i/>
          <w:iCs/>
          <w:color w:val="000000"/>
        </w:rPr>
        <w:t>Journal of the American Medical Informatics Association, 17</w:t>
      </w:r>
      <w:r w:rsidRPr="00636ACF">
        <w:rPr>
          <w:color w:val="000000"/>
        </w:rPr>
        <w:t xml:space="preserve">(3), 295–301. </w:t>
      </w:r>
      <w:hyperlink r:id="rId28" w:history="1">
        <w:r w:rsidRPr="00636ACF">
          <w:rPr>
            <w:rStyle w:val="Hyperlink"/>
            <w:color w:val="1155CC"/>
          </w:rPr>
          <w:t>https://doi.org/10.1136/jamia.2009.000570</w:t>
        </w:r>
      </w:hyperlink>
    </w:p>
    <w:p w14:paraId="5CD1BB60"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Esmaeilzadeh, P. (2023). </w:t>
      </w:r>
      <w:r w:rsidRPr="00636ACF">
        <w:rPr>
          <w:i/>
          <w:iCs/>
          <w:color w:val="000000"/>
        </w:rPr>
        <w:t>Evolution of health information sharing between health care organizations: Potential of nonfungible tokens</w:t>
      </w:r>
      <w:r w:rsidRPr="00636ACF">
        <w:rPr>
          <w:color w:val="000000"/>
        </w:rPr>
        <w:t xml:space="preserve">. Interactive Journal of Medical Research, 12, e42685. </w:t>
      </w:r>
      <w:hyperlink r:id="rId29" w:history="1">
        <w:r w:rsidRPr="00636ACF">
          <w:rPr>
            <w:rStyle w:val="Hyperlink"/>
            <w:color w:val="1155CC"/>
          </w:rPr>
          <w:t>https://doi.org/10.2196/42685</w:t>
        </w:r>
      </w:hyperlink>
    </w:p>
    <w:p w14:paraId="750E3EE5" w14:textId="77777777" w:rsidR="00881298"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Esmaeilzadeh, P., Dharanikota, S., &amp; Mirzaei, T. (2024). </w:t>
      </w:r>
      <w:r w:rsidRPr="00636ACF">
        <w:rPr>
          <w:i/>
          <w:iCs/>
          <w:color w:val="000000"/>
        </w:rPr>
        <w:t>The role of patient engagement in patient-centric health information exchange (HIE) initiatives: An empirical study in the United States</w:t>
      </w:r>
      <w:r w:rsidRPr="00636ACF">
        <w:rPr>
          <w:color w:val="000000"/>
        </w:rPr>
        <w:t xml:space="preserve">. </w:t>
      </w:r>
      <w:r w:rsidRPr="00636ACF">
        <w:rPr>
          <w:i/>
          <w:iCs/>
          <w:color w:val="000000"/>
        </w:rPr>
        <w:t>Information Technology &amp; People, 37</w:t>
      </w:r>
      <w:r w:rsidRPr="00636ACF">
        <w:rPr>
          <w:color w:val="000000"/>
        </w:rPr>
        <w:t>(2), 521–552.</w:t>
      </w:r>
      <w:hyperlink r:id="rId30" w:history="1">
        <w:r w:rsidRPr="00636ACF">
          <w:rPr>
            <w:rStyle w:val="Hyperlink"/>
            <w:color w:val="000000"/>
          </w:rPr>
          <w:t xml:space="preserve"> </w:t>
        </w:r>
        <w:r w:rsidRPr="00636ACF">
          <w:rPr>
            <w:rStyle w:val="Hyperlink"/>
            <w:color w:val="1155CC"/>
          </w:rPr>
          <w:t>https://doi.org/10.1108/ITP-05-2020-0316</w:t>
        </w:r>
      </w:hyperlink>
    </w:p>
    <w:p w14:paraId="6F04CD26" w14:textId="38A872D2" w:rsidR="008A5DDC" w:rsidRPr="00636ACF" w:rsidRDefault="008A5DDC" w:rsidP="008A5DDC">
      <w:pPr>
        <w:pStyle w:val="NormalWeb"/>
        <w:spacing w:before="0" w:beforeAutospacing="0" w:after="0" w:afterAutospacing="0" w:line="480" w:lineRule="auto"/>
        <w:ind w:left="720" w:hanging="720"/>
        <w:textAlignment w:val="baseline"/>
        <w:rPr>
          <w:color w:val="000000"/>
        </w:rPr>
      </w:pPr>
      <w:r>
        <w:t xml:space="preserve">Esmaeilzadeh, P., Mirzaei, T., &amp; Maddah, M. (2020). The effects of data entry structure on patients’ perceptions of information quality in health information exchange (HIE). </w:t>
      </w:r>
      <w:r>
        <w:rPr>
          <w:rStyle w:val="Emphasis"/>
        </w:rPr>
        <w:lastRenderedPageBreak/>
        <w:t>International Journal of Medical Informatics, 135</w:t>
      </w:r>
      <w:r>
        <w:t xml:space="preserve">, 104058. </w:t>
      </w:r>
      <w:hyperlink r:id="rId31" w:tgtFrame="_new" w:history="1">
        <w:r>
          <w:rPr>
            <w:rStyle w:val="Hyperlink"/>
          </w:rPr>
          <w:t>https://doi.org/10.1016/j.ijmedinf.2019.104058</w:t>
        </w:r>
      </w:hyperlink>
    </w:p>
    <w:p w14:paraId="3E8FBC0C" w14:textId="77777777" w:rsidR="00881298" w:rsidRPr="00636ACF" w:rsidRDefault="00881298" w:rsidP="00CA4912">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Gabriel, M. H., Richwine, C., Strawley, C., Barker, W., &amp; Everson, J. (2024). </w:t>
      </w:r>
      <w:r w:rsidRPr="00636ACF">
        <w:rPr>
          <w:i/>
          <w:iCs/>
          <w:color w:val="000000"/>
        </w:rPr>
        <w:t>Interoperable exchange of patient health information among U.S. hospitals: 2023 (Data Brief No. 71)</w:t>
      </w:r>
      <w:r w:rsidRPr="00636ACF">
        <w:rPr>
          <w:color w:val="000000"/>
        </w:rPr>
        <w:t>. Office of the National Coordinator for Health Information Technology.</w:t>
      </w:r>
      <w:hyperlink r:id="rId32" w:history="1">
        <w:r w:rsidRPr="00636ACF">
          <w:rPr>
            <w:rStyle w:val="Hyperlink"/>
            <w:color w:val="000000"/>
          </w:rPr>
          <w:t xml:space="preserve"> </w:t>
        </w:r>
        <w:r w:rsidRPr="00636ACF">
          <w:rPr>
            <w:rStyle w:val="Hyperlink"/>
            <w:color w:val="1155CC"/>
          </w:rPr>
          <w:t>https://www.healthit.gov/data/data-briefs/interoperable-exchange-patient-health-information-among-us-hospitals-2023</w:t>
        </w:r>
      </w:hyperlink>
    </w:p>
    <w:p w14:paraId="2B2DDE92"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Healthcare Compliance Journal. (2025, October 27). </w:t>
      </w:r>
      <w:r w:rsidRPr="00636ACF">
        <w:rPr>
          <w:i/>
          <w:iCs/>
          <w:color w:val="000000"/>
        </w:rPr>
        <w:t>HITECH Act compliance</w:t>
      </w:r>
      <w:r w:rsidRPr="00636ACF">
        <w:rPr>
          <w:color w:val="000000"/>
        </w:rPr>
        <w:t>.</w:t>
      </w:r>
      <w:hyperlink r:id="rId33" w:history="1">
        <w:r w:rsidRPr="00636ACF">
          <w:rPr>
            <w:rStyle w:val="Hyperlink"/>
            <w:color w:val="000000"/>
          </w:rPr>
          <w:t xml:space="preserve"> </w:t>
        </w:r>
        <w:r w:rsidRPr="00636ACF">
          <w:rPr>
            <w:rStyle w:val="Hyperlink"/>
            <w:color w:val="1155CC"/>
          </w:rPr>
          <w:t>https://www.healthcarecompliancejournal.com/hitech-act-compliance</w:t>
        </w:r>
      </w:hyperlink>
    </w:p>
    <w:p w14:paraId="19C04216"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Healthcare Information and Management Systems Society. (2025). </w:t>
      </w:r>
      <w:r w:rsidRPr="00636ACF">
        <w:rPr>
          <w:i/>
          <w:iCs/>
          <w:color w:val="000000"/>
        </w:rPr>
        <w:t>Interoperability in healthcare</w:t>
      </w:r>
      <w:r w:rsidRPr="00636ACF">
        <w:rPr>
          <w:color w:val="000000"/>
        </w:rPr>
        <w:t>.</w:t>
      </w:r>
      <w:hyperlink r:id="rId34" w:history="1">
        <w:r w:rsidRPr="00636ACF">
          <w:rPr>
            <w:rStyle w:val="Hyperlink"/>
            <w:color w:val="000000"/>
          </w:rPr>
          <w:t xml:space="preserve"> </w:t>
        </w:r>
      </w:hyperlink>
      <w:hyperlink r:id="rId35" w:history="1">
        <w:r w:rsidRPr="00636ACF">
          <w:rPr>
            <w:rStyle w:val="Hyperlink"/>
            <w:color w:val="1155CC"/>
          </w:rPr>
          <w:t>https://legacy.himss.org/resources/interoperability-healthcare</w:t>
        </w:r>
      </w:hyperlink>
    </w:p>
    <w:p w14:paraId="7FB3FE8F"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Highmark Health. (2024, May 3). </w:t>
      </w:r>
      <w:r w:rsidRPr="00636ACF">
        <w:rPr>
          <w:i/>
          <w:iCs/>
          <w:color w:val="000000"/>
        </w:rPr>
        <w:t>Geisinger and Highmark Health conclude a five-year joint venture</w:t>
      </w:r>
      <w:r w:rsidRPr="00636ACF">
        <w:rPr>
          <w:color w:val="000000"/>
        </w:rPr>
        <w:t>.</w:t>
      </w:r>
      <w:hyperlink r:id="rId36" w:history="1">
        <w:r w:rsidRPr="00636ACF">
          <w:rPr>
            <w:rStyle w:val="Hyperlink"/>
            <w:color w:val="000000"/>
          </w:rPr>
          <w:t xml:space="preserve"> </w:t>
        </w:r>
        <w:r w:rsidRPr="00636ACF">
          <w:rPr>
            <w:rStyle w:val="Hyperlink"/>
            <w:color w:val="1155CC"/>
          </w:rPr>
          <w:t>https://www.highmark.com/newsroom/press-releases/05032024-geisinger-and-highmark-health-conclude-five-year-joint-venture</w:t>
        </w:r>
      </w:hyperlink>
    </w:p>
    <w:p w14:paraId="3739B979"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KeyHIE. (n.d.). </w:t>
      </w:r>
      <w:r w:rsidRPr="00636ACF">
        <w:rPr>
          <w:i/>
          <w:iCs/>
          <w:color w:val="000000"/>
        </w:rPr>
        <w:t>About us</w:t>
      </w:r>
      <w:r w:rsidRPr="00636ACF">
        <w:rPr>
          <w:color w:val="000000"/>
        </w:rPr>
        <w:t>.</w:t>
      </w:r>
      <w:hyperlink r:id="rId37" w:history="1">
        <w:r w:rsidRPr="00636ACF">
          <w:rPr>
            <w:rStyle w:val="Hyperlink"/>
            <w:color w:val="000000"/>
          </w:rPr>
          <w:t xml:space="preserve"> </w:t>
        </w:r>
      </w:hyperlink>
      <w:hyperlink r:id="rId38" w:history="1">
        <w:r w:rsidRPr="00636ACF">
          <w:rPr>
            <w:rStyle w:val="Hyperlink"/>
            <w:color w:val="1155CC"/>
          </w:rPr>
          <w:t>https://www.keyhie.org/about-us</w:t>
        </w:r>
      </w:hyperlink>
    </w:p>
    <w:p w14:paraId="3C8D24A9"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Keystone Health Information Exchange. (2019). </w:t>
      </w:r>
      <w:r w:rsidRPr="00636ACF">
        <w:rPr>
          <w:i/>
          <w:iCs/>
          <w:color w:val="000000"/>
        </w:rPr>
        <w:t>2019 KeyHIE annual report</w:t>
      </w:r>
      <w:r w:rsidRPr="00636ACF">
        <w:rPr>
          <w:color w:val="000000"/>
        </w:rPr>
        <w:t>.</w:t>
      </w:r>
      <w:hyperlink r:id="rId39" w:history="1">
        <w:r w:rsidRPr="00636ACF">
          <w:rPr>
            <w:rStyle w:val="Hyperlink"/>
            <w:color w:val="000000"/>
          </w:rPr>
          <w:t xml:space="preserve"> </w:t>
        </w:r>
        <w:r w:rsidRPr="00636ACF">
          <w:rPr>
            <w:rStyle w:val="Hyperlink"/>
            <w:color w:val="1155CC"/>
          </w:rPr>
          <w:t>https://www.keyhie.org/-/media/keyhie/KeyHIE-Annual-Report-2019.pdf?hash=405D8B9D9514984D926B718E9C36ED41&amp;sc_lang=en</w:t>
        </w:r>
      </w:hyperlink>
    </w:p>
    <w:p w14:paraId="0DC428BC"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Lo, J., Long, M., Wallace, R., &amp; Pestaina, K. (2025, August 26). </w:t>
      </w:r>
      <w:r w:rsidRPr="00636ACF">
        <w:rPr>
          <w:i/>
          <w:iCs/>
          <w:color w:val="000000"/>
        </w:rPr>
        <w:t>Charting the way forward: New efforts to advance electronic health information sharing</w:t>
      </w:r>
      <w:r w:rsidRPr="00636ACF">
        <w:rPr>
          <w:color w:val="000000"/>
        </w:rPr>
        <w:t>. Kaiser Family Foundation.</w:t>
      </w:r>
      <w:hyperlink r:id="rId40" w:history="1">
        <w:r w:rsidRPr="00636ACF">
          <w:rPr>
            <w:rStyle w:val="Hyperlink"/>
            <w:color w:val="000000"/>
          </w:rPr>
          <w:t xml:space="preserve"> </w:t>
        </w:r>
        <w:r w:rsidRPr="00636ACF">
          <w:rPr>
            <w:rStyle w:val="Hyperlink"/>
            <w:color w:val="1155CC"/>
          </w:rPr>
          <w:t>https://www.kff.org/patient-consumer-protections/charting-the-way-forward-new-efforts-to-advance-electronic-health-information-sharing/</w:t>
        </w:r>
      </w:hyperlink>
    </w:p>
    <w:p w14:paraId="395B76C2" w14:textId="2D8DF916"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lastRenderedPageBreak/>
        <w:t xml:space="preserve">Manifest MedEx. (n.d.). </w:t>
      </w:r>
      <w:r w:rsidRPr="00636ACF">
        <w:rPr>
          <w:i/>
          <w:iCs/>
          <w:color w:val="000000"/>
        </w:rPr>
        <w:t>Inland Empire Foundation for Medical Care (IEFMC)/Foundation Accountable Care Network (FACN) ACO optimizes post-discharge workflow and reduces readmissions rate with MX tools</w:t>
      </w:r>
      <w:r w:rsidRPr="00636ACF">
        <w:rPr>
          <w:color w:val="000000"/>
        </w:rPr>
        <w:t>.</w:t>
      </w:r>
      <w:hyperlink r:id="rId41" w:history="1">
        <w:r w:rsidRPr="00636ACF">
          <w:rPr>
            <w:rStyle w:val="Hyperlink"/>
            <w:color w:val="000000"/>
          </w:rPr>
          <w:t xml:space="preserve"> </w:t>
        </w:r>
        <w:r w:rsidRPr="00636ACF">
          <w:rPr>
            <w:rStyle w:val="Hyperlink"/>
            <w:color w:val="1155CC"/>
          </w:rPr>
          <w:t>https://www.manifestmedex.org/inland-empire-foundation-for-medical-care-iefmc-foundation-accountable-care-network-facn-aco-optimizes-post-discharge-workflow-and-reduces-readmissions-rate-with-mx-tools</w:t>
        </w:r>
      </w:hyperlink>
    </w:p>
    <w:p w14:paraId="04E7CEBE" w14:textId="77777777" w:rsidR="00881298" w:rsidRPr="00636ACF" w:rsidRDefault="00881298" w:rsidP="00D5279B">
      <w:pPr>
        <w:pStyle w:val="NormalWeb"/>
        <w:spacing w:before="0" w:beforeAutospacing="0" w:after="0" w:afterAutospacing="0" w:line="480" w:lineRule="auto"/>
        <w:ind w:left="720" w:hanging="720"/>
        <w:jc w:val="both"/>
        <w:textAlignment w:val="baseline"/>
        <w:rPr>
          <w:color w:val="000000"/>
        </w:rPr>
      </w:pPr>
      <w:r w:rsidRPr="00636ACF">
        <w:rPr>
          <w:color w:val="000000"/>
        </w:rPr>
        <w:t xml:space="preserve">Manifest MedEx. (n.d.). </w:t>
      </w:r>
      <w:r w:rsidRPr="00636ACF">
        <w:rPr>
          <w:i/>
          <w:iCs/>
          <w:color w:val="000000"/>
        </w:rPr>
        <w:t>MX Access</w:t>
      </w:r>
      <w:r w:rsidRPr="00636ACF">
        <w:rPr>
          <w:color w:val="000000"/>
        </w:rPr>
        <w:t>.</w:t>
      </w:r>
      <w:hyperlink r:id="rId42" w:history="1">
        <w:r w:rsidRPr="00636ACF">
          <w:rPr>
            <w:rStyle w:val="Hyperlink"/>
            <w:color w:val="000000"/>
          </w:rPr>
          <w:t xml:space="preserve"> </w:t>
        </w:r>
        <w:r w:rsidRPr="00636ACF">
          <w:rPr>
            <w:rStyle w:val="Hyperlink"/>
            <w:color w:val="1155CC"/>
          </w:rPr>
          <w:t>https://www.manifestmedex.org/solutions/mx-access/</w:t>
        </w:r>
      </w:hyperlink>
    </w:p>
    <w:p w14:paraId="4BF2EF78"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MX Analyze</w:t>
      </w:r>
      <w:r w:rsidRPr="00636ACF">
        <w:rPr>
          <w:rFonts w:ascii="Times New Roman" w:hAnsi="Times New Roman" w:cs="Times New Roman"/>
        </w:rPr>
        <w:t>.</w:t>
      </w:r>
      <w:hyperlink r:id="rId43" w:history="1">
        <w:r w:rsidRPr="00636ACF">
          <w:rPr>
            <w:rStyle w:val="Hyperlink"/>
            <w:rFonts w:ascii="Times New Roman" w:hAnsi="Times New Roman" w:cs="Times New Roman"/>
            <w:color w:val="000000"/>
          </w:rPr>
          <w:t xml:space="preserve"> </w:t>
        </w:r>
      </w:hyperlink>
      <w:hyperlink r:id="rId44" w:history="1">
        <w:r w:rsidRPr="00636ACF">
          <w:rPr>
            <w:rStyle w:val="Hyperlink"/>
            <w:rFonts w:ascii="Times New Roman" w:hAnsi="Times New Roman" w:cs="Times New Roman"/>
            <w:color w:val="1155CC"/>
          </w:rPr>
          <w:t>https://www.manifestmedex.org/solutions/mx-analyze/</w:t>
        </w:r>
      </w:hyperlink>
    </w:p>
    <w:p w14:paraId="41D99B05"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Manifest MedEx</w:t>
      </w:r>
      <w:r w:rsidRPr="00636ACF">
        <w:rPr>
          <w:rFonts w:ascii="Times New Roman" w:hAnsi="Times New Roman" w:cs="Times New Roman"/>
        </w:rPr>
        <w:t>.</w:t>
      </w:r>
      <w:hyperlink r:id="rId45" w:history="1">
        <w:r w:rsidRPr="00636ACF">
          <w:rPr>
            <w:rStyle w:val="Hyperlink"/>
            <w:rFonts w:ascii="Times New Roman" w:hAnsi="Times New Roman" w:cs="Times New Roman"/>
            <w:color w:val="000000"/>
          </w:rPr>
          <w:t xml:space="preserve"> </w:t>
        </w:r>
        <w:r w:rsidRPr="00636ACF">
          <w:rPr>
            <w:rStyle w:val="Hyperlink"/>
            <w:rFonts w:ascii="Times New Roman" w:hAnsi="Times New Roman" w:cs="Times New Roman"/>
            <w:color w:val="1155CC"/>
          </w:rPr>
          <w:t>https://www.manifestmedex.org/</w:t>
        </w:r>
      </w:hyperlink>
    </w:p>
    <w:p w14:paraId="541CF325"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MX Notify</w:t>
      </w:r>
      <w:r w:rsidRPr="00636ACF">
        <w:rPr>
          <w:rFonts w:ascii="Times New Roman" w:hAnsi="Times New Roman" w:cs="Times New Roman"/>
        </w:rPr>
        <w:t>.</w:t>
      </w:r>
      <w:hyperlink r:id="rId46" w:history="1">
        <w:r w:rsidRPr="00636ACF">
          <w:rPr>
            <w:rStyle w:val="Hyperlink"/>
            <w:rFonts w:ascii="Times New Roman" w:hAnsi="Times New Roman" w:cs="Times New Roman"/>
            <w:color w:val="000000"/>
          </w:rPr>
          <w:t xml:space="preserve"> </w:t>
        </w:r>
      </w:hyperlink>
      <w:hyperlink r:id="rId47" w:history="1">
        <w:r w:rsidRPr="00636ACF">
          <w:rPr>
            <w:rStyle w:val="Hyperlink"/>
            <w:rFonts w:ascii="Times New Roman" w:hAnsi="Times New Roman" w:cs="Times New Roman"/>
            <w:color w:val="1155CC"/>
          </w:rPr>
          <w:t>https://www.manifestmedex.org/solutions/mx-notify/</w:t>
        </w:r>
      </w:hyperlink>
    </w:p>
    <w:p w14:paraId="75A8B498"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Our network</w:t>
      </w:r>
      <w:r w:rsidRPr="00636ACF">
        <w:rPr>
          <w:rFonts w:ascii="Times New Roman" w:hAnsi="Times New Roman" w:cs="Times New Roman"/>
        </w:rPr>
        <w:t>.</w:t>
      </w:r>
      <w:hyperlink r:id="rId48" w:history="1">
        <w:r w:rsidRPr="00636ACF">
          <w:rPr>
            <w:rStyle w:val="Hyperlink"/>
            <w:rFonts w:ascii="Times New Roman" w:hAnsi="Times New Roman" w:cs="Times New Roman"/>
            <w:color w:val="000000"/>
          </w:rPr>
          <w:t xml:space="preserve"> </w:t>
        </w:r>
        <w:r w:rsidRPr="00636ACF">
          <w:rPr>
            <w:rStyle w:val="Hyperlink"/>
            <w:rFonts w:ascii="Times New Roman" w:hAnsi="Times New Roman" w:cs="Times New Roman"/>
            <w:color w:val="1155CC"/>
          </w:rPr>
          <w:t>https://www.manifestmedex.org/our-network/</w:t>
        </w:r>
      </w:hyperlink>
    </w:p>
    <w:p w14:paraId="64252979"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MX as a QHIO Info Sheet</w:t>
      </w:r>
      <w:r w:rsidRPr="00636ACF">
        <w:rPr>
          <w:rFonts w:ascii="Times New Roman" w:hAnsi="Times New Roman" w:cs="Times New Roman"/>
        </w:rPr>
        <w:t>.</w:t>
      </w:r>
      <w:hyperlink r:id="rId49" w:history="1">
        <w:r w:rsidRPr="00636ACF">
          <w:rPr>
            <w:rStyle w:val="Hyperlink"/>
            <w:rFonts w:ascii="Times New Roman" w:hAnsi="Times New Roman" w:cs="Times New Roman"/>
            <w:color w:val="000000"/>
          </w:rPr>
          <w:t xml:space="preserve"> </w:t>
        </w:r>
        <w:r w:rsidRPr="00636ACF">
          <w:rPr>
            <w:rStyle w:val="Hyperlink"/>
            <w:rFonts w:ascii="Times New Roman" w:hAnsi="Times New Roman" w:cs="Times New Roman"/>
            <w:color w:val="1155CC"/>
          </w:rPr>
          <w:t>https://www.manifestmedex.org/wp-content/uploads/MX-as-a-QHIO-Info-Sheet.pdf</w:t>
        </w:r>
      </w:hyperlink>
    </w:p>
    <w:p w14:paraId="00B4E359"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Solutions</w:t>
      </w:r>
      <w:r w:rsidRPr="00636ACF">
        <w:rPr>
          <w:rFonts w:ascii="Times New Roman" w:hAnsi="Times New Roman" w:cs="Times New Roman"/>
        </w:rPr>
        <w:t>.</w:t>
      </w:r>
      <w:hyperlink r:id="rId50" w:history="1">
        <w:r w:rsidRPr="00636ACF">
          <w:rPr>
            <w:rStyle w:val="Hyperlink"/>
            <w:rFonts w:ascii="Times New Roman" w:hAnsi="Times New Roman" w:cs="Times New Roman"/>
            <w:color w:val="000000"/>
          </w:rPr>
          <w:t xml:space="preserve"> </w:t>
        </w:r>
      </w:hyperlink>
      <w:hyperlink r:id="rId51" w:history="1">
        <w:r w:rsidRPr="00636ACF">
          <w:rPr>
            <w:rStyle w:val="Hyperlink"/>
            <w:rFonts w:ascii="Times New Roman" w:hAnsi="Times New Roman" w:cs="Times New Roman"/>
            <w:color w:val="1155CC"/>
          </w:rPr>
          <w:t>https://www.manifestmedex.org/solutions/</w:t>
        </w:r>
      </w:hyperlink>
    </w:p>
    <w:p w14:paraId="36827F63"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Manifest MedEx. (n.d.). </w:t>
      </w:r>
      <w:r w:rsidRPr="00636ACF">
        <w:rPr>
          <w:rFonts w:ascii="Times New Roman" w:hAnsi="Times New Roman" w:cs="Times New Roman"/>
          <w:i/>
          <w:iCs/>
        </w:rPr>
        <w:t>Why MX</w:t>
      </w:r>
      <w:r w:rsidRPr="00636ACF">
        <w:rPr>
          <w:rFonts w:ascii="Times New Roman" w:hAnsi="Times New Roman" w:cs="Times New Roman"/>
        </w:rPr>
        <w:t>.</w:t>
      </w:r>
      <w:hyperlink r:id="rId52" w:history="1">
        <w:r w:rsidRPr="00636ACF">
          <w:rPr>
            <w:rStyle w:val="Hyperlink"/>
            <w:rFonts w:ascii="Times New Roman" w:hAnsi="Times New Roman" w:cs="Times New Roman"/>
            <w:color w:val="000000"/>
          </w:rPr>
          <w:t xml:space="preserve"> </w:t>
        </w:r>
      </w:hyperlink>
      <w:hyperlink r:id="rId53" w:history="1">
        <w:r w:rsidRPr="00636ACF">
          <w:rPr>
            <w:rStyle w:val="Hyperlink"/>
            <w:rFonts w:ascii="Times New Roman" w:hAnsi="Times New Roman" w:cs="Times New Roman"/>
            <w:color w:val="1155CC"/>
          </w:rPr>
          <w:t>https://www.manifestmedex.org/why-mx/</w:t>
        </w:r>
      </w:hyperlink>
    </w:p>
    <w:p w14:paraId="475DB954"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Office of the National Coordinator for Health Information Technology. (n.d.). </w:t>
      </w:r>
      <w:r w:rsidRPr="00636ACF">
        <w:rPr>
          <w:rFonts w:ascii="Times New Roman" w:hAnsi="Times New Roman" w:cs="Times New Roman"/>
          <w:i/>
          <w:iCs/>
        </w:rPr>
        <w:t>Information blocking</w:t>
      </w:r>
      <w:r w:rsidRPr="00636ACF">
        <w:rPr>
          <w:rFonts w:ascii="Times New Roman" w:hAnsi="Times New Roman" w:cs="Times New Roman"/>
        </w:rPr>
        <w:t xml:space="preserve">. U.S. Department of Health and Human Services. </w:t>
      </w:r>
      <w:hyperlink r:id="rId54" w:history="1">
        <w:r w:rsidRPr="00636ACF">
          <w:rPr>
            <w:rStyle w:val="Hyperlink"/>
            <w:rFonts w:ascii="Times New Roman" w:hAnsi="Times New Roman" w:cs="Times New Roman"/>
            <w:color w:val="1155CC"/>
          </w:rPr>
          <w:t>https://www.healthit.gov/topic/information-blocking</w:t>
        </w:r>
      </w:hyperlink>
    </w:p>
    <w:p w14:paraId="719BB1F1"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u w:val="single"/>
        </w:rPr>
        <w:t xml:space="preserve">Office of the National Coordinator for Health Information Technology. (2019, July 8). </w:t>
      </w:r>
      <w:r w:rsidRPr="00636ACF">
        <w:rPr>
          <w:rFonts w:ascii="Times New Roman" w:hAnsi="Times New Roman" w:cs="Times New Roman"/>
          <w:i/>
          <w:iCs/>
          <w:color w:val="1155CC"/>
          <w:u w:val="single"/>
        </w:rPr>
        <w:t>What are the different types of health information exchange?</w:t>
      </w:r>
      <w:r w:rsidRPr="00636ACF">
        <w:rPr>
          <w:rFonts w:ascii="Times New Roman" w:hAnsi="Times New Roman" w:cs="Times New Roman"/>
          <w:color w:val="1155CC"/>
          <w:u w:val="single"/>
        </w:rPr>
        <w:t xml:space="preserve"> HealthIT.gov.</w:t>
      </w:r>
      <w:hyperlink r:id="rId55" w:history="1">
        <w:r w:rsidRPr="00636ACF">
          <w:rPr>
            <w:rStyle w:val="Hyperlink"/>
            <w:rFonts w:ascii="Times New Roman" w:hAnsi="Times New Roman" w:cs="Times New Roman"/>
            <w:color w:val="1155CC"/>
          </w:rPr>
          <w:t xml:space="preserve"> </w:t>
        </w:r>
      </w:hyperlink>
      <w:hyperlink r:id="rId56" w:history="1">
        <w:r w:rsidRPr="00636ACF">
          <w:rPr>
            <w:rStyle w:val="Hyperlink"/>
            <w:rFonts w:ascii="Times New Roman" w:hAnsi="Times New Roman" w:cs="Times New Roman"/>
            <w:color w:val="1155CC"/>
          </w:rPr>
          <w:t>https://www.healthit.gov/faq/what-are-different-types-health-information-exchange</w:t>
        </w:r>
      </w:hyperlink>
    </w:p>
    <w:p w14:paraId="7D065000" w14:textId="77777777" w:rsidR="00881298"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Office of the National Coordinator for Health Information Technology. (n.d.). </w:t>
      </w:r>
      <w:r w:rsidRPr="00636ACF">
        <w:rPr>
          <w:rFonts w:ascii="Times New Roman" w:hAnsi="Times New Roman" w:cs="Times New Roman"/>
          <w:i/>
          <w:iCs/>
        </w:rPr>
        <w:t>Trusted Exchange Framework and Common Agreement (TEFCA)</w:t>
      </w:r>
      <w:r w:rsidRPr="00636ACF">
        <w:rPr>
          <w:rFonts w:ascii="Times New Roman" w:hAnsi="Times New Roman" w:cs="Times New Roman"/>
        </w:rPr>
        <w:t xml:space="preserve">. U.S. Department of Health and Human </w:t>
      </w:r>
      <w:r w:rsidRPr="00636ACF">
        <w:rPr>
          <w:rFonts w:ascii="Times New Roman" w:hAnsi="Times New Roman" w:cs="Times New Roman"/>
        </w:rPr>
        <w:lastRenderedPageBreak/>
        <w:t xml:space="preserve">Services. </w:t>
      </w:r>
      <w:hyperlink r:id="rId57" w:history="1">
        <w:r w:rsidRPr="00636ACF">
          <w:rPr>
            <w:rStyle w:val="Hyperlink"/>
            <w:rFonts w:ascii="Times New Roman" w:hAnsi="Times New Roman" w:cs="Times New Roman"/>
            <w:color w:val="1155CC"/>
          </w:rPr>
          <w:t>https://www.healthit.gov/topic/interoperability/policy/trusted-exchange-framework-and-common-agreement-tefca</w:t>
        </w:r>
      </w:hyperlink>
    </w:p>
    <w:p w14:paraId="76CC16A0" w14:textId="56FEFA64" w:rsidR="00AF3633" w:rsidRPr="00636ACF" w:rsidRDefault="00AF3633" w:rsidP="00D5279B">
      <w:pPr>
        <w:spacing w:after="0" w:line="480" w:lineRule="auto"/>
        <w:ind w:left="720" w:hanging="720"/>
        <w:rPr>
          <w:rFonts w:ascii="Times New Roman" w:hAnsi="Times New Roman" w:cs="Times New Roman"/>
        </w:rPr>
      </w:pPr>
      <w:r>
        <w:t xml:space="preserve">Office of the National Coordinator for Health Information Technology. (n.d.). </w:t>
      </w:r>
      <w:r>
        <w:rPr>
          <w:rStyle w:val="Emphasis"/>
        </w:rPr>
        <w:t>United States Core Data for Interoperability (USCDI)</w:t>
      </w:r>
      <w:r>
        <w:t xml:space="preserve">. U.S. Department of Health &amp; Human Services. Retrieved November 23, 2025, from </w:t>
      </w:r>
      <w:hyperlink r:id="rId58" w:anchor="uscdi-v6" w:tgtFrame="_new" w:history="1">
        <w:r>
          <w:rPr>
            <w:rStyle w:val="Hyperlink"/>
          </w:rPr>
          <w:t>https://www.healthit.gov/isp/united-states-core-data-interoperability-uscdi#uscdi-v6</w:t>
        </w:r>
      </w:hyperlink>
    </w:p>
    <w:p w14:paraId="76380DF4" w14:textId="77777777"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Sermo Team. (2022, November 28). </w:t>
      </w:r>
      <w:r w:rsidRPr="00636ACF">
        <w:rPr>
          <w:rFonts w:ascii="Times New Roman" w:hAnsi="Times New Roman" w:cs="Times New Roman"/>
          <w:i/>
          <w:iCs/>
        </w:rPr>
        <w:t>What is health information exchange?</w:t>
      </w:r>
      <w:r w:rsidRPr="00636ACF">
        <w:rPr>
          <w:rFonts w:ascii="Times New Roman" w:hAnsi="Times New Roman" w:cs="Times New Roman"/>
        </w:rPr>
        <w:t xml:space="preserve"> Sermo.</w:t>
      </w:r>
      <w:hyperlink r:id="rId59" w:history="1">
        <w:r w:rsidRPr="00636ACF">
          <w:rPr>
            <w:rStyle w:val="Hyperlink"/>
            <w:rFonts w:ascii="Times New Roman" w:hAnsi="Times New Roman" w:cs="Times New Roman"/>
            <w:color w:val="000000"/>
          </w:rPr>
          <w:t xml:space="preserve"> </w:t>
        </w:r>
      </w:hyperlink>
      <w:hyperlink r:id="rId60" w:history="1">
        <w:r w:rsidRPr="00636ACF">
          <w:rPr>
            <w:rStyle w:val="Hyperlink"/>
            <w:rFonts w:ascii="Times New Roman" w:hAnsi="Times New Roman" w:cs="Times New Roman"/>
            <w:color w:val="1155CC"/>
          </w:rPr>
          <w:t>https://www.sermo.com/resources/what-is-health-information-exchange/</w:t>
        </w:r>
      </w:hyperlink>
    </w:p>
    <w:p w14:paraId="5F7C3084" w14:textId="327F476C" w:rsidR="00881298" w:rsidRPr="00636ACF" w:rsidRDefault="00881298" w:rsidP="00D5279B">
      <w:pPr>
        <w:spacing w:after="0" w:line="480" w:lineRule="auto"/>
        <w:ind w:left="720" w:hanging="720"/>
        <w:rPr>
          <w:rFonts w:ascii="Times New Roman" w:hAnsi="Times New Roman" w:cs="Times New Roman"/>
        </w:rPr>
      </w:pPr>
      <w:r w:rsidRPr="00636ACF">
        <w:rPr>
          <w:rFonts w:ascii="Times New Roman" w:hAnsi="Times New Roman" w:cs="Times New Roman"/>
        </w:rPr>
        <w:t xml:space="preserve">Siwicki, B. (2016, August 10). </w:t>
      </w:r>
      <w:r w:rsidRPr="00636ACF">
        <w:rPr>
          <w:rFonts w:ascii="Times New Roman" w:hAnsi="Times New Roman" w:cs="Times New Roman"/>
          <w:i/>
          <w:iCs/>
        </w:rPr>
        <w:t>Geisinger, KeyHIE bolster clinician productivity an hour a day with patient alerts</w:t>
      </w:r>
      <w:r w:rsidRPr="00636ACF">
        <w:rPr>
          <w:rFonts w:ascii="Times New Roman" w:hAnsi="Times New Roman" w:cs="Times New Roman"/>
        </w:rPr>
        <w:t>. Healthcare IT News.</w:t>
      </w:r>
      <w:hyperlink r:id="rId61" w:history="1">
        <w:r w:rsidRPr="00636ACF">
          <w:rPr>
            <w:rStyle w:val="Hyperlink"/>
            <w:rFonts w:ascii="Times New Roman" w:hAnsi="Times New Roman" w:cs="Times New Roman"/>
            <w:color w:val="000000"/>
          </w:rPr>
          <w:t xml:space="preserve"> </w:t>
        </w:r>
        <w:r w:rsidRPr="00636ACF">
          <w:rPr>
            <w:rStyle w:val="Hyperlink"/>
            <w:rFonts w:ascii="Times New Roman" w:hAnsi="Times New Roman" w:cs="Times New Roman"/>
            <w:color w:val="1155CC"/>
          </w:rPr>
          <w:t>https://www.healthcareitnews.com/news/geisinger-keyhie-bolster-clinician-productivity-h</w:t>
        </w:r>
        <w:r w:rsidRPr="00636ACF">
          <w:rPr>
            <w:rStyle w:val="Hyperlink"/>
            <w:rFonts w:ascii="Times New Roman" w:hAnsi="Times New Roman" w:cs="Times New Roman"/>
            <w:color w:val="1155CC"/>
          </w:rPr>
          <w:t>o</w:t>
        </w:r>
        <w:r w:rsidRPr="00636ACF">
          <w:rPr>
            <w:rStyle w:val="Hyperlink"/>
            <w:rFonts w:ascii="Times New Roman" w:hAnsi="Times New Roman" w:cs="Times New Roman"/>
            <w:color w:val="1155CC"/>
          </w:rPr>
          <w:t>ur-day-patient-alerts</w:t>
        </w:r>
      </w:hyperlink>
    </w:p>
    <w:p w14:paraId="3A5E20EE" w14:textId="77777777" w:rsidR="00881298" w:rsidRPr="00636ACF" w:rsidRDefault="00881298" w:rsidP="00D5279B">
      <w:pPr>
        <w:snapToGrid w:val="0"/>
        <w:spacing w:after="0" w:line="480" w:lineRule="auto"/>
        <w:ind w:left="720" w:hanging="720"/>
        <w:rPr>
          <w:rFonts w:ascii="Times New Roman" w:hAnsi="Times New Roman" w:cs="Times New Roman"/>
        </w:rPr>
      </w:pPr>
      <w:r w:rsidRPr="00636ACF">
        <w:rPr>
          <w:rFonts w:ascii="Times New Roman" w:hAnsi="Times New Roman" w:cs="Times New Roman"/>
        </w:rPr>
        <w:t xml:space="preserve">TechTarget. (2021, January 25). </w:t>
      </w:r>
      <w:r w:rsidRPr="00636ACF">
        <w:rPr>
          <w:rFonts w:ascii="Times New Roman" w:hAnsi="Times New Roman" w:cs="Times New Roman"/>
          <w:i/>
          <w:iCs/>
        </w:rPr>
        <w:t>Adventist Signs Onto California HIE to Boost Patient Data Exchange</w:t>
      </w:r>
      <w:r w:rsidRPr="00636ACF">
        <w:rPr>
          <w:rFonts w:ascii="Times New Roman" w:hAnsi="Times New Roman" w:cs="Times New Roman"/>
        </w:rPr>
        <w:t>.</w:t>
      </w:r>
      <w:hyperlink r:id="rId62" w:history="1">
        <w:r w:rsidRPr="00636ACF">
          <w:rPr>
            <w:rStyle w:val="Hyperlink"/>
            <w:rFonts w:ascii="Times New Roman" w:hAnsi="Times New Roman" w:cs="Times New Roman"/>
            <w:color w:val="000000"/>
          </w:rPr>
          <w:t xml:space="preserve"> </w:t>
        </w:r>
      </w:hyperlink>
      <w:hyperlink r:id="rId63" w:history="1">
        <w:r w:rsidRPr="00636ACF">
          <w:rPr>
            <w:rStyle w:val="Hyperlink"/>
            <w:rFonts w:ascii="Times New Roman" w:hAnsi="Times New Roman" w:cs="Times New Roman"/>
            <w:color w:val="1155CC"/>
          </w:rPr>
          <w:t>https://www.techtarget.com/searchhealthit/news/366579343/Adventist-Signs-Onto-California-HIE-to-Boost-Patient-Data-Exchange</w:t>
        </w:r>
      </w:hyperlink>
    </w:p>
    <w:p w14:paraId="6EAEAB19" w14:textId="6A9AE2C2" w:rsidR="002D0328" w:rsidRPr="00636ACF" w:rsidRDefault="00881298" w:rsidP="00D5279B">
      <w:pPr>
        <w:snapToGrid w:val="0"/>
        <w:spacing w:after="0" w:line="480" w:lineRule="auto"/>
        <w:ind w:left="720" w:hanging="720"/>
        <w:rPr>
          <w:rFonts w:ascii="Times New Roman" w:eastAsia="Times New Roman" w:hAnsi="Times New Roman" w:cs="Times New Roman"/>
          <w:lang w:eastAsia="en-US"/>
        </w:rPr>
      </w:pPr>
      <w:r w:rsidRPr="00636ACF">
        <w:rPr>
          <w:rFonts w:ascii="Times New Roman" w:hAnsi="Times New Roman" w:cs="Times New Roman"/>
        </w:rPr>
        <w:t xml:space="preserve">Office of the National Coordinator for Health Information Technology. (n.d.). </w:t>
      </w:r>
      <w:r w:rsidRPr="00636ACF">
        <w:rPr>
          <w:rFonts w:ascii="Times New Roman" w:hAnsi="Times New Roman" w:cs="Times New Roman"/>
          <w:i/>
          <w:iCs/>
        </w:rPr>
        <w:t>Trusted Exchange Framework and Common Agreement (TEFCA)</w:t>
      </w:r>
      <w:r w:rsidRPr="00636ACF">
        <w:rPr>
          <w:rFonts w:ascii="Times New Roman" w:hAnsi="Times New Roman" w:cs="Times New Roman"/>
        </w:rPr>
        <w:t xml:space="preserve">. U.S. Department of Health and Human Services. </w:t>
      </w:r>
      <w:hyperlink r:id="rId64" w:history="1">
        <w:r w:rsidRPr="00636ACF">
          <w:rPr>
            <w:rStyle w:val="Hyperlink"/>
            <w:rFonts w:ascii="Times New Roman" w:hAnsi="Times New Roman" w:cs="Times New Roman"/>
            <w:color w:val="1155CC"/>
          </w:rPr>
          <w:t>https://www.healthit.gov/topic/interoperability/policy/trusted-exchange-</w:t>
        </w:r>
        <w:r w:rsidRPr="00636ACF">
          <w:rPr>
            <w:rStyle w:val="Hyperlink"/>
            <w:rFonts w:ascii="Times New Roman" w:hAnsi="Times New Roman" w:cs="Times New Roman"/>
            <w:color w:val="1155CC"/>
          </w:rPr>
          <w:t>f</w:t>
        </w:r>
        <w:r w:rsidRPr="00636ACF">
          <w:rPr>
            <w:rStyle w:val="Hyperlink"/>
            <w:rFonts w:ascii="Times New Roman" w:hAnsi="Times New Roman" w:cs="Times New Roman"/>
            <w:color w:val="1155CC"/>
          </w:rPr>
          <w:t>ramework-and-co</w:t>
        </w:r>
        <w:r w:rsidRPr="00636ACF">
          <w:rPr>
            <w:rStyle w:val="Hyperlink"/>
            <w:rFonts w:ascii="Times New Roman" w:hAnsi="Times New Roman" w:cs="Times New Roman"/>
            <w:color w:val="1155CC"/>
          </w:rPr>
          <w:t>m</w:t>
        </w:r>
        <w:r w:rsidRPr="00636ACF">
          <w:rPr>
            <w:rStyle w:val="Hyperlink"/>
            <w:rFonts w:ascii="Times New Roman" w:hAnsi="Times New Roman" w:cs="Times New Roman"/>
            <w:color w:val="1155CC"/>
          </w:rPr>
          <w:t>mon-agreement-tefca</w:t>
        </w:r>
      </w:hyperlink>
    </w:p>
    <w:p w14:paraId="7F05F038" w14:textId="6C6D9776" w:rsidR="00E62FBD" w:rsidRPr="0057379F" w:rsidRDefault="00EC0138" w:rsidP="0057379F">
      <w:pPr>
        <w:snapToGrid w:val="0"/>
        <w:spacing w:after="0" w:line="480" w:lineRule="auto"/>
        <w:ind w:left="720" w:hanging="720"/>
        <w:rPr>
          <w:rFonts w:ascii="Times New Roman" w:eastAsia="Times New Roman" w:hAnsi="Times New Roman" w:cs="Times New Roman"/>
          <w:lang w:eastAsia="en-US"/>
        </w:rPr>
      </w:pPr>
      <w:r w:rsidRPr="00636ACF">
        <w:rPr>
          <w:rFonts w:ascii="Times New Roman" w:hAnsi="Times New Roman" w:cs="Times New Roman"/>
        </w:rPr>
        <w:t xml:space="preserve">Texas Health and Human Services Commission. (n.d.). </w:t>
      </w:r>
      <w:r w:rsidRPr="00636ACF">
        <w:rPr>
          <w:rFonts w:ascii="Times New Roman" w:hAnsi="Times New Roman" w:cs="Times New Roman"/>
          <w:i/>
          <w:iCs/>
        </w:rPr>
        <w:t>Health Information Technology and Health Information Exchange</w:t>
      </w:r>
      <w:hyperlink r:id="rId65" w:history="1">
        <w:r w:rsidRPr="00636ACF">
          <w:rPr>
            <w:rStyle w:val="Hyperlink"/>
            <w:rFonts w:ascii="Times New Roman" w:hAnsi="Times New Roman" w:cs="Times New Roman"/>
            <w:color w:val="1155CC"/>
          </w:rPr>
          <w:t>https://www.hhs.texas.gov/about/process-improvement/improving-services-texans/health-information-technology-health-information-exchange</w:t>
        </w:r>
      </w:hyperlink>
    </w:p>
    <w:p w14:paraId="1C0BF430" w14:textId="32DDB8C3" w:rsidR="00081AD3" w:rsidRPr="00081AD3" w:rsidRDefault="00081AD3" w:rsidP="008579FC">
      <w:pPr>
        <w:spacing w:after="0" w:line="480" w:lineRule="auto"/>
        <w:ind w:left="3600"/>
        <w:rPr>
          <w:rFonts w:ascii="Times New Roman" w:eastAsia="Times New Roman" w:hAnsi="Times New Roman" w:cs="Times New Roman"/>
          <w:lang w:eastAsia="en-US"/>
        </w:rPr>
      </w:pPr>
      <w:r w:rsidRPr="00081AD3">
        <w:rPr>
          <w:rFonts w:ascii="Times New Roman" w:eastAsia="Times New Roman" w:hAnsi="Times New Roman" w:cs="Times New Roman"/>
          <w:b/>
          <w:bCs/>
          <w:color w:val="000000"/>
          <w:lang w:eastAsia="en-US"/>
        </w:rPr>
        <w:lastRenderedPageBreak/>
        <w:t>Appendix</w:t>
      </w:r>
    </w:p>
    <w:p w14:paraId="11A38911" w14:textId="77777777" w:rsidR="00081AD3" w:rsidRPr="00081AD3" w:rsidRDefault="00081AD3" w:rsidP="00081AD3">
      <w:pPr>
        <w:spacing w:after="0" w:line="480" w:lineRule="auto"/>
        <w:jc w:val="both"/>
        <w:rPr>
          <w:rFonts w:ascii="Times New Roman" w:eastAsia="Times New Roman" w:hAnsi="Times New Roman" w:cs="Times New Roman"/>
          <w:lang w:eastAsia="en-US"/>
        </w:rPr>
      </w:pPr>
      <w:r w:rsidRPr="00081AD3">
        <w:rPr>
          <w:rFonts w:ascii="Times New Roman" w:eastAsia="Times New Roman" w:hAnsi="Times New Roman" w:cs="Times New Roman"/>
          <w:i/>
          <w:iCs/>
          <w:color w:val="000000"/>
          <w:lang w:eastAsia="en-US"/>
        </w:rPr>
        <w:t>Summary of USCDI V6 data elements, standards and applicable vocabulary</w:t>
      </w:r>
    </w:p>
    <w:tbl>
      <w:tblPr>
        <w:tblW w:w="0" w:type="auto"/>
        <w:tblCellMar>
          <w:top w:w="15" w:type="dxa"/>
          <w:left w:w="15" w:type="dxa"/>
          <w:bottom w:w="15" w:type="dxa"/>
          <w:right w:w="15" w:type="dxa"/>
        </w:tblCellMar>
        <w:tblLook w:val="04A0" w:firstRow="1" w:lastRow="0" w:firstColumn="1" w:lastColumn="0" w:noHBand="0" w:noVBand="1"/>
      </w:tblPr>
      <w:tblGrid>
        <w:gridCol w:w="4184"/>
        <w:gridCol w:w="5156"/>
      </w:tblGrid>
      <w:tr w:rsidR="00081AD3" w:rsidRPr="00081AD3" w14:paraId="54261EEA" w14:textId="77777777" w:rsidTr="00081AD3">
        <w:trPr>
          <w:trHeight w:val="10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E0A6C" w14:textId="77777777" w:rsidR="00081AD3" w:rsidRPr="00081AD3" w:rsidRDefault="00081AD3" w:rsidP="00081AD3">
            <w:pPr>
              <w:spacing w:after="0" w:line="240" w:lineRule="auto"/>
              <w:rPr>
                <w:rFonts w:ascii="Times New Roman" w:eastAsia="Times New Roman" w:hAnsi="Times New Roman" w:cs="Times New Roman"/>
                <w:lang w:eastAsia="en-US"/>
              </w:rPr>
            </w:pPr>
            <w:r w:rsidRPr="00081AD3">
              <w:rPr>
                <w:rFonts w:ascii="Times New Roman" w:eastAsia="Times New Roman" w:hAnsi="Times New Roman" w:cs="Times New Roman"/>
                <w:b/>
                <w:bCs/>
                <w:color w:val="000000"/>
                <w:lang w:eastAsia="en-US"/>
              </w:rPr>
              <w:t>     </w:t>
            </w:r>
          </w:p>
          <w:p w14:paraId="0072A263" w14:textId="77777777" w:rsidR="00081AD3" w:rsidRPr="00081AD3" w:rsidRDefault="00081AD3" w:rsidP="00081AD3">
            <w:pPr>
              <w:spacing w:after="0" w:line="240" w:lineRule="auto"/>
              <w:rPr>
                <w:rFonts w:ascii="Times New Roman" w:eastAsia="Times New Roman" w:hAnsi="Times New Roman" w:cs="Times New Roman"/>
                <w:lang w:eastAsia="en-US"/>
              </w:rPr>
            </w:pPr>
            <w:r w:rsidRPr="00081AD3">
              <w:rPr>
                <w:rFonts w:ascii="Times New Roman" w:eastAsia="Times New Roman" w:hAnsi="Times New Roman" w:cs="Times New Roman"/>
                <w:b/>
                <w:bCs/>
                <w:color w:val="000000"/>
                <w:lang w:eastAsia="en-US"/>
              </w:rPr>
              <w:t>           Data Class and Data Elements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C5893" w14:textId="77777777" w:rsidR="00081AD3" w:rsidRPr="00081AD3" w:rsidRDefault="00081AD3" w:rsidP="00081AD3">
            <w:pPr>
              <w:spacing w:after="0" w:line="240" w:lineRule="auto"/>
              <w:rPr>
                <w:rFonts w:ascii="Times New Roman" w:eastAsia="Times New Roman" w:hAnsi="Times New Roman" w:cs="Times New Roman"/>
                <w:lang w:eastAsia="en-US"/>
              </w:rPr>
            </w:pPr>
          </w:p>
          <w:p w14:paraId="626EEA79" w14:textId="77777777" w:rsidR="00081AD3" w:rsidRPr="00081AD3" w:rsidRDefault="00081AD3" w:rsidP="00081AD3">
            <w:pPr>
              <w:spacing w:after="0" w:line="240" w:lineRule="auto"/>
              <w:rPr>
                <w:rFonts w:ascii="Times New Roman" w:eastAsia="Times New Roman" w:hAnsi="Times New Roman" w:cs="Times New Roman"/>
                <w:lang w:eastAsia="en-US"/>
              </w:rPr>
            </w:pPr>
            <w:r w:rsidRPr="00081AD3">
              <w:rPr>
                <w:rFonts w:ascii="Times New Roman" w:eastAsia="Times New Roman" w:hAnsi="Times New Roman" w:cs="Times New Roman"/>
                <w:b/>
                <w:bCs/>
                <w:color w:val="000000"/>
                <w:lang w:eastAsia="en-US"/>
              </w:rPr>
              <w:t>       Applicable Vocabulary Standard</w:t>
            </w:r>
          </w:p>
        </w:tc>
      </w:tr>
      <w:tr w:rsidR="00081AD3" w:rsidRPr="00081AD3" w14:paraId="1A190A36"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CD39E" w14:textId="77777777" w:rsidR="00081AD3" w:rsidRPr="00081AD3" w:rsidRDefault="00081AD3" w:rsidP="00F65C6F">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Allergy intolerance for drug class, medication, non- medication and reaction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F41B8" w14:textId="57D0B86C"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 Rx Norm</w:t>
            </w:r>
            <w:r w:rsidR="00A23226" w:rsidRPr="00636ACF">
              <w:rPr>
                <w:rFonts w:ascii="Times New Roman" w:eastAsia="Times New Roman" w:hAnsi="Times New Roman" w:cs="Times New Roman"/>
                <w:color w:val="000000"/>
                <w:lang w:eastAsia="en-US"/>
              </w:rPr>
              <w:t>,</w:t>
            </w:r>
            <w:r w:rsidR="00B90335" w:rsidRPr="00636ACF">
              <w:rPr>
                <w:rFonts w:ascii="Times New Roman" w:eastAsia="Times New Roman" w:hAnsi="Times New Roman" w:cs="Times New Roman"/>
                <w:color w:val="000000"/>
                <w:lang w:eastAsia="en-US"/>
              </w:rPr>
              <w:t xml:space="preserve"> </w:t>
            </w:r>
            <w:r w:rsidR="00BF04E5">
              <w:rPr>
                <w:rFonts w:ascii="Times New Roman" w:eastAsia="Times New Roman" w:hAnsi="Times New Roman" w:cs="Times New Roman"/>
                <w:color w:val="000000"/>
                <w:lang w:eastAsia="en-US"/>
              </w:rPr>
              <w:t>“</w:t>
            </w:r>
            <w:r w:rsidR="00B90335" w:rsidRPr="00636ACF">
              <w:rPr>
                <w:rFonts w:ascii="Times New Roman" w:eastAsia="Times New Roman" w:hAnsi="Times New Roman" w:cs="Times New Roman"/>
                <w:color w:val="000000"/>
                <w:lang w:eastAsia="en-US"/>
              </w:rPr>
              <w:t>Systemized Nomenclature of Medicine – Clinical Terms</w:t>
            </w:r>
            <w:r w:rsidR="00BF04E5">
              <w:rPr>
                <w:rFonts w:ascii="Times New Roman" w:eastAsia="Times New Roman" w:hAnsi="Times New Roman" w:cs="Times New Roman"/>
                <w:color w:val="000000"/>
                <w:lang w:eastAsia="en-US"/>
              </w:rPr>
              <w:t>”</w:t>
            </w:r>
            <w:r w:rsidR="00B90335" w:rsidRPr="00636ACF">
              <w:rPr>
                <w:rFonts w:ascii="Times New Roman" w:eastAsia="Times New Roman" w:hAnsi="Times New Roman" w:cs="Times New Roman"/>
                <w:color w:val="000000"/>
                <w:lang w:eastAsia="en-US"/>
              </w:rPr>
              <w:t xml:space="preserve"> (</w:t>
            </w:r>
            <w:r w:rsidRPr="00081AD3">
              <w:rPr>
                <w:rFonts w:ascii="Times New Roman" w:eastAsia="Times New Roman" w:hAnsi="Times New Roman" w:cs="Times New Roman"/>
                <w:color w:val="000000"/>
                <w:lang w:eastAsia="en-US"/>
              </w:rPr>
              <w:t>SNOMED CT</w:t>
            </w:r>
            <w:r w:rsidR="00B90335" w:rsidRPr="00636ACF">
              <w:rPr>
                <w:rFonts w:ascii="Times New Roman" w:eastAsia="Times New Roman" w:hAnsi="Times New Roman" w:cs="Times New Roman"/>
                <w:color w:val="000000"/>
                <w:lang w:eastAsia="en-US"/>
              </w:rPr>
              <w:t>)</w:t>
            </w:r>
            <w:r w:rsidR="00973262">
              <w:rPr>
                <w:rFonts w:ascii="Times New Roman" w:eastAsia="Times New Roman" w:hAnsi="Times New Roman" w:cs="Times New Roman"/>
                <w:color w:val="000000"/>
                <w:lang w:eastAsia="en-US"/>
              </w:rPr>
              <w:t xml:space="preserve"> (ONC, n.d.)</w:t>
            </w:r>
          </w:p>
        </w:tc>
      </w:tr>
      <w:tr w:rsidR="00081AD3" w:rsidRPr="00081AD3" w14:paraId="2E8E5570"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96F57" w14:textId="77777777" w:rsidR="00081AD3" w:rsidRPr="00081AD3" w:rsidRDefault="00081AD3" w:rsidP="00081AD3">
            <w:pPr>
              <w:spacing w:after="0" w:line="240" w:lineRule="auto"/>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Care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13F82"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p>
        </w:tc>
      </w:tr>
      <w:tr w:rsidR="00081AD3" w:rsidRPr="00081AD3" w14:paraId="57E5D54E"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0833B"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Care Team member Name, Role, Identifier, Location, Telecom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7243B"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ITU-T E.123, ITU-T E.164 </w:t>
            </w:r>
            <w:r w:rsidRPr="00081AD3">
              <w:rPr>
                <w:rFonts w:ascii="Times New Roman" w:eastAsia="Times New Roman" w:hAnsi="Times New Roman" w:cs="Times New Roman"/>
                <w:b/>
                <w:bCs/>
                <w:color w:val="000000"/>
                <w:lang w:eastAsia="en-US"/>
              </w:rPr>
              <w:t>          </w:t>
            </w:r>
          </w:p>
        </w:tc>
      </w:tr>
      <w:tr w:rsidR="00081AD3" w:rsidRPr="00081AD3" w14:paraId="3245D15C"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5046D" w14:textId="59FA21CD" w:rsidR="00081AD3" w:rsidRPr="00081AD3" w:rsidRDefault="00E91346" w:rsidP="00FD6B29">
            <w:pPr>
              <w:snapToGrid w:val="0"/>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Notes - Consultation, Discharge summary, Operative, Emergency department, History &amp; physical, Procedure, Progress</w:t>
            </w:r>
            <w:r>
              <w:rPr>
                <w:rFonts w:ascii="Times New Roman" w:eastAsia="Times New Roman" w:hAnsi="Times New Roman" w:cs="Times New Roman"/>
                <w:color w:val="000000"/>
                <w:lang w:eastAsia="en-US"/>
              </w:rPr>
              <w:t>”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7A370" w14:textId="7FE81E1F" w:rsidR="00081AD3" w:rsidRPr="00081AD3" w:rsidRDefault="00A147D1" w:rsidP="00A41D21">
            <w:pPr>
              <w:spacing w:after="0" w:line="240" w:lineRule="auto"/>
              <w:ind w:left="720" w:hanging="720"/>
              <w:rPr>
                <w:rFonts w:ascii="Times New Roman" w:eastAsia="Times New Roman" w:hAnsi="Times New Roman" w:cs="Times New Roman"/>
                <w:lang w:eastAsia="en-US"/>
              </w:rPr>
            </w:pPr>
            <w:r>
              <w:rPr>
                <w:rFonts w:ascii="Times New Roman" w:hAnsi="Times New Roman" w:cs="Times New Roman"/>
              </w:rPr>
              <w:t>“</w:t>
            </w:r>
            <w:r w:rsidR="00F1433B" w:rsidRPr="00636ACF">
              <w:rPr>
                <w:rFonts w:ascii="Times New Roman" w:hAnsi="Times New Roman" w:cs="Times New Roman"/>
              </w:rPr>
              <w:t>Logical Observation Identifiers Names and Codes</w:t>
            </w:r>
            <w:r w:rsidR="00F1433B" w:rsidRPr="00636ACF">
              <w:rPr>
                <w:rFonts w:ascii="Times New Roman" w:hAnsi="Times New Roman" w:cs="Times New Roman"/>
              </w:rPr>
              <w:t xml:space="preserve"> </w:t>
            </w:r>
            <w:r w:rsidR="00E91346">
              <w:rPr>
                <w:rFonts w:ascii="Times New Roman" w:hAnsi="Times New Roman" w:cs="Times New Roman"/>
              </w:rPr>
              <w:t>“</w:t>
            </w:r>
            <w:r w:rsidR="00F1433B" w:rsidRPr="00636ACF">
              <w:rPr>
                <w:rFonts w:ascii="Times New Roman" w:hAnsi="Times New Roman" w:cs="Times New Roman"/>
              </w:rPr>
              <w:t>(</w:t>
            </w:r>
            <w:r w:rsidR="00081AD3" w:rsidRPr="00081AD3">
              <w:rPr>
                <w:rFonts w:ascii="Times New Roman" w:eastAsia="Times New Roman" w:hAnsi="Times New Roman" w:cs="Times New Roman"/>
                <w:color w:val="000000"/>
                <w:lang w:eastAsia="en-US"/>
              </w:rPr>
              <w:t>LOINC</w:t>
            </w:r>
            <w:r w:rsidR="00F1433B" w:rsidRPr="00636ACF">
              <w:rPr>
                <w:rFonts w:ascii="Times New Roman" w:eastAsia="Times New Roman" w:hAnsi="Times New Roman" w:cs="Times New Roman"/>
                <w:color w:val="000000"/>
                <w:lang w:eastAsia="en-US"/>
              </w:rPr>
              <w:t>)</w:t>
            </w:r>
            <w:r w:rsidR="00973262">
              <w:rPr>
                <w:rFonts w:ascii="Times New Roman" w:eastAsia="Times New Roman" w:hAnsi="Times New Roman" w:cs="Times New Roman"/>
                <w:color w:val="000000"/>
                <w:lang w:eastAsia="en-US"/>
              </w:rPr>
              <w:t xml:space="preserve"> </w:t>
            </w:r>
            <w:r w:rsidR="00172758">
              <w:rPr>
                <w:rFonts w:ascii="Times New Roman" w:eastAsia="Times New Roman" w:hAnsi="Times New Roman" w:cs="Times New Roman"/>
                <w:color w:val="000000"/>
                <w:lang w:eastAsia="en-US"/>
              </w:rPr>
              <w:t>(ONC, n.d.)</w:t>
            </w:r>
          </w:p>
        </w:tc>
      </w:tr>
      <w:tr w:rsidR="00081AD3" w:rsidRPr="00081AD3" w14:paraId="1A42CD23"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D8FD0" w14:textId="7B4CBE69"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Clinical </w:t>
            </w:r>
            <w:r w:rsidR="00060888" w:rsidRPr="00636ACF">
              <w:rPr>
                <w:rFonts w:ascii="Times New Roman" w:eastAsia="Times New Roman" w:hAnsi="Times New Roman" w:cs="Times New Roman"/>
                <w:color w:val="000000"/>
                <w:lang w:eastAsia="en-US"/>
              </w:rPr>
              <w:t>Tests,</w:t>
            </w:r>
            <w:r w:rsidRPr="00081AD3">
              <w:rPr>
                <w:rFonts w:ascii="Times New Roman" w:eastAsia="Times New Roman" w:hAnsi="Times New Roman" w:cs="Times New Roman"/>
                <w:color w:val="000000"/>
                <w:lang w:eastAsia="en-US"/>
              </w:rPr>
              <w:t xml:space="preserve">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2ECC9"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LOINC</w:t>
            </w:r>
          </w:p>
        </w:tc>
      </w:tr>
      <w:tr w:rsidR="00081AD3" w:rsidRPr="00081AD3" w14:paraId="04B02599"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483B2"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Diagnostic Imaging Tests, Reports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CFE30"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LOINC</w:t>
            </w:r>
          </w:p>
        </w:tc>
      </w:tr>
      <w:tr w:rsidR="00081AD3" w:rsidRPr="00081AD3" w14:paraId="7D91DFF5"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F0DDC"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Encounter Type, Identifier, Diagnosis, Location, Time, Disposition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ADDE" w14:textId="163FA24A"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SNOMED </w:t>
            </w:r>
            <w:r w:rsidR="00A41D21" w:rsidRPr="00636ACF">
              <w:rPr>
                <w:rFonts w:ascii="Times New Roman" w:eastAsia="Times New Roman" w:hAnsi="Times New Roman" w:cs="Times New Roman"/>
                <w:color w:val="000000"/>
                <w:lang w:eastAsia="en-US"/>
              </w:rPr>
              <w:t xml:space="preserve">CT, </w:t>
            </w:r>
            <w:r w:rsidR="00BF04E5">
              <w:rPr>
                <w:rFonts w:ascii="Times New Roman" w:eastAsia="Times New Roman" w:hAnsi="Times New Roman" w:cs="Times New Roman"/>
                <w:color w:val="000000"/>
                <w:lang w:eastAsia="en-US"/>
              </w:rPr>
              <w:t>“</w:t>
            </w:r>
            <w:r w:rsidR="00A41D21" w:rsidRPr="00636ACF">
              <w:rPr>
                <w:rFonts w:ascii="Times New Roman" w:eastAsia="Times New Roman" w:hAnsi="Times New Roman" w:cs="Times New Roman"/>
                <w:color w:val="000000"/>
                <w:lang w:eastAsia="en-US"/>
              </w:rPr>
              <w:t>International</w:t>
            </w:r>
            <w:r w:rsidR="00A226F8" w:rsidRPr="00636ACF">
              <w:rPr>
                <w:rFonts w:ascii="Times New Roman" w:hAnsi="Times New Roman" w:cs="Times New Roman"/>
              </w:rPr>
              <w:t xml:space="preserve"> Classification of Diseases, Tenth Revision, Clinical </w:t>
            </w:r>
            <w:r w:rsidR="00A226F8" w:rsidRPr="00636ACF">
              <w:rPr>
                <w:rFonts w:ascii="Times New Roman" w:hAnsi="Times New Roman" w:cs="Times New Roman"/>
              </w:rPr>
              <w:t>Modification</w:t>
            </w:r>
            <w:r w:rsidR="00BF04E5">
              <w:rPr>
                <w:rFonts w:ascii="Times New Roman" w:hAnsi="Times New Roman" w:cs="Times New Roman"/>
              </w:rPr>
              <w:t>”</w:t>
            </w:r>
            <w:r w:rsidR="00A226F8" w:rsidRPr="00636ACF">
              <w:rPr>
                <w:rFonts w:ascii="Times New Roman" w:eastAsia="Times New Roman" w:hAnsi="Times New Roman" w:cs="Times New Roman"/>
                <w:color w:val="000000"/>
                <w:lang w:eastAsia="en-US"/>
              </w:rPr>
              <w:t xml:space="preserve"> (ICD</w:t>
            </w:r>
            <w:r w:rsidRPr="00081AD3">
              <w:rPr>
                <w:rFonts w:ascii="Times New Roman" w:eastAsia="Times New Roman" w:hAnsi="Times New Roman" w:cs="Times New Roman"/>
                <w:color w:val="000000"/>
                <w:lang w:eastAsia="en-US"/>
              </w:rPr>
              <w:t xml:space="preserve"> -10</w:t>
            </w:r>
            <w:r w:rsidR="00A226F8" w:rsidRPr="00636ACF">
              <w:rPr>
                <w:rFonts w:ascii="Times New Roman" w:eastAsia="Times New Roman" w:hAnsi="Times New Roman" w:cs="Times New Roman"/>
                <w:color w:val="000000"/>
                <w:lang w:eastAsia="en-US"/>
              </w:rPr>
              <w:t>)</w:t>
            </w:r>
            <w:r w:rsidR="00973262">
              <w:rPr>
                <w:rFonts w:ascii="Times New Roman" w:eastAsia="Times New Roman" w:hAnsi="Times New Roman" w:cs="Times New Roman"/>
                <w:color w:val="000000"/>
                <w:lang w:eastAsia="en-US"/>
              </w:rPr>
              <w:t xml:space="preserve"> (ONC, n.d.)</w:t>
            </w:r>
          </w:p>
        </w:tc>
      </w:tr>
      <w:tr w:rsidR="00081AD3" w:rsidRPr="00081AD3" w14:paraId="1FCD5960"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9B0B0" w14:textId="042BA4B8"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Facility Identifier, Type, Name, Address</w:t>
            </w:r>
            <w:r w:rsidR="00E91346">
              <w:rPr>
                <w:rFonts w:ascii="Times New Roman" w:eastAsia="Times New Roman" w:hAnsi="Times New Roman" w:cs="Times New Roman"/>
                <w:color w:val="000000"/>
                <w:lang w:eastAsia="en-US"/>
              </w:rPr>
              <w:t xml:space="preserve">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C455B"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p>
        </w:tc>
      </w:tr>
      <w:tr w:rsidR="00081AD3" w:rsidRPr="00081AD3" w14:paraId="40A712F4"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A7CE3"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Family Health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CF1A"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p>
        </w:tc>
      </w:tr>
      <w:tr w:rsidR="00081AD3" w:rsidRPr="00081AD3" w14:paraId="31230153"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EF3E1" w14:textId="30B495B2"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Patient Goals, SDOH Goals, Treatment Intervention Preference, Care experience Preference</w:t>
            </w:r>
            <w:r w:rsidR="00E91346">
              <w:rPr>
                <w:rFonts w:ascii="Times New Roman" w:eastAsia="Times New Roman" w:hAnsi="Times New Roman" w:cs="Times New Roman"/>
                <w:color w:val="000000"/>
                <w:lang w:eastAsia="en-US"/>
              </w:rPr>
              <w:t xml:space="preserve">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EE564"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LOINC, SNOMED CT</w:t>
            </w:r>
          </w:p>
        </w:tc>
      </w:tr>
      <w:tr w:rsidR="00081AD3" w:rsidRPr="00081AD3" w14:paraId="14A687A1"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69862" w14:textId="2061E064"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Coverage status, type, Relationship to subscriber, Member, Subscriber, Group, Payer Identifiers</w:t>
            </w:r>
            <w:r w:rsidR="00E91346">
              <w:rPr>
                <w:rFonts w:ascii="Times New Roman" w:eastAsia="Times New Roman" w:hAnsi="Times New Roman" w:cs="Times New Roman"/>
                <w:color w:val="000000"/>
                <w:lang w:eastAsia="en-US"/>
              </w:rPr>
              <w:t xml:space="preserve">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0A92A"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p>
        </w:tc>
      </w:tr>
      <w:tr w:rsidR="00081AD3" w:rsidRPr="00081AD3" w14:paraId="6B161F65"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DD705"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Immunizations, LOT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EC91C"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CVX, National Drug Code (NDC)</w:t>
            </w:r>
          </w:p>
        </w:tc>
      </w:tr>
      <w:tr w:rsidR="00081AD3" w:rsidRPr="00081AD3" w14:paraId="4D9B0F97"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F58EE"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lastRenderedPageBreak/>
              <w:t>Health concerns, Functional, Disability, Mental, Pregnancy, smoking status, Alcohol &amp; substance use, physical activity, SDOH 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38A3D"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LOINC, SNOMED CT</w:t>
            </w:r>
          </w:p>
        </w:tc>
      </w:tr>
      <w:tr w:rsidR="00081AD3" w:rsidRPr="00081AD3" w14:paraId="18EC3F32"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1EDFE"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Unique device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416D1"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FDA Unique System Identification (UDI) system</w:t>
            </w:r>
          </w:p>
        </w:tc>
      </w:tr>
      <w:tr w:rsidR="00081AD3" w:rsidRPr="00081AD3" w14:paraId="1F38C66C"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130E3" w14:textId="5854143E"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Laboratory Tests, Values, </w:t>
            </w:r>
            <w:r w:rsidR="00060888" w:rsidRPr="00636ACF">
              <w:rPr>
                <w:rFonts w:ascii="Times New Roman" w:eastAsia="Times New Roman" w:hAnsi="Times New Roman" w:cs="Times New Roman"/>
                <w:color w:val="000000"/>
                <w:lang w:eastAsia="en-US"/>
              </w:rPr>
              <w:t>result</w:t>
            </w:r>
            <w:r w:rsidRPr="00081AD3">
              <w:rPr>
                <w:rFonts w:ascii="Times New Roman" w:eastAsia="Times New Roman" w:hAnsi="Times New Roman" w:cs="Times New Roman"/>
                <w:color w:val="000000"/>
                <w:lang w:eastAsia="en-US"/>
              </w:rPr>
              <w:t xml:space="preserve"> status, units of measure, Reference range &amp; Interpretation, Specimen Type, Identifier, Source cite, Condition Acceptability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587E" w14:textId="17972102" w:rsidR="00081AD3" w:rsidRPr="00081AD3" w:rsidRDefault="00BF04E5" w:rsidP="00A41D21">
            <w:pPr>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Health Level 7 (HL7) Code System ObservationInterpretation, The Unified Code of Units for Measure, Revision 2.2, LOINC, SNOMED CT</w:t>
            </w:r>
            <w:r>
              <w:rPr>
                <w:rFonts w:ascii="Times New Roman" w:eastAsia="Times New Roman" w:hAnsi="Times New Roman" w:cs="Times New Roman"/>
                <w:color w:val="000000"/>
                <w:lang w:eastAsia="en-US"/>
              </w:rPr>
              <w:t>”</w:t>
            </w:r>
            <w:r w:rsidR="0011082A">
              <w:rPr>
                <w:rFonts w:ascii="Times New Roman" w:eastAsia="Times New Roman" w:hAnsi="Times New Roman" w:cs="Times New Roman"/>
                <w:color w:val="000000"/>
                <w:lang w:eastAsia="en-US"/>
              </w:rPr>
              <w:t xml:space="preserve"> (ONC, n.d.) </w:t>
            </w:r>
          </w:p>
        </w:tc>
      </w:tr>
      <w:tr w:rsidR="00081AD3" w:rsidRPr="00081AD3" w14:paraId="60D5088F"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321B7" w14:textId="61D32831" w:rsidR="00081AD3" w:rsidRDefault="00E91346" w:rsidP="00FD6B29">
            <w:pPr>
              <w:snapToGrid w:val="0"/>
              <w:spacing w:after="0" w:line="240" w:lineRule="auto"/>
              <w:ind w:left="720" w:hanging="720"/>
              <w:rPr>
                <w:rFonts w:ascii="Times New Roman" w:eastAsia="Times New Roman" w:hAnsi="Times New Roman" w:cs="Times New Roman"/>
                <w:color w:val="000000"/>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Medications, Dose &amp; unit of Measure, Route of Administration, Indication, Dispense Status, Medication Instructions &amp; Adherence</w:t>
            </w:r>
            <w:r w:rsidR="0057379F">
              <w:rPr>
                <w:rFonts w:ascii="Times New Roman" w:eastAsia="Times New Roman" w:hAnsi="Times New Roman" w:cs="Times New Roman"/>
                <w:color w:val="000000"/>
                <w:lang w:eastAsia="en-US"/>
              </w:rPr>
              <w:t>” (ONC, n.d.)</w:t>
            </w:r>
          </w:p>
          <w:p w14:paraId="6020DF3F" w14:textId="021630B4" w:rsidR="0057379F" w:rsidRPr="00081AD3" w:rsidRDefault="0057379F" w:rsidP="0057379F">
            <w:pPr>
              <w:snapToGrid w:val="0"/>
              <w:spacing w:after="0" w:line="240" w:lineRule="auto"/>
              <w:rPr>
                <w:rFonts w:ascii="Times New Roman" w:eastAsia="Times New Roman" w:hAnsi="Times New Roman" w:cs="Times New Roman"/>
                <w:lang w:eastAsia="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14EB3" w14:textId="316C453D" w:rsidR="00081AD3" w:rsidRPr="00081AD3" w:rsidRDefault="00A147D1" w:rsidP="00A41D21">
            <w:pPr>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The Unified Code for Units of Measure, Revision 2.2, Rx Norm, SNOMED CT, National Cancer Institute Thesaurus (NCIt) v24.10d, FDA Structured Product Labeling (SPL) Terminology, ICD -10</w:t>
            </w:r>
            <w:r>
              <w:rPr>
                <w:rFonts w:ascii="Times New Roman" w:eastAsia="Times New Roman" w:hAnsi="Times New Roman" w:cs="Times New Roman"/>
                <w:color w:val="000000"/>
                <w:lang w:eastAsia="en-US"/>
              </w:rPr>
              <w:t>”</w:t>
            </w:r>
            <w:r w:rsidR="0011082A">
              <w:rPr>
                <w:rFonts w:ascii="Times New Roman" w:eastAsia="Times New Roman" w:hAnsi="Times New Roman" w:cs="Times New Roman"/>
                <w:color w:val="000000"/>
                <w:lang w:eastAsia="en-US"/>
              </w:rPr>
              <w:t xml:space="preserve"> (ONC, n.d.)</w:t>
            </w:r>
          </w:p>
        </w:tc>
      </w:tr>
      <w:tr w:rsidR="00081AD3" w:rsidRPr="00081AD3" w14:paraId="64358958"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6467D" w14:textId="39CFE7BA" w:rsidR="00081AD3" w:rsidRPr="00081AD3" w:rsidRDefault="00E91346" w:rsidP="00FD6B29">
            <w:pPr>
              <w:snapToGrid w:val="0"/>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Medication, Laboratory, Diagnostic Imaging, Clinical Test, Procedure &amp; Portable Medical Order</w:t>
            </w:r>
            <w:r>
              <w:rPr>
                <w:rFonts w:ascii="Times New Roman" w:eastAsia="Times New Roman" w:hAnsi="Times New Roman" w:cs="Times New Roman"/>
                <w:color w:val="000000"/>
                <w:lang w:eastAsia="en-US"/>
              </w:rPr>
              <w:t>”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B22DE"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LOINC, Rx Norm</w:t>
            </w:r>
          </w:p>
        </w:tc>
      </w:tr>
      <w:tr w:rsidR="00081AD3" w:rsidRPr="00081AD3" w14:paraId="2273BBAB"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2E7FB"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Patient Demographics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A816B" w14:textId="4ECEC37A" w:rsidR="00081AD3" w:rsidRPr="00081AD3" w:rsidRDefault="008579FC" w:rsidP="00A41D21">
            <w:pPr>
              <w:snapToGrid w:val="0"/>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The Office of Management and Budget Standards for Maintaining, Collecting, and Presenting Federal Data on Race and Ethnicity, Statistical Policy Directive No. 15, as revised, October 30, 1997, CDC Race and Ethnicity Code Set Version 1.3 May 2025, SNOMED CT, IETF (Internet Engineering Task Force) Request for Comment (RFC) 5646, “Tags for Identifying Languages”, September 2009, LOINC, Project US@ Technical Specification for Patient Addresses, Final Version 1.0, ITU-T E.123, Series E, ITU-T E.164, Series E, Occupational Data for Health, version 20201030</w:t>
            </w:r>
            <w:r>
              <w:rPr>
                <w:rFonts w:ascii="Times New Roman" w:eastAsia="Times New Roman" w:hAnsi="Times New Roman" w:cs="Times New Roman"/>
                <w:color w:val="000000"/>
                <w:lang w:eastAsia="en-US"/>
              </w:rPr>
              <w:t>”</w:t>
            </w:r>
            <w:r w:rsidR="0011082A">
              <w:rPr>
                <w:rFonts w:ascii="Times New Roman" w:eastAsia="Times New Roman" w:hAnsi="Times New Roman" w:cs="Times New Roman"/>
                <w:color w:val="000000"/>
                <w:lang w:eastAsia="en-US"/>
              </w:rPr>
              <w:t xml:space="preserve"> (ONC, n.d.)</w:t>
            </w:r>
          </w:p>
        </w:tc>
      </w:tr>
      <w:tr w:rsidR="00081AD3" w:rsidRPr="00081AD3" w14:paraId="491F3F35"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341C6"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Problems, SDOH Problems, Date of Diagnosis, Onset &amp; Resolution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F1AAE"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SNOMED CT, LOINC</w:t>
            </w:r>
          </w:p>
        </w:tc>
      </w:tr>
      <w:tr w:rsidR="00081AD3" w:rsidRPr="00081AD3" w14:paraId="401218AE"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89E5B" w14:textId="55F65ED7" w:rsidR="00081AD3" w:rsidRPr="00081AD3" w:rsidRDefault="0057379F" w:rsidP="00FD6B29">
            <w:pPr>
              <w:snapToGrid w:val="0"/>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Procedures, Performance Time, SDOH Interventions, Reason for Referral</w:t>
            </w:r>
            <w:r>
              <w:rPr>
                <w:rFonts w:ascii="Times New Roman" w:eastAsia="Times New Roman" w:hAnsi="Times New Roman" w:cs="Times New Roman"/>
                <w:color w:val="000000"/>
                <w:lang w:eastAsia="en-US"/>
              </w:rPr>
              <w:t>”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FFB8E" w14:textId="4F261E82" w:rsidR="00081AD3" w:rsidRPr="00081AD3" w:rsidRDefault="00081AD3" w:rsidP="00A41D21">
            <w:pPr>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t xml:space="preserve">SNOMED CT, ICD-10, Current Terminology procedure (CPT), </w:t>
            </w:r>
            <w:r w:rsidR="003A1BBC">
              <w:rPr>
                <w:rFonts w:ascii="Times New Roman" w:eastAsia="Times New Roman" w:hAnsi="Times New Roman" w:cs="Times New Roman"/>
                <w:color w:val="000000"/>
                <w:lang w:eastAsia="en-US"/>
              </w:rPr>
              <w:t>“</w:t>
            </w:r>
            <w:r w:rsidRPr="00081AD3">
              <w:rPr>
                <w:rFonts w:ascii="Times New Roman" w:eastAsia="Times New Roman" w:hAnsi="Times New Roman" w:cs="Times New Roman"/>
                <w:color w:val="000000"/>
                <w:lang w:eastAsia="en-US"/>
              </w:rPr>
              <w:t xml:space="preserve">Healthcare Common </w:t>
            </w:r>
            <w:r w:rsidRPr="00081AD3">
              <w:rPr>
                <w:rFonts w:ascii="Times New Roman" w:eastAsia="Times New Roman" w:hAnsi="Times New Roman" w:cs="Times New Roman"/>
                <w:color w:val="000000"/>
                <w:lang w:eastAsia="en-US"/>
              </w:rPr>
              <w:lastRenderedPageBreak/>
              <w:t>Procedure Coding System (HCPCS) Level II</w:t>
            </w:r>
            <w:r w:rsidR="003A1BBC">
              <w:rPr>
                <w:rFonts w:ascii="Times New Roman" w:eastAsia="Times New Roman" w:hAnsi="Times New Roman" w:cs="Times New Roman"/>
                <w:color w:val="000000"/>
                <w:lang w:eastAsia="en-US"/>
              </w:rPr>
              <w:t>”</w:t>
            </w:r>
            <w:r w:rsidR="0011082A">
              <w:rPr>
                <w:rFonts w:ascii="Times New Roman" w:eastAsia="Times New Roman" w:hAnsi="Times New Roman" w:cs="Times New Roman"/>
                <w:color w:val="000000"/>
                <w:lang w:eastAsia="en-US"/>
              </w:rPr>
              <w:t xml:space="preserve"> (ONC, n.d.)</w:t>
            </w:r>
          </w:p>
        </w:tc>
      </w:tr>
      <w:tr w:rsidR="00081AD3" w:rsidRPr="00081AD3" w14:paraId="3723AB16"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977E" w14:textId="77777777" w:rsidR="00081AD3" w:rsidRPr="00081AD3" w:rsidRDefault="00081AD3" w:rsidP="00FD6B29">
            <w:pPr>
              <w:snapToGrid w:val="0"/>
              <w:spacing w:after="0" w:line="240" w:lineRule="auto"/>
              <w:ind w:left="720" w:hanging="720"/>
              <w:rPr>
                <w:rFonts w:ascii="Times New Roman" w:eastAsia="Times New Roman" w:hAnsi="Times New Roman" w:cs="Times New Roman"/>
                <w:lang w:eastAsia="en-US"/>
              </w:rPr>
            </w:pPr>
            <w:r w:rsidRPr="00081AD3">
              <w:rPr>
                <w:rFonts w:ascii="Times New Roman" w:eastAsia="Times New Roman" w:hAnsi="Times New Roman" w:cs="Times New Roman"/>
                <w:color w:val="000000"/>
                <w:lang w:eastAsia="en-US"/>
              </w:rPr>
              <w:lastRenderedPageBreak/>
              <w:t>Author Role, Time Stamp, Organization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57844" w14:textId="77777777" w:rsidR="00081AD3" w:rsidRPr="00081AD3" w:rsidRDefault="00081AD3" w:rsidP="00A41D21">
            <w:pPr>
              <w:spacing w:after="0" w:line="240" w:lineRule="auto"/>
              <w:ind w:left="720" w:hanging="720"/>
              <w:rPr>
                <w:rFonts w:ascii="Times New Roman" w:eastAsia="Times New Roman" w:hAnsi="Times New Roman" w:cs="Times New Roman"/>
                <w:lang w:eastAsia="en-US"/>
              </w:rPr>
            </w:pPr>
          </w:p>
        </w:tc>
      </w:tr>
      <w:tr w:rsidR="00081AD3" w:rsidRPr="00081AD3" w14:paraId="3568B782" w14:textId="77777777" w:rsidTr="00081AD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7316C" w14:textId="75648D54" w:rsidR="00081AD3" w:rsidRPr="00081AD3" w:rsidRDefault="0057379F" w:rsidP="00FD6B29">
            <w:pPr>
              <w:snapToGrid w:val="0"/>
              <w:spacing w:after="0" w:line="240" w:lineRule="auto"/>
              <w:ind w:left="720" w:hanging="720"/>
              <w:rPr>
                <w:rFonts w:ascii="Times New Roman" w:eastAsia="Times New Roman" w:hAnsi="Times New Roman" w:cs="Times New Roman"/>
                <w:lang w:eastAsia="en-US"/>
              </w:rPr>
            </w:pPr>
            <w:r>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Systolic, Diastolic, Average Blood Pressures, Heart Rate, Respiratory Rate, Body Temperature, Height, Weight, Pulse Oximetry, Inhaled</w:t>
            </w:r>
            <w:r w:rsidR="00060888" w:rsidRPr="00636ACF">
              <w:rPr>
                <w:rFonts w:ascii="Times New Roman" w:eastAsia="Times New Roman" w:hAnsi="Times New Roman" w:cs="Times New Roman"/>
                <w:color w:val="000000"/>
                <w:lang w:eastAsia="en-US"/>
              </w:rPr>
              <w:t xml:space="preserve"> </w:t>
            </w:r>
            <w:r w:rsidR="00081AD3" w:rsidRPr="00081AD3">
              <w:rPr>
                <w:rFonts w:ascii="Times New Roman" w:eastAsia="Times New Roman" w:hAnsi="Times New Roman" w:cs="Times New Roman"/>
                <w:color w:val="000000"/>
                <w:lang w:eastAsia="en-US"/>
              </w:rPr>
              <w:t>Oxygen Concentration, BMI Percentile (2 - 20 years), Weight-for-length Percentile (Birth - 24 Months</w:t>
            </w:r>
            <w:r w:rsidR="00060888" w:rsidRPr="00636ACF">
              <w:rPr>
                <w:rFonts w:ascii="Times New Roman" w:eastAsia="Times New Roman" w:hAnsi="Times New Roman" w:cs="Times New Roman"/>
                <w:color w:val="000000"/>
                <w:lang w:eastAsia="en-US"/>
              </w:rPr>
              <w:t>),</w:t>
            </w:r>
            <w:r w:rsidR="00081AD3" w:rsidRPr="00081AD3">
              <w:rPr>
                <w:rFonts w:ascii="Times New Roman" w:eastAsia="Times New Roman" w:hAnsi="Times New Roman" w:cs="Times New Roman"/>
                <w:color w:val="000000"/>
                <w:lang w:eastAsia="en-US"/>
              </w:rPr>
              <w:t xml:space="preserve"> Head Occipital-frontal Circumference Percentile (Birth - 36 Months)</w:t>
            </w:r>
            <w:r>
              <w:rPr>
                <w:rFonts w:ascii="Times New Roman" w:eastAsia="Times New Roman" w:hAnsi="Times New Roman" w:cs="Times New Roman"/>
                <w:color w:val="000000"/>
                <w:lang w:eastAsia="en-US"/>
              </w:rPr>
              <w:t>” (ONC, 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FF28D" w14:textId="6442F09D" w:rsidR="00081AD3" w:rsidRPr="00081AD3" w:rsidRDefault="00060888" w:rsidP="00A41D21">
            <w:pPr>
              <w:spacing w:after="0" w:line="240" w:lineRule="auto"/>
              <w:ind w:left="720" w:hanging="720"/>
              <w:rPr>
                <w:rFonts w:ascii="Times New Roman" w:eastAsia="Times New Roman" w:hAnsi="Times New Roman" w:cs="Times New Roman"/>
                <w:lang w:eastAsia="en-US"/>
              </w:rPr>
            </w:pPr>
            <w:r w:rsidRPr="00636ACF">
              <w:rPr>
                <w:rFonts w:ascii="Times New Roman" w:eastAsia="Times New Roman" w:hAnsi="Times New Roman" w:cs="Times New Roman"/>
                <w:color w:val="000000"/>
                <w:lang w:eastAsia="en-US"/>
              </w:rPr>
              <w:t xml:space="preserve">LOINC, </w:t>
            </w:r>
            <w:r w:rsidR="00172758">
              <w:rPr>
                <w:rFonts w:ascii="Times New Roman" w:eastAsia="Times New Roman" w:hAnsi="Times New Roman" w:cs="Times New Roman"/>
                <w:color w:val="000000"/>
                <w:lang w:eastAsia="en-US"/>
              </w:rPr>
              <w:t>“</w:t>
            </w:r>
            <w:r w:rsidRPr="00636ACF">
              <w:rPr>
                <w:rFonts w:ascii="Times New Roman" w:eastAsia="Times New Roman" w:hAnsi="Times New Roman" w:cs="Times New Roman"/>
                <w:color w:val="000000"/>
                <w:lang w:eastAsia="en-US"/>
              </w:rPr>
              <w:t>The</w:t>
            </w:r>
            <w:r w:rsidR="00081AD3" w:rsidRPr="00081AD3">
              <w:rPr>
                <w:rFonts w:ascii="Times New Roman" w:eastAsia="Times New Roman" w:hAnsi="Times New Roman" w:cs="Times New Roman"/>
                <w:color w:val="000000"/>
                <w:lang w:eastAsia="en-US"/>
              </w:rPr>
              <w:t xml:space="preserve"> Unified Code of Units for Measure, Revision 2.2</w:t>
            </w:r>
            <w:r w:rsidR="00172758">
              <w:rPr>
                <w:rFonts w:ascii="Times New Roman" w:eastAsia="Times New Roman" w:hAnsi="Times New Roman" w:cs="Times New Roman"/>
                <w:color w:val="000000"/>
                <w:lang w:eastAsia="en-US"/>
              </w:rPr>
              <w:t>” (ONC, n.d.)</w:t>
            </w:r>
          </w:p>
        </w:tc>
      </w:tr>
    </w:tbl>
    <w:p w14:paraId="2CA75F71" w14:textId="77777777" w:rsidR="00081AD3" w:rsidRPr="002F6F8C" w:rsidRDefault="00081AD3" w:rsidP="002F6F8C">
      <w:pPr>
        <w:spacing w:after="0" w:line="480" w:lineRule="auto"/>
        <w:jc w:val="both"/>
        <w:rPr>
          <w:rFonts w:ascii="Times New Roman" w:eastAsia="Times New Roman" w:hAnsi="Times New Roman" w:cs="Times New Roman"/>
          <w:i/>
          <w:iCs/>
          <w:lang w:eastAsia="en-US"/>
        </w:rPr>
      </w:pPr>
    </w:p>
    <w:p w14:paraId="7FA0EE86" w14:textId="77777777" w:rsidR="002F6F8C" w:rsidRPr="002F6F8C" w:rsidRDefault="002F6F8C" w:rsidP="002F6F8C">
      <w:pPr>
        <w:spacing w:after="0" w:line="240" w:lineRule="auto"/>
        <w:rPr>
          <w:rFonts w:ascii="Times New Roman" w:eastAsia="Times New Roman" w:hAnsi="Times New Roman" w:cs="Times New Roman"/>
          <w:lang w:eastAsia="en-US"/>
        </w:rPr>
      </w:pPr>
    </w:p>
    <w:p w14:paraId="33A40836" w14:textId="77777777" w:rsidR="002F6F8C" w:rsidRPr="00636ACF" w:rsidRDefault="002F6F8C" w:rsidP="002F6F8C">
      <w:pPr>
        <w:pStyle w:val="NormalWeb"/>
        <w:spacing w:before="0" w:beforeAutospacing="0" w:after="0" w:afterAutospacing="0" w:line="480" w:lineRule="auto"/>
        <w:jc w:val="both"/>
      </w:pPr>
    </w:p>
    <w:p w14:paraId="48D4DED2" w14:textId="77777777" w:rsidR="002F6F8C" w:rsidRPr="002F6F8C" w:rsidRDefault="002F6F8C" w:rsidP="002F6F8C">
      <w:pPr>
        <w:spacing w:after="0" w:line="240" w:lineRule="auto"/>
        <w:rPr>
          <w:rFonts w:ascii="Times New Roman" w:eastAsia="Times New Roman" w:hAnsi="Times New Roman" w:cs="Times New Roman"/>
          <w:lang w:eastAsia="en-US"/>
        </w:rPr>
      </w:pPr>
    </w:p>
    <w:p w14:paraId="0DE0C0C4" w14:textId="2974FB0D" w:rsidR="004F500E" w:rsidRPr="00636ACF" w:rsidRDefault="004F500E" w:rsidP="004F500E">
      <w:pPr>
        <w:spacing w:line="480" w:lineRule="auto"/>
        <w:rPr>
          <w:rFonts w:ascii="Times New Roman" w:eastAsia="Times New Roman" w:hAnsi="Times New Roman" w:cs="Times New Roman"/>
          <w:i/>
          <w:iCs/>
        </w:rPr>
      </w:pPr>
    </w:p>
    <w:sectPr w:rsidR="004F500E" w:rsidRPr="00636ACF" w:rsidSect="00C00029">
      <w:headerReference w:type="default" r:id="rId66"/>
      <w:footerReference w:type="default" r:id="rId67"/>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E4822" w14:textId="77777777" w:rsidR="003F2AED" w:rsidRDefault="003F2AED">
      <w:pPr>
        <w:spacing w:after="0" w:line="240" w:lineRule="auto"/>
      </w:pPr>
      <w:r>
        <w:separator/>
      </w:r>
    </w:p>
  </w:endnote>
  <w:endnote w:type="continuationSeparator" w:id="0">
    <w:p w14:paraId="28C0FBEB" w14:textId="77777777" w:rsidR="003F2AED" w:rsidRDefault="003F2AED">
      <w:pPr>
        <w:spacing w:after="0" w:line="240" w:lineRule="auto"/>
      </w:pPr>
      <w:r>
        <w:continuationSeparator/>
      </w:r>
    </w:p>
  </w:endnote>
  <w:endnote w:type="continuationNotice" w:id="1">
    <w:p w14:paraId="5A9D7808" w14:textId="77777777" w:rsidR="00421C59" w:rsidRDefault="00421C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1DC99FD" w14:paraId="2A3ED7DD" w14:textId="77777777" w:rsidTr="01DC99FD">
      <w:trPr>
        <w:trHeight w:val="300"/>
      </w:trPr>
      <w:tc>
        <w:tcPr>
          <w:tcW w:w="3120" w:type="dxa"/>
        </w:tcPr>
        <w:p w14:paraId="182E0B72" w14:textId="256EEE2F" w:rsidR="01DC99FD" w:rsidRDefault="01DC99FD" w:rsidP="01DC99FD">
          <w:pPr>
            <w:pStyle w:val="Header"/>
            <w:ind w:left="-115"/>
          </w:pPr>
        </w:p>
      </w:tc>
      <w:tc>
        <w:tcPr>
          <w:tcW w:w="3120" w:type="dxa"/>
        </w:tcPr>
        <w:p w14:paraId="30CEAB03" w14:textId="186C1779" w:rsidR="01DC99FD" w:rsidRDefault="01DC99FD" w:rsidP="01DC99FD">
          <w:pPr>
            <w:pStyle w:val="Header"/>
            <w:jc w:val="center"/>
          </w:pPr>
        </w:p>
      </w:tc>
      <w:tc>
        <w:tcPr>
          <w:tcW w:w="3120" w:type="dxa"/>
        </w:tcPr>
        <w:p w14:paraId="3A662E0B" w14:textId="0980BF29" w:rsidR="01DC99FD" w:rsidRDefault="01DC99FD" w:rsidP="01DC99FD">
          <w:pPr>
            <w:pStyle w:val="Header"/>
            <w:ind w:right="-115"/>
            <w:jc w:val="right"/>
          </w:pPr>
        </w:p>
      </w:tc>
    </w:tr>
  </w:tbl>
  <w:p w14:paraId="262D51E4" w14:textId="56305A5C" w:rsidR="01DC99FD" w:rsidRDefault="01DC99FD" w:rsidP="01DC9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BB96" w14:textId="77777777" w:rsidR="003F2AED" w:rsidRDefault="003F2AED">
      <w:pPr>
        <w:spacing w:after="0" w:line="240" w:lineRule="auto"/>
      </w:pPr>
      <w:r>
        <w:separator/>
      </w:r>
    </w:p>
  </w:footnote>
  <w:footnote w:type="continuationSeparator" w:id="0">
    <w:p w14:paraId="234B24C7" w14:textId="77777777" w:rsidR="003F2AED" w:rsidRDefault="003F2AED">
      <w:pPr>
        <w:spacing w:after="0" w:line="240" w:lineRule="auto"/>
      </w:pPr>
      <w:r>
        <w:continuationSeparator/>
      </w:r>
    </w:p>
  </w:footnote>
  <w:footnote w:type="continuationNotice" w:id="1">
    <w:p w14:paraId="56E7D57A" w14:textId="77777777" w:rsidR="00421C59" w:rsidRDefault="00421C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1744336" w14:paraId="61E0EE32" w14:textId="77777777" w:rsidTr="11744336">
      <w:trPr>
        <w:trHeight w:val="300"/>
      </w:trPr>
      <w:tc>
        <w:tcPr>
          <w:tcW w:w="3120" w:type="dxa"/>
        </w:tcPr>
        <w:p w14:paraId="6225209D" w14:textId="23503A41" w:rsidR="11744336" w:rsidRDefault="11744336" w:rsidP="11744336">
          <w:pPr>
            <w:pStyle w:val="Header"/>
            <w:ind w:left="-115"/>
          </w:pPr>
        </w:p>
      </w:tc>
      <w:tc>
        <w:tcPr>
          <w:tcW w:w="3120" w:type="dxa"/>
        </w:tcPr>
        <w:p w14:paraId="11D51A1F" w14:textId="58D909E9" w:rsidR="11744336" w:rsidRDefault="11744336" w:rsidP="11744336">
          <w:pPr>
            <w:pStyle w:val="Header"/>
            <w:jc w:val="center"/>
          </w:pPr>
        </w:p>
      </w:tc>
      <w:tc>
        <w:tcPr>
          <w:tcW w:w="3120" w:type="dxa"/>
        </w:tcPr>
        <w:p w14:paraId="7CA05DAE" w14:textId="46E57FC0" w:rsidR="11744336" w:rsidRDefault="11744336" w:rsidP="11744336">
          <w:pPr>
            <w:pStyle w:val="Header"/>
            <w:ind w:right="-115"/>
            <w:jc w:val="right"/>
          </w:pPr>
          <w:r>
            <w:fldChar w:fldCharType="begin"/>
          </w:r>
          <w:r>
            <w:instrText>PAGE</w:instrText>
          </w:r>
          <w:r>
            <w:fldChar w:fldCharType="separate"/>
          </w:r>
          <w:r w:rsidR="006E421E">
            <w:rPr>
              <w:noProof/>
            </w:rPr>
            <w:t>1</w:t>
          </w:r>
          <w:r>
            <w:fldChar w:fldCharType="end"/>
          </w:r>
        </w:p>
      </w:tc>
    </w:tr>
  </w:tbl>
  <w:p w14:paraId="649FE01D" w14:textId="5D1F7BBF" w:rsidR="00251F7A" w:rsidRDefault="00251F7A">
    <w:pPr>
      <w:pStyle w:val="Header"/>
    </w:pPr>
  </w:p>
</w:hdr>
</file>

<file path=word/intelligence2.xml><?xml version="1.0" encoding="utf-8"?>
<int2:intelligence xmlns:int2="http://schemas.microsoft.com/office/intelligence/2020/intelligence" xmlns:oel="http://schemas.microsoft.com/office/2019/extlst">
  <int2:observations>
    <int2:textHash int2:hashCode="kDk4OZ6jpAycUv" int2:id="KC5UEma1">
      <int2:state int2:value="Rejected" int2:type="spell"/>
    </int2:textHash>
    <int2:entireDocument int2:id="IrK7Yw48">
      <int2:extLst>
        <oel:ext uri="E302BA01-7950-474C-9AD3-286E660C40A8">
          <int2:similaritySummary int2:version="1" int2:runId="1761418451248" int2:tilesCheckedInThisRun="45" int2:totalNumOfTiles="45" int2:similarityAnnotationCount="0" int2:numWords="217" int2:numFlaggedWords="0"/>
        </oel:ext>
      </int2:extLst>
    </int2:entireDocument>
  </int2:observations>
  <int2:intelligenceSettings/>
  <int2:onDemandWorkflows>
    <int2:onDemandWorkflow int2:type="SimilarityCheck" int2:paragraphVersions="2C078E63-77777777 376876DB-747C482F 4A529455-417FAC55 68C2716B-4D68491E 55D16790-3AEAE3B0 728DB239-3842BDD9 5CB58D3D-525F140A 0748A379-277DD0F2 59C6B951-09544D6B 039A20CF-1EA48389 39A7E501-737B9F08 532048D1-040FB4EE 1D951CE5-0BBB9C29 6B29AF89-2542559B 390A5C20-5F76CEB5 2FBC668B-1246F9D4 12DBD3A8-77B23896 5B6CD892-5A11309E 7093FA8B-5B977D56 719FDEBA-541E789D 60B160DF-7DF63993 1F66C512-4C33F448 51F4FB19-47F961B7 6920BBA1-16C6BDCB 3D32B749-30391690 7088A949-7DE69D9A 08B7C5CB-774E3BE1 1B9E6E24-17B18544 3792F814-33A3FAA8 7FD8B668-212A8427 67CE71C2-11D69892 1CEFAAF9-7ACEAC82 00943C31-393181CA 385DFC00-3A2468A6 722EC242-5C26883E 0FB4CA4F-14ED3959 7F7E2027-61E63FCE 2A057FF9-244338ED 6929614B-44BCC8E4 6E795C72-1554234F 12F59C67-7EB7E5F4 5112524E-35F18596 59EB3161-43DBD9DA 2EF728FA-1E76DD7C 2FC3CF38-152CE179 5B3BF630-3DFEEF85 31861E06-492E809E 5D4E0FD7-62A7FE8E 4BF33259-6A0669EA 74717748-144479E8 450E7D2D-6B1C8C3E 5DBE0939-66293228 144A9616-7B8A7C59 506D91ED-1F9B5086 7ABA7C2E-5F86CC04 6A3CC565-4E78A262 4BFEF197-694814B7 75812CC0-66DDDDB3 216ABE9E-472A0105 6C3148BA-680EADE6 0500C42E-07D663B7 30FDEA9B-749B7846 4B7030CC-51704E21 6C37974E-2F103F4D 2546BB31-07017488 14843889-13AB3404 5331C980-5E647599 16213BFC-09F2B307 54B13FD6-14DFB205 5275458D-3D719879 11FD7EA4-4E9DDB08 182E0B72-256EEE2F 30CEAB03-186C1779 3A662E0B-0980BF29 262D51E4-56305A5C"/>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AB8"/>
    <w:multiLevelType w:val="hybridMultilevel"/>
    <w:tmpl w:val="D1227B86"/>
    <w:lvl w:ilvl="0" w:tplc="62D60734">
      <w:start w:val="1"/>
      <w:numFmt w:val="upperLetter"/>
      <w:lvlText w:val="%1."/>
      <w:lvlJc w:val="left"/>
      <w:pPr>
        <w:ind w:left="1800" w:hanging="360"/>
      </w:pPr>
    </w:lvl>
    <w:lvl w:ilvl="1" w:tplc="B736068C">
      <w:start w:val="1"/>
      <w:numFmt w:val="lowerLetter"/>
      <w:lvlText w:val="%2."/>
      <w:lvlJc w:val="left"/>
      <w:pPr>
        <w:ind w:left="2520" w:hanging="360"/>
      </w:pPr>
    </w:lvl>
    <w:lvl w:ilvl="2" w:tplc="ACE42668">
      <w:start w:val="1"/>
      <w:numFmt w:val="lowerRoman"/>
      <w:lvlText w:val="%3."/>
      <w:lvlJc w:val="right"/>
      <w:pPr>
        <w:ind w:left="3240" w:hanging="180"/>
      </w:pPr>
    </w:lvl>
    <w:lvl w:ilvl="3" w:tplc="DF6E2A3A">
      <w:start w:val="1"/>
      <w:numFmt w:val="decimal"/>
      <w:lvlText w:val="%4."/>
      <w:lvlJc w:val="left"/>
      <w:pPr>
        <w:ind w:left="3960" w:hanging="360"/>
      </w:pPr>
    </w:lvl>
    <w:lvl w:ilvl="4" w:tplc="3F90DC06">
      <w:start w:val="1"/>
      <w:numFmt w:val="lowerLetter"/>
      <w:lvlText w:val="%5."/>
      <w:lvlJc w:val="left"/>
      <w:pPr>
        <w:ind w:left="4680" w:hanging="360"/>
      </w:pPr>
    </w:lvl>
    <w:lvl w:ilvl="5" w:tplc="83EC714A">
      <w:start w:val="1"/>
      <w:numFmt w:val="lowerRoman"/>
      <w:lvlText w:val="%6."/>
      <w:lvlJc w:val="right"/>
      <w:pPr>
        <w:ind w:left="5400" w:hanging="180"/>
      </w:pPr>
    </w:lvl>
    <w:lvl w:ilvl="6" w:tplc="A10CCB4A">
      <w:start w:val="1"/>
      <w:numFmt w:val="decimal"/>
      <w:lvlText w:val="%7."/>
      <w:lvlJc w:val="left"/>
      <w:pPr>
        <w:ind w:left="6120" w:hanging="360"/>
      </w:pPr>
    </w:lvl>
    <w:lvl w:ilvl="7" w:tplc="4F64FF32">
      <w:start w:val="1"/>
      <w:numFmt w:val="lowerLetter"/>
      <w:lvlText w:val="%8."/>
      <w:lvlJc w:val="left"/>
      <w:pPr>
        <w:ind w:left="6840" w:hanging="360"/>
      </w:pPr>
    </w:lvl>
    <w:lvl w:ilvl="8" w:tplc="CBEA5ECE">
      <w:start w:val="1"/>
      <w:numFmt w:val="lowerRoman"/>
      <w:lvlText w:val="%9."/>
      <w:lvlJc w:val="right"/>
      <w:pPr>
        <w:ind w:left="7560" w:hanging="180"/>
      </w:pPr>
    </w:lvl>
  </w:abstractNum>
  <w:abstractNum w:abstractNumId="1" w15:restartNumberingAfterBreak="0">
    <w:nsid w:val="40FD8DF7"/>
    <w:multiLevelType w:val="hybridMultilevel"/>
    <w:tmpl w:val="B5B8FC8E"/>
    <w:lvl w:ilvl="0" w:tplc="9DAAED3A">
      <w:start w:val="1"/>
      <w:numFmt w:val="upperLetter"/>
      <w:lvlText w:val="%1."/>
      <w:lvlJc w:val="left"/>
      <w:pPr>
        <w:ind w:left="1800" w:hanging="360"/>
      </w:pPr>
    </w:lvl>
    <w:lvl w:ilvl="1" w:tplc="8514C1EE">
      <w:start w:val="1"/>
      <w:numFmt w:val="lowerLetter"/>
      <w:lvlText w:val="%2."/>
      <w:lvlJc w:val="left"/>
      <w:pPr>
        <w:ind w:left="2520" w:hanging="360"/>
      </w:pPr>
    </w:lvl>
    <w:lvl w:ilvl="2" w:tplc="384C1C28">
      <w:start w:val="1"/>
      <w:numFmt w:val="lowerRoman"/>
      <w:lvlText w:val="%3."/>
      <w:lvlJc w:val="right"/>
      <w:pPr>
        <w:ind w:left="3240" w:hanging="180"/>
      </w:pPr>
    </w:lvl>
    <w:lvl w:ilvl="3" w:tplc="8700ADD0">
      <w:start w:val="1"/>
      <w:numFmt w:val="decimal"/>
      <w:lvlText w:val="%4."/>
      <w:lvlJc w:val="left"/>
      <w:pPr>
        <w:ind w:left="3960" w:hanging="360"/>
      </w:pPr>
    </w:lvl>
    <w:lvl w:ilvl="4" w:tplc="A8506EAC">
      <w:start w:val="1"/>
      <w:numFmt w:val="lowerLetter"/>
      <w:lvlText w:val="%5."/>
      <w:lvlJc w:val="left"/>
      <w:pPr>
        <w:ind w:left="4680" w:hanging="360"/>
      </w:pPr>
    </w:lvl>
    <w:lvl w:ilvl="5" w:tplc="17C8C648">
      <w:start w:val="1"/>
      <w:numFmt w:val="lowerRoman"/>
      <w:lvlText w:val="%6."/>
      <w:lvlJc w:val="right"/>
      <w:pPr>
        <w:ind w:left="5400" w:hanging="180"/>
      </w:pPr>
    </w:lvl>
    <w:lvl w:ilvl="6" w:tplc="344497B0">
      <w:start w:val="1"/>
      <w:numFmt w:val="decimal"/>
      <w:lvlText w:val="%7."/>
      <w:lvlJc w:val="left"/>
      <w:pPr>
        <w:ind w:left="6120" w:hanging="360"/>
      </w:pPr>
    </w:lvl>
    <w:lvl w:ilvl="7" w:tplc="C68445D0">
      <w:start w:val="1"/>
      <w:numFmt w:val="lowerLetter"/>
      <w:lvlText w:val="%8."/>
      <w:lvlJc w:val="left"/>
      <w:pPr>
        <w:ind w:left="6840" w:hanging="360"/>
      </w:pPr>
    </w:lvl>
    <w:lvl w:ilvl="8" w:tplc="C75823F8">
      <w:start w:val="1"/>
      <w:numFmt w:val="lowerRoman"/>
      <w:lvlText w:val="%9."/>
      <w:lvlJc w:val="right"/>
      <w:pPr>
        <w:ind w:left="7560" w:hanging="180"/>
      </w:pPr>
    </w:lvl>
  </w:abstractNum>
  <w:abstractNum w:abstractNumId="2" w15:restartNumberingAfterBreak="0">
    <w:nsid w:val="60B4C4E5"/>
    <w:multiLevelType w:val="multilevel"/>
    <w:tmpl w:val="A844A6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C943A8E"/>
    <w:multiLevelType w:val="multilevel"/>
    <w:tmpl w:val="F2B0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F7731A"/>
    <w:multiLevelType w:val="multilevel"/>
    <w:tmpl w:val="F2B0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0456C8"/>
    <w:multiLevelType w:val="multilevel"/>
    <w:tmpl w:val="F2B0F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3077260">
    <w:abstractNumId w:val="0"/>
  </w:num>
  <w:num w:numId="2" w16cid:durableId="1894459170">
    <w:abstractNumId w:val="1"/>
  </w:num>
  <w:num w:numId="3" w16cid:durableId="1072238876">
    <w:abstractNumId w:val="2"/>
  </w:num>
  <w:num w:numId="4" w16cid:durableId="1347706692">
    <w:abstractNumId w:val="4"/>
  </w:num>
  <w:num w:numId="5" w16cid:durableId="1459836889">
    <w:abstractNumId w:val="3"/>
  </w:num>
  <w:num w:numId="6" w16cid:durableId="119803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1D8C95"/>
    <w:rsid w:val="0000601C"/>
    <w:rsid w:val="00024E5C"/>
    <w:rsid w:val="000272C5"/>
    <w:rsid w:val="00036729"/>
    <w:rsid w:val="00055EF3"/>
    <w:rsid w:val="00060888"/>
    <w:rsid w:val="00081AD3"/>
    <w:rsid w:val="00084548"/>
    <w:rsid w:val="0008523F"/>
    <w:rsid w:val="000F3D11"/>
    <w:rsid w:val="0011082A"/>
    <w:rsid w:val="001269FF"/>
    <w:rsid w:val="00151412"/>
    <w:rsid w:val="001640A0"/>
    <w:rsid w:val="00172758"/>
    <w:rsid w:val="001820B0"/>
    <w:rsid w:val="001B54DE"/>
    <w:rsid w:val="001B6099"/>
    <w:rsid w:val="001B64C9"/>
    <w:rsid w:val="001C530E"/>
    <w:rsid w:val="001D1DC8"/>
    <w:rsid w:val="001E2D72"/>
    <w:rsid w:val="002033A8"/>
    <w:rsid w:val="00207F64"/>
    <w:rsid w:val="00210AA4"/>
    <w:rsid w:val="0021414B"/>
    <w:rsid w:val="00242A56"/>
    <w:rsid w:val="00251F7A"/>
    <w:rsid w:val="002C3AE9"/>
    <w:rsid w:val="002D0328"/>
    <w:rsid w:val="002F33EB"/>
    <w:rsid w:val="002F6F8C"/>
    <w:rsid w:val="00305B26"/>
    <w:rsid w:val="00307561"/>
    <w:rsid w:val="0033276B"/>
    <w:rsid w:val="0037528F"/>
    <w:rsid w:val="003759D1"/>
    <w:rsid w:val="003819FF"/>
    <w:rsid w:val="003A1BBC"/>
    <w:rsid w:val="003B0D86"/>
    <w:rsid w:val="003F2AED"/>
    <w:rsid w:val="003F710E"/>
    <w:rsid w:val="004070BD"/>
    <w:rsid w:val="00421C59"/>
    <w:rsid w:val="004332BA"/>
    <w:rsid w:val="00444F80"/>
    <w:rsid w:val="00456735"/>
    <w:rsid w:val="004B31C6"/>
    <w:rsid w:val="004C1C4D"/>
    <w:rsid w:val="004D5A02"/>
    <w:rsid w:val="004E3303"/>
    <w:rsid w:val="004F500E"/>
    <w:rsid w:val="00534786"/>
    <w:rsid w:val="005673AC"/>
    <w:rsid w:val="0057379F"/>
    <w:rsid w:val="00575E6C"/>
    <w:rsid w:val="00577629"/>
    <w:rsid w:val="005C4192"/>
    <w:rsid w:val="005D418F"/>
    <w:rsid w:val="005F7B4D"/>
    <w:rsid w:val="00633D47"/>
    <w:rsid w:val="00636ACF"/>
    <w:rsid w:val="0065169D"/>
    <w:rsid w:val="00697ADA"/>
    <w:rsid w:val="006A1A81"/>
    <w:rsid w:val="006A3A3B"/>
    <w:rsid w:val="006B2B90"/>
    <w:rsid w:val="006B43EF"/>
    <w:rsid w:val="006C120F"/>
    <w:rsid w:val="006C62C3"/>
    <w:rsid w:val="006D3240"/>
    <w:rsid w:val="006E421E"/>
    <w:rsid w:val="006E5537"/>
    <w:rsid w:val="00701963"/>
    <w:rsid w:val="00722D80"/>
    <w:rsid w:val="00742B46"/>
    <w:rsid w:val="00752CCC"/>
    <w:rsid w:val="007652A7"/>
    <w:rsid w:val="007B3121"/>
    <w:rsid w:val="00803DD7"/>
    <w:rsid w:val="00813CA4"/>
    <w:rsid w:val="0081640E"/>
    <w:rsid w:val="008579FC"/>
    <w:rsid w:val="00872303"/>
    <w:rsid w:val="00881298"/>
    <w:rsid w:val="008A1A88"/>
    <w:rsid w:val="008A2A3C"/>
    <w:rsid w:val="008A5DDC"/>
    <w:rsid w:val="008A674E"/>
    <w:rsid w:val="008E15A0"/>
    <w:rsid w:val="008F7865"/>
    <w:rsid w:val="009049BD"/>
    <w:rsid w:val="00931CDE"/>
    <w:rsid w:val="009447C1"/>
    <w:rsid w:val="00973262"/>
    <w:rsid w:val="00974CC3"/>
    <w:rsid w:val="00985CD4"/>
    <w:rsid w:val="009D72E4"/>
    <w:rsid w:val="00A147D1"/>
    <w:rsid w:val="00A21996"/>
    <w:rsid w:val="00A226F8"/>
    <w:rsid w:val="00A23226"/>
    <w:rsid w:val="00A35CFF"/>
    <w:rsid w:val="00A41D21"/>
    <w:rsid w:val="00A84519"/>
    <w:rsid w:val="00A84BA7"/>
    <w:rsid w:val="00AC5556"/>
    <w:rsid w:val="00AD3FEA"/>
    <w:rsid w:val="00AF3633"/>
    <w:rsid w:val="00B0241F"/>
    <w:rsid w:val="00B64C50"/>
    <w:rsid w:val="00B90335"/>
    <w:rsid w:val="00BE5C34"/>
    <w:rsid w:val="00BF04E5"/>
    <w:rsid w:val="00C00029"/>
    <w:rsid w:val="00C30623"/>
    <w:rsid w:val="00C4184C"/>
    <w:rsid w:val="00CA4912"/>
    <w:rsid w:val="00CA4B28"/>
    <w:rsid w:val="00CD1D46"/>
    <w:rsid w:val="00D040D1"/>
    <w:rsid w:val="00D1659F"/>
    <w:rsid w:val="00D231CD"/>
    <w:rsid w:val="00D5279B"/>
    <w:rsid w:val="00D605EB"/>
    <w:rsid w:val="00D8445E"/>
    <w:rsid w:val="00D84E63"/>
    <w:rsid w:val="00D92D72"/>
    <w:rsid w:val="00D94B21"/>
    <w:rsid w:val="00D9629E"/>
    <w:rsid w:val="00DE6931"/>
    <w:rsid w:val="00E376D2"/>
    <w:rsid w:val="00E46407"/>
    <w:rsid w:val="00E56C4E"/>
    <w:rsid w:val="00E62FBD"/>
    <w:rsid w:val="00E675E4"/>
    <w:rsid w:val="00E71F18"/>
    <w:rsid w:val="00E84100"/>
    <w:rsid w:val="00E91346"/>
    <w:rsid w:val="00EC0138"/>
    <w:rsid w:val="00ED493F"/>
    <w:rsid w:val="00F1433B"/>
    <w:rsid w:val="00F65C6F"/>
    <w:rsid w:val="00F7603F"/>
    <w:rsid w:val="00FC41D0"/>
    <w:rsid w:val="00FD6B29"/>
    <w:rsid w:val="01DC99FD"/>
    <w:rsid w:val="01EEA2D0"/>
    <w:rsid w:val="02F66D6C"/>
    <w:rsid w:val="041DF248"/>
    <w:rsid w:val="048FF10E"/>
    <w:rsid w:val="05B370FD"/>
    <w:rsid w:val="06337D95"/>
    <w:rsid w:val="08338060"/>
    <w:rsid w:val="0A0FDCC3"/>
    <w:rsid w:val="0A912B95"/>
    <w:rsid w:val="0AFF2E95"/>
    <w:rsid w:val="0B5229C9"/>
    <w:rsid w:val="0D64CC26"/>
    <w:rsid w:val="0E3716F6"/>
    <w:rsid w:val="0EB25203"/>
    <w:rsid w:val="0F3C309C"/>
    <w:rsid w:val="10615D13"/>
    <w:rsid w:val="11744336"/>
    <w:rsid w:val="11BB35DD"/>
    <w:rsid w:val="12375D87"/>
    <w:rsid w:val="126AFE62"/>
    <w:rsid w:val="14020AB7"/>
    <w:rsid w:val="151035AC"/>
    <w:rsid w:val="154F3323"/>
    <w:rsid w:val="16152B19"/>
    <w:rsid w:val="17803BB4"/>
    <w:rsid w:val="17DEAE67"/>
    <w:rsid w:val="1861D359"/>
    <w:rsid w:val="197202F1"/>
    <w:rsid w:val="19DF9CD2"/>
    <w:rsid w:val="1A1C0DF1"/>
    <w:rsid w:val="1A36AA2F"/>
    <w:rsid w:val="1BCA2EA9"/>
    <w:rsid w:val="1C1D8C95"/>
    <w:rsid w:val="1D1383B8"/>
    <w:rsid w:val="1ECC29AB"/>
    <w:rsid w:val="1F591143"/>
    <w:rsid w:val="229B446E"/>
    <w:rsid w:val="244C735A"/>
    <w:rsid w:val="259C47FC"/>
    <w:rsid w:val="28D443DE"/>
    <w:rsid w:val="29439D7F"/>
    <w:rsid w:val="29EF1E79"/>
    <w:rsid w:val="2A50C5E5"/>
    <w:rsid w:val="2A92A3AB"/>
    <w:rsid w:val="2A97FF21"/>
    <w:rsid w:val="2B2049A9"/>
    <w:rsid w:val="2CEC48C8"/>
    <w:rsid w:val="2CF9F77B"/>
    <w:rsid w:val="2D81075A"/>
    <w:rsid w:val="2D8CC538"/>
    <w:rsid w:val="2D8F0A4A"/>
    <w:rsid w:val="2DE635EF"/>
    <w:rsid w:val="2E5A2FA0"/>
    <w:rsid w:val="33E32702"/>
    <w:rsid w:val="34A7334E"/>
    <w:rsid w:val="3A109D2D"/>
    <w:rsid w:val="3B5A1617"/>
    <w:rsid w:val="3D313806"/>
    <w:rsid w:val="3DC191F8"/>
    <w:rsid w:val="3E52B6DB"/>
    <w:rsid w:val="3EA1A0FF"/>
    <w:rsid w:val="3EDB01C6"/>
    <w:rsid w:val="40A55720"/>
    <w:rsid w:val="40ACA487"/>
    <w:rsid w:val="414027C1"/>
    <w:rsid w:val="429569CF"/>
    <w:rsid w:val="43361E16"/>
    <w:rsid w:val="43B09B5B"/>
    <w:rsid w:val="44BE80D4"/>
    <w:rsid w:val="463B72A7"/>
    <w:rsid w:val="4707258B"/>
    <w:rsid w:val="4988632D"/>
    <w:rsid w:val="49B9F94B"/>
    <w:rsid w:val="49F52017"/>
    <w:rsid w:val="49FCEDCD"/>
    <w:rsid w:val="4A3B0957"/>
    <w:rsid w:val="4AB11FD0"/>
    <w:rsid w:val="4ACD439A"/>
    <w:rsid w:val="4BD08C48"/>
    <w:rsid w:val="4D72C359"/>
    <w:rsid w:val="4D74D9AA"/>
    <w:rsid w:val="4E600F53"/>
    <w:rsid w:val="4E661D50"/>
    <w:rsid w:val="4EDD3BF9"/>
    <w:rsid w:val="4F3D6364"/>
    <w:rsid w:val="4F8CAF88"/>
    <w:rsid w:val="4F9DD66B"/>
    <w:rsid w:val="4FDE74C6"/>
    <w:rsid w:val="52371CE0"/>
    <w:rsid w:val="52B0FB65"/>
    <w:rsid w:val="52DA9884"/>
    <w:rsid w:val="55F7E0F1"/>
    <w:rsid w:val="57223869"/>
    <w:rsid w:val="573414A0"/>
    <w:rsid w:val="57857DAC"/>
    <w:rsid w:val="5832C103"/>
    <w:rsid w:val="59672200"/>
    <w:rsid w:val="5A885062"/>
    <w:rsid w:val="5BA92E15"/>
    <w:rsid w:val="5BBAEF2B"/>
    <w:rsid w:val="5BC392C7"/>
    <w:rsid w:val="5C86244F"/>
    <w:rsid w:val="5C9F3440"/>
    <w:rsid w:val="5CEB2755"/>
    <w:rsid w:val="5DAFCA69"/>
    <w:rsid w:val="5EE9B80D"/>
    <w:rsid w:val="606AB3C2"/>
    <w:rsid w:val="61EDFD06"/>
    <w:rsid w:val="62565266"/>
    <w:rsid w:val="62D69DEE"/>
    <w:rsid w:val="63B3A7C4"/>
    <w:rsid w:val="63F12DFE"/>
    <w:rsid w:val="6462C3EE"/>
    <w:rsid w:val="64DC82FB"/>
    <w:rsid w:val="6599943C"/>
    <w:rsid w:val="677F6051"/>
    <w:rsid w:val="68E643B6"/>
    <w:rsid w:val="69B25009"/>
    <w:rsid w:val="6AA43902"/>
    <w:rsid w:val="6C011D7D"/>
    <w:rsid w:val="6D3D9560"/>
    <w:rsid w:val="6E586117"/>
    <w:rsid w:val="6EA05BD0"/>
    <w:rsid w:val="6ED6FFF1"/>
    <w:rsid w:val="70819109"/>
    <w:rsid w:val="70FA4370"/>
    <w:rsid w:val="726FFC6F"/>
    <w:rsid w:val="72E69717"/>
    <w:rsid w:val="74DB58A2"/>
    <w:rsid w:val="75F6ADBD"/>
    <w:rsid w:val="7631B035"/>
    <w:rsid w:val="76585E3A"/>
    <w:rsid w:val="76B161D1"/>
    <w:rsid w:val="76D648D9"/>
    <w:rsid w:val="7791FCE2"/>
    <w:rsid w:val="77A87A82"/>
    <w:rsid w:val="7856E325"/>
    <w:rsid w:val="788FECCA"/>
    <w:rsid w:val="78A32C94"/>
    <w:rsid w:val="78CC4ABB"/>
    <w:rsid w:val="79BA8C0F"/>
    <w:rsid w:val="7A929C63"/>
    <w:rsid w:val="7B0C3E77"/>
    <w:rsid w:val="7BCF1880"/>
    <w:rsid w:val="7BF4F406"/>
    <w:rsid w:val="7C2B50A9"/>
    <w:rsid w:val="7C8593EF"/>
    <w:rsid w:val="7CB27A0D"/>
    <w:rsid w:val="7D47803A"/>
    <w:rsid w:val="7E855924"/>
    <w:rsid w:val="7F435E76"/>
    <w:rsid w:val="7F673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D8C95"/>
  <w15:chartTrackingRefBased/>
  <w15:docId w15:val="{F3A949BC-3562-4CD3-9EE8-F2888FC81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1DC99FD"/>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01DC99FD"/>
    <w:pPr>
      <w:tabs>
        <w:tab w:val="center" w:pos="4680"/>
        <w:tab w:val="right" w:pos="9360"/>
      </w:tabs>
      <w:spacing w:after="0" w:line="240" w:lineRule="auto"/>
    </w:pPr>
  </w:style>
  <w:style w:type="paragraph" w:styleId="Footer">
    <w:name w:val="footer"/>
    <w:basedOn w:val="Normal"/>
    <w:uiPriority w:val="99"/>
    <w:unhideWhenUsed/>
    <w:rsid w:val="01DC99FD"/>
    <w:pPr>
      <w:tabs>
        <w:tab w:val="center" w:pos="4680"/>
        <w:tab w:val="right" w:pos="9360"/>
      </w:tabs>
      <w:spacing w:after="0" w:line="240" w:lineRule="auto"/>
    </w:pPr>
  </w:style>
  <w:style w:type="paragraph" w:styleId="ListParagraph">
    <w:name w:val="List Paragraph"/>
    <w:basedOn w:val="Normal"/>
    <w:uiPriority w:val="34"/>
    <w:qFormat/>
    <w:rsid w:val="01DC99FD"/>
    <w:pPr>
      <w:ind w:left="720"/>
      <w:contextualSpacing/>
    </w:pPr>
  </w:style>
  <w:style w:type="character" w:styleId="Hyperlink">
    <w:name w:val="Hyperlink"/>
    <w:basedOn w:val="DefaultParagraphFont"/>
    <w:uiPriority w:val="99"/>
    <w:unhideWhenUsed/>
    <w:rsid w:val="01DC99FD"/>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D9629E"/>
  </w:style>
  <w:style w:type="paragraph" w:styleId="NormalWeb">
    <w:name w:val="Normal (Web)"/>
    <w:basedOn w:val="Normal"/>
    <w:uiPriority w:val="99"/>
    <w:unhideWhenUsed/>
    <w:rsid w:val="006E421E"/>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tab-span">
    <w:name w:val="apple-tab-span"/>
    <w:basedOn w:val="DefaultParagraphFont"/>
    <w:rsid w:val="006E421E"/>
  </w:style>
  <w:style w:type="character" w:styleId="FollowedHyperlink">
    <w:name w:val="FollowedHyperlink"/>
    <w:basedOn w:val="DefaultParagraphFont"/>
    <w:uiPriority w:val="99"/>
    <w:semiHidden/>
    <w:unhideWhenUsed/>
    <w:rsid w:val="0000601C"/>
    <w:rPr>
      <w:color w:val="96607D" w:themeColor="followedHyperlink"/>
      <w:u w:val="single"/>
    </w:rPr>
  </w:style>
  <w:style w:type="character" w:styleId="UnresolvedMention">
    <w:name w:val="Unresolved Mention"/>
    <w:basedOn w:val="DefaultParagraphFont"/>
    <w:uiPriority w:val="99"/>
    <w:semiHidden/>
    <w:unhideWhenUsed/>
    <w:rsid w:val="005F7B4D"/>
    <w:rPr>
      <w:color w:val="605E5C"/>
      <w:shd w:val="clear" w:color="auto" w:fill="E1DFDD"/>
    </w:rPr>
  </w:style>
  <w:style w:type="character" w:styleId="Emphasis">
    <w:name w:val="Emphasis"/>
    <w:basedOn w:val="DefaultParagraphFont"/>
    <w:uiPriority w:val="20"/>
    <w:qFormat/>
    <w:rsid w:val="00AF36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3256">
      <w:bodyDiv w:val="1"/>
      <w:marLeft w:val="0"/>
      <w:marRight w:val="0"/>
      <w:marTop w:val="0"/>
      <w:marBottom w:val="0"/>
      <w:divBdr>
        <w:top w:val="none" w:sz="0" w:space="0" w:color="auto"/>
        <w:left w:val="none" w:sz="0" w:space="0" w:color="auto"/>
        <w:bottom w:val="none" w:sz="0" w:space="0" w:color="auto"/>
        <w:right w:val="none" w:sz="0" w:space="0" w:color="auto"/>
      </w:divBdr>
    </w:div>
    <w:div w:id="113524770">
      <w:bodyDiv w:val="1"/>
      <w:marLeft w:val="0"/>
      <w:marRight w:val="0"/>
      <w:marTop w:val="0"/>
      <w:marBottom w:val="0"/>
      <w:divBdr>
        <w:top w:val="none" w:sz="0" w:space="0" w:color="auto"/>
        <w:left w:val="none" w:sz="0" w:space="0" w:color="auto"/>
        <w:bottom w:val="none" w:sz="0" w:space="0" w:color="auto"/>
        <w:right w:val="none" w:sz="0" w:space="0" w:color="auto"/>
      </w:divBdr>
    </w:div>
    <w:div w:id="151797123">
      <w:bodyDiv w:val="1"/>
      <w:marLeft w:val="0"/>
      <w:marRight w:val="0"/>
      <w:marTop w:val="0"/>
      <w:marBottom w:val="0"/>
      <w:divBdr>
        <w:top w:val="none" w:sz="0" w:space="0" w:color="auto"/>
        <w:left w:val="none" w:sz="0" w:space="0" w:color="auto"/>
        <w:bottom w:val="none" w:sz="0" w:space="0" w:color="auto"/>
        <w:right w:val="none" w:sz="0" w:space="0" w:color="auto"/>
      </w:divBdr>
    </w:div>
    <w:div w:id="198976107">
      <w:bodyDiv w:val="1"/>
      <w:marLeft w:val="0"/>
      <w:marRight w:val="0"/>
      <w:marTop w:val="0"/>
      <w:marBottom w:val="0"/>
      <w:divBdr>
        <w:top w:val="none" w:sz="0" w:space="0" w:color="auto"/>
        <w:left w:val="none" w:sz="0" w:space="0" w:color="auto"/>
        <w:bottom w:val="none" w:sz="0" w:space="0" w:color="auto"/>
        <w:right w:val="none" w:sz="0" w:space="0" w:color="auto"/>
      </w:divBdr>
      <w:divsChild>
        <w:div w:id="753087845">
          <w:marLeft w:val="15"/>
          <w:marRight w:val="0"/>
          <w:marTop w:val="0"/>
          <w:marBottom w:val="0"/>
          <w:divBdr>
            <w:top w:val="none" w:sz="0" w:space="0" w:color="auto"/>
            <w:left w:val="none" w:sz="0" w:space="0" w:color="auto"/>
            <w:bottom w:val="none" w:sz="0" w:space="0" w:color="auto"/>
            <w:right w:val="none" w:sz="0" w:space="0" w:color="auto"/>
          </w:divBdr>
        </w:div>
      </w:divsChild>
    </w:div>
    <w:div w:id="392896232">
      <w:bodyDiv w:val="1"/>
      <w:marLeft w:val="0"/>
      <w:marRight w:val="0"/>
      <w:marTop w:val="0"/>
      <w:marBottom w:val="0"/>
      <w:divBdr>
        <w:top w:val="none" w:sz="0" w:space="0" w:color="auto"/>
        <w:left w:val="none" w:sz="0" w:space="0" w:color="auto"/>
        <w:bottom w:val="none" w:sz="0" w:space="0" w:color="auto"/>
        <w:right w:val="none" w:sz="0" w:space="0" w:color="auto"/>
      </w:divBdr>
    </w:div>
    <w:div w:id="527916487">
      <w:bodyDiv w:val="1"/>
      <w:marLeft w:val="0"/>
      <w:marRight w:val="0"/>
      <w:marTop w:val="0"/>
      <w:marBottom w:val="0"/>
      <w:divBdr>
        <w:top w:val="none" w:sz="0" w:space="0" w:color="auto"/>
        <w:left w:val="none" w:sz="0" w:space="0" w:color="auto"/>
        <w:bottom w:val="none" w:sz="0" w:space="0" w:color="auto"/>
        <w:right w:val="none" w:sz="0" w:space="0" w:color="auto"/>
      </w:divBdr>
    </w:div>
    <w:div w:id="548416005">
      <w:bodyDiv w:val="1"/>
      <w:marLeft w:val="0"/>
      <w:marRight w:val="0"/>
      <w:marTop w:val="0"/>
      <w:marBottom w:val="0"/>
      <w:divBdr>
        <w:top w:val="none" w:sz="0" w:space="0" w:color="auto"/>
        <w:left w:val="none" w:sz="0" w:space="0" w:color="auto"/>
        <w:bottom w:val="none" w:sz="0" w:space="0" w:color="auto"/>
        <w:right w:val="none" w:sz="0" w:space="0" w:color="auto"/>
      </w:divBdr>
    </w:div>
    <w:div w:id="607077960">
      <w:bodyDiv w:val="1"/>
      <w:marLeft w:val="0"/>
      <w:marRight w:val="0"/>
      <w:marTop w:val="0"/>
      <w:marBottom w:val="0"/>
      <w:divBdr>
        <w:top w:val="none" w:sz="0" w:space="0" w:color="auto"/>
        <w:left w:val="none" w:sz="0" w:space="0" w:color="auto"/>
        <w:bottom w:val="none" w:sz="0" w:space="0" w:color="auto"/>
        <w:right w:val="none" w:sz="0" w:space="0" w:color="auto"/>
      </w:divBdr>
    </w:div>
    <w:div w:id="807749561">
      <w:bodyDiv w:val="1"/>
      <w:marLeft w:val="0"/>
      <w:marRight w:val="0"/>
      <w:marTop w:val="0"/>
      <w:marBottom w:val="0"/>
      <w:divBdr>
        <w:top w:val="none" w:sz="0" w:space="0" w:color="auto"/>
        <w:left w:val="none" w:sz="0" w:space="0" w:color="auto"/>
        <w:bottom w:val="none" w:sz="0" w:space="0" w:color="auto"/>
        <w:right w:val="none" w:sz="0" w:space="0" w:color="auto"/>
      </w:divBdr>
    </w:div>
    <w:div w:id="851266435">
      <w:bodyDiv w:val="1"/>
      <w:marLeft w:val="0"/>
      <w:marRight w:val="0"/>
      <w:marTop w:val="0"/>
      <w:marBottom w:val="0"/>
      <w:divBdr>
        <w:top w:val="none" w:sz="0" w:space="0" w:color="auto"/>
        <w:left w:val="none" w:sz="0" w:space="0" w:color="auto"/>
        <w:bottom w:val="none" w:sz="0" w:space="0" w:color="auto"/>
        <w:right w:val="none" w:sz="0" w:space="0" w:color="auto"/>
      </w:divBdr>
    </w:div>
    <w:div w:id="873155894">
      <w:bodyDiv w:val="1"/>
      <w:marLeft w:val="0"/>
      <w:marRight w:val="0"/>
      <w:marTop w:val="0"/>
      <w:marBottom w:val="0"/>
      <w:divBdr>
        <w:top w:val="none" w:sz="0" w:space="0" w:color="auto"/>
        <w:left w:val="none" w:sz="0" w:space="0" w:color="auto"/>
        <w:bottom w:val="none" w:sz="0" w:space="0" w:color="auto"/>
        <w:right w:val="none" w:sz="0" w:space="0" w:color="auto"/>
      </w:divBdr>
    </w:div>
    <w:div w:id="876233314">
      <w:bodyDiv w:val="1"/>
      <w:marLeft w:val="0"/>
      <w:marRight w:val="0"/>
      <w:marTop w:val="0"/>
      <w:marBottom w:val="0"/>
      <w:divBdr>
        <w:top w:val="none" w:sz="0" w:space="0" w:color="auto"/>
        <w:left w:val="none" w:sz="0" w:space="0" w:color="auto"/>
        <w:bottom w:val="none" w:sz="0" w:space="0" w:color="auto"/>
        <w:right w:val="none" w:sz="0" w:space="0" w:color="auto"/>
      </w:divBdr>
    </w:div>
    <w:div w:id="1062365570">
      <w:bodyDiv w:val="1"/>
      <w:marLeft w:val="0"/>
      <w:marRight w:val="0"/>
      <w:marTop w:val="0"/>
      <w:marBottom w:val="0"/>
      <w:divBdr>
        <w:top w:val="none" w:sz="0" w:space="0" w:color="auto"/>
        <w:left w:val="none" w:sz="0" w:space="0" w:color="auto"/>
        <w:bottom w:val="none" w:sz="0" w:space="0" w:color="auto"/>
        <w:right w:val="none" w:sz="0" w:space="0" w:color="auto"/>
      </w:divBdr>
    </w:div>
    <w:div w:id="1086653147">
      <w:bodyDiv w:val="1"/>
      <w:marLeft w:val="0"/>
      <w:marRight w:val="0"/>
      <w:marTop w:val="0"/>
      <w:marBottom w:val="0"/>
      <w:divBdr>
        <w:top w:val="none" w:sz="0" w:space="0" w:color="auto"/>
        <w:left w:val="none" w:sz="0" w:space="0" w:color="auto"/>
        <w:bottom w:val="none" w:sz="0" w:space="0" w:color="auto"/>
        <w:right w:val="none" w:sz="0" w:space="0" w:color="auto"/>
      </w:divBdr>
    </w:div>
    <w:div w:id="1157383677">
      <w:bodyDiv w:val="1"/>
      <w:marLeft w:val="0"/>
      <w:marRight w:val="0"/>
      <w:marTop w:val="0"/>
      <w:marBottom w:val="0"/>
      <w:divBdr>
        <w:top w:val="none" w:sz="0" w:space="0" w:color="auto"/>
        <w:left w:val="none" w:sz="0" w:space="0" w:color="auto"/>
        <w:bottom w:val="none" w:sz="0" w:space="0" w:color="auto"/>
        <w:right w:val="none" w:sz="0" w:space="0" w:color="auto"/>
      </w:divBdr>
    </w:div>
    <w:div w:id="1172641667">
      <w:bodyDiv w:val="1"/>
      <w:marLeft w:val="0"/>
      <w:marRight w:val="0"/>
      <w:marTop w:val="0"/>
      <w:marBottom w:val="0"/>
      <w:divBdr>
        <w:top w:val="none" w:sz="0" w:space="0" w:color="auto"/>
        <w:left w:val="none" w:sz="0" w:space="0" w:color="auto"/>
        <w:bottom w:val="none" w:sz="0" w:space="0" w:color="auto"/>
        <w:right w:val="none" w:sz="0" w:space="0" w:color="auto"/>
      </w:divBdr>
    </w:div>
    <w:div w:id="1299645425">
      <w:bodyDiv w:val="1"/>
      <w:marLeft w:val="0"/>
      <w:marRight w:val="0"/>
      <w:marTop w:val="0"/>
      <w:marBottom w:val="0"/>
      <w:divBdr>
        <w:top w:val="none" w:sz="0" w:space="0" w:color="auto"/>
        <w:left w:val="none" w:sz="0" w:space="0" w:color="auto"/>
        <w:bottom w:val="none" w:sz="0" w:space="0" w:color="auto"/>
        <w:right w:val="none" w:sz="0" w:space="0" w:color="auto"/>
      </w:divBdr>
    </w:div>
    <w:div w:id="1591621751">
      <w:bodyDiv w:val="1"/>
      <w:marLeft w:val="0"/>
      <w:marRight w:val="0"/>
      <w:marTop w:val="0"/>
      <w:marBottom w:val="0"/>
      <w:divBdr>
        <w:top w:val="none" w:sz="0" w:space="0" w:color="auto"/>
        <w:left w:val="none" w:sz="0" w:space="0" w:color="auto"/>
        <w:bottom w:val="none" w:sz="0" w:space="0" w:color="auto"/>
        <w:right w:val="none" w:sz="0" w:space="0" w:color="auto"/>
      </w:divBdr>
    </w:div>
    <w:div w:id="1605065450">
      <w:bodyDiv w:val="1"/>
      <w:marLeft w:val="0"/>
      <w:marRight w:val="0"/>
      <w:marTop w:val="0"/>
      <w:marBottom w:val="0"/>
      <w:divBdr>
        <w:top w:val="none" w:sz="0" w:space="0" w:color="auto"/>
        <w:left w:val="none" w:sz="0" w:space="0" w:color="auto"/>
        <w:bottom w:val="none" w:sz="0" w:space="0" w:color="auto"/>
        <w:right w:val="none" w:sz="0" w:space="0" w:color="auto"/>
      </w:divBdr>
    </w:div>
    <w:div w:id="1690332320">
      <w:bodyDiv w:val="1"/>
      <w:marLeft w:val="0"/>
      <w:marRight w:val="0"/>
      <w:marTop w:val="0"/>
      <w:marBottom w:val="0"/>
      <w:divBdr>
        <w:top w:val="none" w:sz="0" w:space="0" w:color="auto"/>
        <w:left w:val="none" w:sz="0" w:space="0" w:color="auto"/>
        <w:bottom w:val="none" w:sz="0" w:space="0" w:color="auto"/>
        <w:right w:val="none" w:sz="0" w:space="0" w:color="auto"/>
      </w:divBdr>
    </w:div>
    <w:div w:id="1710492777">
      <w:bodyDiv w:val="1"/>
      <w:marLeft w:val="0"/>
      <w:marRight w:val="0"/>
      <w:marTop w:val="0"/>
      <w:marBottom w:val="0"/>
      <w:divBdr>
        <w:top w:val="none" w:sz="0" w:space="0" w:color="auto"/>
        <w:left w:val="none" w:sz="0" w:space="0" w:color="auto"/>
        <w:bottom w:val="none" w:sz="0" w:space="0" w:color="auto"/>
        <w:right w:val="none" w:sz="0" w:space="0" w:color="auto"/>
      </w:divBdr>
    </w:div>
    <w:div w:id="1762798826">
      <w:bodyDiv w:val="1"/>
      <w:marLeft w:val="0"/>
      <w:marRight w:val="0"/>
      <w:marTop w:val="0"/>
      <w:marBottom w:val="0"/>
      <w:divBdr>
        <w:top w:val="none" w:sz="0" w:space="0" w:color="auto"/>
        <w:left w:val="none" w:sz="0" w:space="0" w:color="auto"/>
        <w:bottom w:val="none" w:sz="0" w:space="0" w:color="auto"/>
        <w:right w:val="none" w:sz="0" w:space="0" w:color="auto"/>
      </w:divBdr>
    </w:div>
    <w:div w:id="1951011018">
      <w:bodyDiv w:val="1"/>
      <w:marLeft w:val="0"/>
      <w:marRight w:val="0"/>
      <w:marTop w:val="0"/>
      <w:marBottom w:val="0"/>
      <w:divBdr>
        <w:top w:val="none" w:sz="0" w:space="0" w:color="auto"/>
        <w:left w:val="none" w:sz="0" w:space="0" w:color="auto"/>
        <w:bottom w:val="none" w:sz="0" w:space="0" w:color="auto"/>
        <w:right w:val="none" w:sz="0" w:space="0" w:color="auto"/>
      </w:divBdr>
    </w:div>
    <w:div w:id="2081710722">
      <w:bodyDiv w:val="1"/>
      <w:marLeft w:val="0"/>
      <w:marRight w:val="0"/>
      <w:marTop w:val="0"/>
      <w:marBottom w:val="0"/>
      <w:divBdr>
        <w:top w:val="none" w:sz="0" w:space="0" w:color="auto"/>
        <w:left w:val="none" w:sz="0" w:space="0" w:color="auto"/>
        <w:bottom w:val="none" w:sz="0" w:space="0" w:color="auto"/>
        <w:right w:val="none" w:sz="0" w:space="0" w:color="auto"/>
      </w:divBdr>
    </w:div>
    <w:div w:id="211956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vitasforhealth.org/health-information-exchange/" TargetMode="External"/><Relationship Id="rId21" Type="http://schemas.openxmlformats.org/officeDocument/2006/relationships/hyperlink" Target="https://www.cms.gov/health-technology-ecosystem/interoperability-framework?utm_source=chatgpt.com" TargetMode="External"/><Relationship Id="rId42" Type="http://schemas.openxmlformats.org/officeDocument/2006/relationships/hyperlink" Target="https://www.manifestmedex.org/solutions/mx-access/?utm_source=chatgpt.com" TargetMode="External"/><Relationship Id="rId47" Type="http://schemas.openxmlformats.org/officeDocument/2006/relationships/hyperlink" Target="https://www.manifestmedex.org/solutions/mx-notify/" TargetMode="External"/><Relationship Id="rId63" Type="http://schemas.openxmlformats.org/officeDocument/2006/relationships/hyperlink" Target="https://www.techtarget.com/searchhealthit/news/366579343/Adventist-Signs-Onto-California-HIE-to-Boost-Patient-Data-Exchange"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log.medicai.io/en/history-of-health-information-exchange/" TargetMode="External"/><Relationship Id="rId29" Type="http://schemas.openxmlformats.org/officeDocument/2006/relationships/hyperlink" Target="https://doi.org/10.2196/42685" TargetMode="External"/><Relationship Id="rId11" Type="http://schemas.openxmlformats.org/officeDocument/2006/relationships/hyperlink" Target="https://www.adventisthealth.org/about-us/adventist-health-care-network/?utm_source=chatgpt.com" TargetMode="External"/><Relationship Id="rId24" Type="http://schemas.openxmlformats.org/officeDocument/2006/relationships/hyperlink" Target="https://www.civitasforhealth.org/wp-content/uploads/2023/01/02-Using-HIE-to-Support-Public-Health-Agencies-FINAL.pdf" TargetMode="External"/><Relationship Id="rId32" Type="http://schemas.openxmlformats.org/officeDocument/2006/relationships/hyperlink" Target="https://www.healthit.gov/data/data-briefs/interoperable-exchange-patient-health-information-among-us-hospitals-2023" TargetMode="External"/><Relationship Id="rId37" Type="http://schemas.openxmlformats.org/officeDocument/2006/relationships/hyperlink" Target="https://www.keyhie.org/about-us?utm_source=chatgpt.com" TargetMode="External"/><Relationship Id="rId40" Type="http://schemas.openxmlformats.org/officeDocument/2006/relationships/hyperlink" Target="https://www.kff.org/patient-consumer-protections/charting-the-way-forward-new-efforts-to-advance-electronic-health-information-sharing/?utm_source=chatgpt.com" TargetMode="External"/><Relationship Id="rId45" Type="http://schemas.openxmlformats.org/officeDocument/2006/relationships/hyperlink" Target="https://www.manifestmedex.org/?utm_source=chatgpt.com" TargetMode="External"/><Relationship Id="rId53" Type="http://schemas.openxmlformats.org/officeDocument/2006/relationships/hyperlink" Target="https://www.manifestmedex.org/why-mx/" TargetMode="External"/><Relationship Id="rId58" Type="http://schemas.openxmlformats.org/officeDocument/2006/relationships/hyperlink" Target="https://www.healthit.gov/isp/united-states-core-data-interoperability-uscdi" TargetMode="External"/><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healthcareitnews.com/news/geisinger-keyhie-bolster-clinician-productivity-hour-day-patient-alerts?utm_source=chatgpt.com" TargetMode="External"/><Relationship Id="rId19" Type="http://schemas.openxmlformats.org/officeDocument/2006/relationships/hyperlink" Target="https://carequality.org/wp-content/uploads/2021/07/Query-Based-Document-Exchange-Implementation-Guide-v2.0-Published-07122021-1.pdf" TargetMode="External"/><Relationship Id="rId14" Type="http://schemas.openxmlformats.org/officeDocument/2006/relationships/hyperlink" Target="https://doi.org/10.1111/1475-6773.12852" TargetMode="External"/><Relationship Id="rId22" Type="http://schemas.openxmlformats.org/officeDocument/2006/relationships/hyperlink" Target="https://www.cms.gov/health-technology-ecosystem/interoperability-framework" TargetMode="External"/><Relationship Id="rId27" Type="http://schemas.openxmlformats.org/officeDocument/2006/relationships/hyperlink" Target="https://www.definitivehc.com/resources/glossary/health-information-service-provider?utm_source=chatgpt.com" TargetMode="External"/><Relationship Id="rId30" Type="http://schemas.openxmlformats.org/officeDocument/2006/relationships/hyperlink" Target="https://doi.org/10.1108/ITP-05-2020-0316" TargetMode="External"/><Relationship Id="rId35" Type="http://schemas.openxmlformats.org/officeDocument/2006/relationships/hyperlink" Target="https://legacy.himss.org/resources/interoperability-healthcare" TargetMode="External"/><Relationship Id="rId43" Type="http://schemas.openxmlformats.org/officeDocument/2006/relationships/hyperlink" Target="https://www.manifestmedex.org/solutions/mx-analyze/?utm_source=chatgpt.com" TargetMode="External"/><Relationship Id="rId48" Type="http://schemas.openxmlformats.org/officeDocument/2006/relationships/hyperlink" Target="https://www.manifestmedex.org/our-network/?utm_source=chatgpt.com" TargetMode="External"/><Relationship Id="rId56" Type="http://schemas.openxmlformats.org/officeDocument/2006/relationships/hyperlink" Target="https://www.healthit.gov/faq/what-are-different-types-health-information-exchange" TargetMode="External"/><Relationship Id="rId64" Type="http://schemas.openxmlformats.org/officeDocument/2006/relationships/hyperlink" Target="https://www.healthit.gov/topic/interoperability/policy/trusted-exchange-framework-and-common-agreement-tefca?utm_source=chatgpt.com"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manifestmedex.org/solutions/" TargetMode="External"/><Relationship Id="rId3" Type="http://schemas.openxmlformats.org/officeDocument/2006/relationships/styles" Target="styles.xml"/><Relationship Id="rId12" Type="http://schemas.openxmlformats.org/officeDocument/2006/relationships/hyperlink" Target="https://aihc-assn.org/cms-interoperability-framework-project-should-we-be-concerned/?utm_source=chatgpt.com" TargetMode="External"/><Relationship Id="rId17" Type="http://schemas.openxmlformats.org/officeDocument/2006/relationships/hyperlink" Target="https://www.chcf.org/resource/health-data-exchange-drives-efficiency-cuts-costs?utm_source=chatgpt.com" TargetMode="External"/><Relationship Id="rId25" Type="http://schemas.openxmlformats.org/officeDocument/2006/relationships/hyperlink" Target="https://civitasforhealth.org/health-information-exchange/?utm_source=chatgpt.com" TargetMode="External"/><Relationship Id="rId33" Type="http://schemas.openxmlformats.org/officeDocument/2006/relationships/hyperlink" Target="https://www.healthcarecompliancejournal.com/hitech-act-compliance?utm_source=chatgpt.com" TargetMode="External"/><Relationship Id="rId38" Type="http://schemas.openxmlformats.org/officeDocument/2006/relationships/hyperlink" Target="https://www.keyhie.org/about-us" TargetMode="External"/><Relationship Id="rId46" Type="http://schemas.openxmlformats.org/officeDocument/2006/relationships/hyperlink" Target="https://www.manifestmedex.org/solutions/mx-notify/?utm_source=chatgpt.com" TargetMode="External"/><Relationship Id="rId59" Type="http://schemas.openxmlformats.org/officeDocument/2006/relationships/hyperlink" Target="https://www.sermo.com/resources/what-is-health-information-exchange/?utm_source=chatgpt.com" TargetMode="External"/><Relationship Id="rId67" Type="http://schemas.openxmlformats.org/officeDocument/2006/relationships/footer" Target="footer1.xml"/><Relationship Id="rId20" Type="http://schemas.openxmlformats.org/officeDocument/2006/relationships/hyperlink" Target="https://chartrequest.com/articles/tefca-trusted-exchange-framework?utm_source=chatgpt.com" TargetMode="External"/><Relationship Id="rId41" Type="http://schemas.openxmlformats.org/officeDocument/2006/relationships/hyperlink" Target="https://www.manifestmedex.org/inland-empire-foundation-for-medical-care-iefmc-foundation-accountable-care-network-facn-aco-optimizes-post-discharge-workflow-and-reduces-readmissions-rate-with-mx-tools/?utm_source=chatgpt.com" TargetMode="External"/><Relationship Id="rId54" Type="http://schemas.openxmlformats.org/officeDocument/2006/relationships/hyperlink" Target="https://www.healthit.gov/topic/information-blocking" TargetMode="External"/><Relationship Id="rId62" Type="http://schemas.openxmlformats.org/officeDocument/2006/relationships/hyperlink" Target="https://www.techtarget.com/searchhealthit/news/366579343/Adventist-Signs-Onto-California-HIE-to-Boost-Patient-Data-Exchange?utm_source=chatgpt.com" TargetMode="External"/><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log.medicai.io/en/history-of-health-information-exchange/?utm_source=chatgpt.com" TargetMode="External"/><Relationship Id="rId23" Type="http://schemas.openxmlformats.org/officeDocument/2006/relationships/hyperlink" Target="https://www.civitasforhealth.org/wp-content/uploads/2023/01/02-Using-HIE-to-Support-Public-Health-Agencies-FINAL.pdf?utm_source=chatgpt.com" TargetMode="External"/><Relationship Id="rId28" Type="http://schemas.openxmlformats.org/officeDocument/2006/relationships/hyperlink" Target="https://doi.org/10.1136/jamia.2009.000570" TargetMode="External"/><Relationship Id="rId36" Type="http://schemas.openxmlformats.org/officeDocument/2006/relationships/hyperlink" Target="https://www.highmark.com/newsroom/press-releases/05032024-geisinger-and-highmark-health-conclude-five-year-joint-venture?utm_source=chatgpt.com" TargetMode="External"/><Relationship Id="rId49" Type="http://schemas.openxmlformats.org/officeDocument/2006/relationships/hyperlink" Target="https://www.manifestmedex.org/wp-content/uploads/MX-as-a-QHIO-Info-Sheet.pdf?utm_source=chatgpt.com" TargetMode="External"/><Relationship Id="rId57" Type="http://schemas.openxmlformats.org/officeDocument/2006/relationships/hyperlink" Target="https://www.healthit.gov/topic/interoperability/policy/trusted-exchange-framework-and-common-agreement-tefca?utm_source=chatgpt.com" TargetMode="External"/><Relationship Id="rId10" Type="http://schemas.openxmlformats.org/officeDocument/2006/relationships/hyperlink" Target="https://academyhealth.org/page/geisinger-health-system?utm_source=chatgpt.com" TargetMode="External"/><Relationship Id="rId31" Type="http://schemas.openxmlformats.org/officeDocument/2006/relationships/hyperlink" Target="https://doi.org/10.1016/j.ijmedinf.2019.104058" TargetMode="External"/><Relationship Id="rId44" Type="http://schemas.openxmlformats.org/officeDocument/2006/relationships/hyperlink" Target="https://www.manifestmedex.org/solutions/mx-analyze/" TargetMode="External"/><Relationship Id="rId52" Type="http://schemas.openxmlformats.org/officeDocument/2006/relationships/hyperlink" Target="https://www.manifestmedex.org/why-mx/?utm_source=chatgpt.com" TargetMode="External"/><Relationship Id="rId60" Type="http://schemas.openxmlformats.org/officeDocument/2006/relationships/hyperlink" Target="https://www.sermo.com/resources/what-is-health-information-exchange/" TargetMode="External"/><Relationship Id="rId65" Type="http://schemas.openxmlformats.org/officeDocument/2006/relationships/hyperlink" Target="https://www.hhs.texas.gov/about/process-improvement/improving-services-texans/health-information-technology-health-information-exchange?utm_source=chatgpt.com"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aihc-assn.org/cms-interoperability-framework-project-should-we-be-concerned/" TargetMode="External"/><Relationship Id="rId18" Type="http://schemas.openxmlformats.org/officeDocument/2006/relationships/hyperlink" Target="https://carequality.org/wp-content/uploads/2021/07/Query-Based-Document-Exchange-Implementation-Guide-v2.0-Published-07122021-1.pdf?utm_source=chatgpt.com" TargetMode="External"/><Relationship Id="rId39" Type="http://schemas.openxmlformats.org/officeDocument/2006/relationships/hyperlink" Target="https://www.keyhie.org/-/media/keyhie/KeyHIE-Annual-Report-2019.pdf?hash=405D8B9D9514984D926B718E9C36ED41&amp;sc_lang=en" TargetMode="External"/><Relationship Id="rId34" Type="http://schemas.openxmlformats.org/officeDocument/2006/relationships/hyperlink" Target="https://legacy.himss.org/resources/interoperability-healthcare?utm_source=chatgpt.com" TargetMode="External"/><Relationship Id="rId50" Type="http://schemas.openxmlformats.org/officeDocument/2006/relationships/hyperlink" Target="https://www.manifestmedex.org/solutions/?utm_source=chatgpt.com" TargetMode="External"/><Relationship Id="rId55" Type="http://schemas.openxmlformats.org/officeDocument/2006/relationships/hyperlink" Target="https://www.healthit.gov/faq/what-are-different-types-health-information-exchang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74EFA-E121-E24C-BF49-470B06F05F03}">
  <ds:schemaRefs>
    <ds:schemaRef ds:uri="http://schemas.openxmlformats.org/officeDocument/2006/bibliography"/>
  </ds:schemaRefs>
</ds:datastoreItem>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5753</Words>
  <Characters>32796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Thota</dc:creator>
  <cp:keywords/>
  <dc:description/>
  <cp:lastModifiedBy>Nikitha Thota</cp:lastModifiedBy>
  <cp:revision>2</cp:revision>
  <dcterms:created xsi:type="dcterms:W3CDTF">2025-11-24T00:03:00Z</dcterms:created>
  <dcterms:modified xsi:type="dcterms:W3CDTF">2025-11-24T00:03:00Z</dcterms:modified>
</cp:coreProperties>
</file>