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Subtitle"/>
        <w:spacing w:before="0" w:after="100"/>
      </w:pPr>
      <w:r>
        <w:rPr>
          <w:b/>
          <w:color w:val="147D64"/>
          <w:sz w:val="20"/>
        </w:rPr>
        <w:t xml:space="preserve">CROP PULSE RWANDA</w:t>
      </w:r>
    </w:p>
    <w:p>
      <w:pPr>
        <w:pStyle w:val="Title"/>
        <w:spacing w:before="0" w:after="140"/>
      </w:pPr>
      <w:r>
        <w:rPr>
          <w:b/>
          <w:color w:val="173C30"/>
          <w:sz w:val="38"/>
        </w:rPr>
        <w:t xml:space="preserve">How the system works</w:t>
      </w:r>
    </w:p>
    <w:p>
      <w:pPr>
        <w:spacing w:before="0" w:after="220"/>
      </w:pPr>
      <w:r>
        <w:rPr>
          <w:i/>
          <w:color w:val="52665D"/>
          <w:sz w:val="23"/>
        </w:rPr>
        <w:t xml:space="preserve">A practical guide to the platform, its workflows, and its current limits</w:t>
      </w:r>
    </w:p>
    <w:tbl>
      <w:tblPr>
        <w:tblW w:w="0" w:type="auto"/>
        <w:tblBorders>
          <w:top w:val="single" w:sz="5" w:color="D7E4DC"/>
          <w:left w:val="single" w:sz="5" w:color="D7E4DC"/>
          <w:bottom w:val="single" w:sz="5" w:color="D7E4DC"/>
          <w:right w:val="single" w:sz="5" w:color="D7E4DC"/>
          <w:insideH w:val="single" w:sz="5" w:color="D7E4DC"/>
          <w:insideV w:val="single" w:sz="5" w:color="D7E4DC"/>
        </w:tblBorders>
        <w:tblCellMar>
          <w:top w:w="90" w:type="dxa"/>
          <w:bottom w:w="90" w:type="dxa"/>
          <w:left w:w="100" w:type="dxa"/>
          <w:right w:w="100" w:type="dxa"/>
        </w:tblCellMar>
      </w:tblPr>
      <w:tr>
        <w:tc>
          <w:tcPr>
            <w:tcW w:w="3000" w:type="dxa"/>
            <w:shd w:fill="15513A"/>
            <w:tcMar>
              <w:top w:w="100" w:type="dxa"/>
              <w:left w:w="110" w:type="dxa"/>
              <w:bottom w:w="100" w:type="dxa"/>
              <w:right w:w="110" w:type="dxa"/>
            </w:tcMar>
          </w:tcPr>
          <w:p>
            <w:pPr>
              <w:spacing w:after="20"/>
            </w:pPr>
            <w:r>
              <w:rPr>
                <w:b/>
                <w:color w:val="FFFFFF"/>
              </w:rPr>
              <w:t xml:space="preserve">Document purpose</w:t>
            </w:r>
          </w:p>
        </w:tc>
        <w:tc>
          <w:tcPr>
            <w:tcW w:w="3000" w:type="dxa"/>
            <w:shd w:fill="15513A"/>
            <w:tcMar>
              <w:top w:w="100" w:type="dxa"/>
              <w:left w:w="110" w:type="dxa"/>
              <w:bottom w:w="100" w:type="dxa"/>
              <w:right w:w="110" w:type="dxa"/>
            </w:tcMar>
          </w:tcPr>
          <w:p>
            <w:pPr>
              <w:spacing w:after="20"/>
            </w:pPr>
            <w:r>
              <w:rPr>
                <w:b/>
                <w:color w:val="FFFFFF"/>
              </w:rPr>
              <w:t xml:space="preserve">Source basis</w:t>
            </w:r>
          </w:p>
        </w:tc>
      </w:tr>
      <w:tr>
        <w:tc>
          <w:tcPr>
            <w:tcW w:w="3000" w:type="dxa"/>
            <w:shd w:fill="F1F6F2"/>
            <w:tcMar>
              <w:top w:w="100" w:type="dxa"/>
              <w:left w:w="110" w:type="dxa"/>
              <w:bottom w:w="100" w:type="dxa"/>
              <w:right w:w="110" w:type="dxa"/>
            </w:tcMar>
          </w:tcPr>
          <w:p>
            <w:pPr>
              <w:spacing w:after="20"/>
            </w:pPr>
            <w:r>
              <w:t xml:space="preserve">Code-informed system guide</w:t>
            </w:r>
          </w:p>
        </w:tc>
        <w:tc>
          <w:tcPr>
            <w:tcW w:w="3000" w:type="dxa"/>
            <w:shd w:fill="F1F6F2"/>
            <w:tcMar>
              <w:top w:w="100" w:type="dxa"/>
              <w:left w:w="110" w:type="dxa"/>
              <w:bottom w:w="100" w:type="dxa"/>
              <w:right w:w="110" w:type="dxa"/>
            </w:tcMar>
          </w:tcPr>
          <w:p>
            <w:pPr>
              <w:spacing w:after="20"/>
            </w:pPr>
            <w:r>
              <w:t xml:space="preserve">Prepared from the repository source, setup guides, and readiness reports. It describes implemented local functionality; it is not evidence that a hosted deployment is operating.</w:t>
            </w:r>
          </w:p>
        </w:tc>
      </w:tr>
    </w:tbl>
    <w:p>
      <w:pPr>
        <w:spacing w:before="180" w:after="50"/>
      </w:pPr>
      <w:r>
        <w:rPr>
          <w:color w:val="52665D"/>
          <w:sz w:val="19"/>
        </w:rPr>
        <w:t xml:space="preserve">Version date: 27 October 2026</w:t>
      </w:r>
    </w:p>
    <w:p>
      <w:pPr>
        <w:spacing w:before="0" w:after="260"/>
      </w:pPr>
      <w:r>
        <w:rPr>
          <w:color w:val="52665D"/>
          <w:sz w:val="19"/>
        </w:rPr>
        <w:t xml:space="preserve">Audience: farmers, reviewers, administrators, supervisors, and technical teams</w:t>
      </w:r>
    </w:p>
    <w:p>
      <w:pPr>
        <w:pStyle w:val="Heading1"/>
        <w:spacing w:before="200" w:after="100"/>
        <w:keepNext/>
      </w:pPr>
      <w:r>
        <w:t xml:space="preserve">At a glance</w:t>
      </w:r>
    </w:p>
    <w:p>
      <w:pPr>
        <w:spacing w:before="0" w:after="120"/>
      </w:pPr>
      <w:r>
        <w:t xml:space="preserve">CropPulse Rwanda combines a farmer workspace, a reviewer and administrator workspace, agricultural planning tools, and reference data. The React application and the older Streamlit application use the same FastAPI service and account system. They are separate interfaces in one project, rather than one single frontend.</w:t>
      </w:r>
    </w:p>
    <w:tbl>
      <w:tblPr>
        <w:tblW w:w="0" w:type="auto"/>
        <w:tblBorders>
          <w:top w:val="single" w:sz="5" w:color="D7E4DC"/>
          <w:left w:val="single" w:sz="5" w:color="D7E4DC"/>
          <w:bottom w:val="single" w:sz="5" w:color="D7E4DC"/>
          <w:right w:val="single" w:sz="5" w:color="D7E4DC"/>
          <w:insideH w:val="single" w:sz="5" w:color="D7E4DC"/>
          <w:insideV w:val="single" w:sz="5" w:color="D7E4DC"/>
        </w:tblBorders>
        <w:tblCellMar>
          <w:top w:w="90" w:type="dxa"/>
          <w:bottom w:w="90" w:type="dxa"/>
          <w:left w:w="100" w:type="dxa"/>
          <w:right w:w="100" w:type="dxa"/>
        </w:tblCellMar>
      </w:tblPr>
      <w:tr>
        <w:tc>
          <w:tcPr>
            <w:tcW w:w="3000" w:type="dxa"/>
            <w:shd w:fill="15513A"/>
            <w:tcMar>
              <w:top w:w="100" w:type="dxa"/>
              <w:left w:w="110" w:type="dxa"/>
              <w:bottom w:w="100" w:type="dxa"/>
              <w:right w:w="110" w:type="dxa"/>
            </w:tcMar>
          </w:tcPr>
          <w:p>
            <w:pPr>
              <w:spacing w:after="20"/>
            </w:pPr>
            <w:r>
              <w:rPr>
                <w:b/>
                <w:color w:val="FFFFFF"/>
              </w:rPr>
              <w:t xml:space="preserve">The platform can</w:t>
            </w:r>
          </w:p>
        </w:tc>
        <w:tc>
          <w:tcPr>
            <w:tcW w:w="3000" w:type="dxa"/>
            <w:shd w:fill="15513A"/>
            <w:tcMar>
              <w:top w:w="100" w:type="dxa"/>
              <w:left w:w="110" w:type="dxa"/>
              <w:bottom w:w="100" w:type="dxa"/>
              <w:right w:w="110" w:type="dxa"/>
            </w:tcMar>
          </w:tcPr>
          <w:p>
            <w:pPr>
              <w:spacing w:after="20"/>
            </w:pPr>
            <w:r>
              <w:rPr>
                <w:b/>
                <w:color w:val="FFFFFF"/>
              </w:rPr>
              <w:t xml:space="preserve">The platform does not currently</w:t>
            </w:r>
          </w:p>
        </w:tc>
      </w:tr>
      <w:tr>
        <w:tc>
          <w:tcPr>
            <w:tcW w:w="3000" w:type="dxa"/>
            <w:shd w:fill="F1F6F2"/>
            <w:tcMar>
              <w:top w:w="100" w:type="dxa"/>
              <w:left w:w="110" w:type="dxa"/>
              <w:bottom w:w="100" w:type="dxa"/>
              <w:right w:w="110" w:type="dxa"/>
            </w:tcMar>
          </w:tcPr>
          <w:p>
            <w:pPr>
              <w:spacing w:after="20"/>
            </w:pPr>
            <w:r>
              <w:t xml:space="preserve">Store farmer-owned farms, fields, activities and crop plans; show point weather forecasts; present historical agricultural statistics; support private farmer-to-reviewer messages and crop-health case follow-up.</w:t>
            </w:r>
          </w:p>
        </w:tc>
        <w:tc>
          <w:tcPr>
            <w:tcW w:w="3000" w:type="dxa"/>
            <w:shd w:fill="F1F6F2"/>
            <w:tcMar>
              <w:top w:w="100" w:type="dxa"/>
              <w:left w:w="110" w:type="dxa"/>
              <w:bottom w:w="100" w:type="dxa"/>
              <w:right w:w="110" w:type="dxa"/>
            </w:tcMar>
          </w:tcPr>
          <w:p>
            <w:pPr>
              <w:spacing w:after="20"/>
            </w:pPr>
            <w:r>
              <w:t xml:space="preserve">Verify field boundaries; certify agronomic recommendations; diagnose plant disease or prescribe treatment; guarantee a forecast; or establish production hosting, recovery and legal readiness by itself.</w:t>
            </w:r>
          </w:p>
        </w:tc>
      </w:tr>
    </w:tbl>
    <w:p>
      <w:pPr>
        <w:pStyle w:val="Heading1"/>
        <w:spacing w:before="200" w:after="100"/>
        <w:keepNext/>
      </w:pPr>
      <w:r>
        <w:t xml:space="preserve">1. System architecture</w:t>
      </w:r>
    </w:p>
    <w:p>
      <w:pPr>
        <w:spacing w:before="0" w:after="130"/>
      </w:pPr>
      <w:r>
        <w:t xml:space="preserve">The interfaces do not connect directly to the database. They send requests to the API. The API checks the signed-in account, role, ownership and other access rules before reading or changing records.</w:t>
      </w:r>
    </w:p>
    <w:tbl>
      <w:tblPr>
        <w:tblW w:w="0" w:type="auto"/>
        <w:tblBorders>
          <w:top w:val="single" w:sz="5" w:color="D7E4DC"/>
          <w:left w:val="single" w:sz="5" w:color="D7E4DC"/>
          <w:bottom w:val="single" w:sz="5" w:color="D7E4DC"/>
          <w:right w:val="single" w:sz="5" w:color="D7E4DC"/>
          <w:insideH w:val="single" w:sz="5" w:color="D7E4DC"/>
          <w:insideV w:val="single" w:sz="5" w:color="D7E4DC"/>
        </w:tblBorders>
        <w:tblCellMar>
          <w:top w:w="90" w:type="dxa"/>
          <w:bottom w:w="90" w:type="dxa"/>
          <w:left w:w="100" w:type="dxa"/>
          <w:right w:w="100" w:type="dxa"/>
        </w:tblCellMar>
      </w:tblPr>
      <w:tr>
        <w:tc>
          <w:tcPr>
            <w:tcW w:w="3000" w:type="dxa"/>
            <w:shd w:fill="15513A"/>
            <w:tcMar>
              <w:top w:w="100" w:type="dxa"/>
              <w:left w:w="110" w:type="dxa"/>
              <w:bottom w:w="100" w:type="dxa"/>
              <w:right w:w="110" w:type="dxa"/>
            </w:tcMar>
          </w:tcPr>
          <w:p>
            <w:pPr>
              <w:spacing w:after="20"/>
            </w:pPr>
            <w:r>
              <w:rPr>
                <w:b/>
                <w:color w:val="FFFFFF"/>
              </w:rPr>
              <w:t xml:space="preserve">User interface</w:t>
            </w:r>
          </w:p>
        </w:tc>
        <w:tc>
          <w:tcPr>
            <w:tcW w:w="3000" w:type="dxa"/>
            <w:shd w:fill="15513A"/>
            <w:tcMar>
              <w:top w:w="100" w:type="dxa"/>
              <w:left w:w="110" w:type="dxa"/>
              <w:bottom w:w="100" w:type="dxa"/>
              <w:right w:w="110" w:type="dxa"/>
            </w:tcMar>
          </w:tcPr>
          <w:p>
            <w:pPr>
              <w:spacing w:after="20"/>
            </w:pPr>
            <w:r>
              <w:rPr>
                <w:b/>
                <w:color w:val="FFFFFF"/>
              </w:rPr>
              <w:t xml:space="preserve">Application service</w:t>
            </w:r>
          </w:p>
        </w:tc>
        <w:tc>
          <w:tcPr>
            <w:tcW w:w="3000" w:type="dxa"/>
            <w:shd w:fill="15513A"/>
            <w:tcMar>
              <w:top w:w="100" w:type="dxa"/>
              <w:left w:w="110" w:type="dxa"/>
              <w:bottom w:w="100" w:type="dxa"/>
              <w:right w:w="110" w:type="dxa"/>
            </w:tcMar>
          </w:tcPr>
          <w:p>
            <w:pPr>
              <w:spacing w:after="20"/>
            </w:pPr>
            <w:r>
              <w:rPr>
                <w:b/>
                <w:color w:val="FFFFFF"/>
              </w:rPr>
              <w:t xml:space="preserve">Data and external sources</w:t>
            </w:r>
          </w:p>
        </w:tc>
      </w:tr>
      <w:tr>
        <w:tc>
          <w:tcPr>
            <w:tcW w:w="3000" w:type="dxa"/>
            <w:shd w:fill="F1F6F2"/>
            <w:tcMar>
              <w:top w:w="100" w:type="dxa"/>
              <w:left w:w="110" w:type="dxa"/>
              <w:bottom w:w="100" w:type="dxa"/>
              <w:right w:w="110" w:type="dxa"/>
            </w:tcMar>
          </w:tcPr>
          <w:p>
            <w:pPr>
              <w:spacing w:after="20"/>
            </w:pPr>
            <w:r>
              <w:t xml:space="preserve">React (primary farmer interface)
Streamlit (existing planning and analytics interface)</w:t>
            </w:r>
          </w:p>
        </w:tc>
        <w:tc>
          <w:tcPr>
            <w:tcW w:w="3000" w:type="dxa"/>
            <w:shd w:fill="F1F6F2"/>
            <w:tcMar>
              <w:top w:w="100" w:type="dxa"/>
              <w:left w:w="110" w:type="dxa"/>
              <w:bottom w:w="100" w:type="dxa"/>
              <w:right w:w="110" w:type="dxa"/>
            </w:tcMar>
          </w:tcPr>
          <w:p>
            <w:pPr>
              <w:spacing w:after="20"/>
            </w:pPr>
            <w:r>
              <w:t xml:space="preserve">FastAPI REST API
Authentication, validation, access rules, workflows</w:t>
            </w:r>
          </w:p>
        </w:tc>
        <w:tc>
          <w:tcPr>
            <w:tcW w:w="3000" w:type="dxa"/>
            <w:shd w:fill="F1F6F2"/>
            <w:tcMar>
              <w:top w:w="100" w:type="dxa"/>
              <w:left w:w="110" w:type="dxa"/>
              <w:bottom w:w="100" w:type="dxa"/>
              <w:right w:w="110" w:type="dxa"/>
            </w:tcMar>
          </w:tcPr>
          <w:p>
            <w:pPr>
              <w:spacing w:after="20"/>
            </w:pPr>
            <w:r>
              <w:t xml:space="preserve">Configured SQLAlchemy database
NISR dataset and stored bulletin records
Open-Meteo forecast service</w:t>
            </w:r>
          </w:p>
        </w:tc>
      </w:tr>
    </w:tbl>
    <w:p>
      <w:pPr>
        <w:jc w:val="center"/>
        <w:spacing w:before="140" w:after="160"/>
      </w:pPr>
      <w:r>
        <w:rPr>
          <w:b/>
          <w:color w:val="15513A"/>
        </w:rPr>
        <w:t xml:space="preserve">Request path:  Browser / Streamlit  ?  FastAPI API  ?  authorization + validation  ?  database or external provider</w:t>
      </w:r>
    </w:p>
    <w:p>
      <w:pPr>
        <w:pStyle w:val="ListParagraph"/>
        <w:ind w:left="420" w:hanging="220"/>
        <w:spacing w:after="70"/>
      </w:pPr>
      <w:r>
        <w:rPr>
          <w:b/>
          <w:color w:val="147D64"/>
        </w:rPr>
        <w:t xml:space="preserve">? </w:t>
      </w:r>
      <w:r>
        <w:t xml:space="preserve">React is built with TypeScript and Vite. Its navigation exposes pages according to the signed-in role.</w:t>
      </w:r>
    </w:p>
    <w:p>
      <w:pPr>
        <w:pStyle w:val="ListParagraph"/>
        <w:ind w:left="420" w:hanging="220"/>
        <w:spacing w:after="70"/>
      </w:pPr>
      <w:r>
        <w:rPr>
          <w:b/>
          <w:color w:val="147D64"/>
        </w:rPr>
        <w:t xml:space="preserve">? </w:t>
      </w:r>
      <w:r>
        <w:t xml:space="preserve">Streamlit remains available for planning, analytics and legacy tools. Some of its entries are temporary session data rather than account records.</w:t>
      </w:r>
    </w:p>
    <w:p>
      <w:pPr>
        <w:pStyle w:val="ListParagraph"/>
        <w:ind w:left="420" w:hanging="220"/>
        <w:spacing w:after="70"/>
      </w:pPr>
      <w:r>
        <w:rPr>
          <w:b/>
          <w:color w:val="147D64"/>
        </w:rPr>
        <w:t xml:space="preserve">? </w:t>
      </w:r>
      <w:r>
        <w:t xml:space="preserve">FastAPI defines the API routes and uses SQLAlchemy for database access. Alembic migration files describe schema changes. The configured URL selects the database; a relative SQLite URL depends on the API process working directory.</w:t>
      </w:r>
    </w:p>
    <w:p>
      <w:pPr>
        <w:pStyle w:val="ListParagraph"/>
        <w:ind w:left="420" w:hanging="220"/>
        <w:spacing w:after="70"/>
      </w:pPr>
      <w:r>
        <w:rPr>
          <w:b/>
          <w:color w:val="147D64"/>
        </w:rPr>
        <w:t xml:space="preserve">? </w:t>
      </w:r>
      <w:r>
        <w:t xml:space="preserve">The source defaults to a local SQLite database when no database URL is configured. PostgreSQL-style URLs are supported by SQLAlchemy configuration, but a production PostgreSQL deployment was not established by the reviewed evidence.</w:t>
      </w:r>
    </w:p>
    <w:p>
      <w:pPr>
        <w:pStyle w:val="ListParagraph"/>
        <w:ind w:left="420" w:hanging="220"/>
        <w:spacing w:after="70"/>
      </w:pPr>
      <w:r>
        <w:rPr>
          <w:b/>
          <w:color w:val="147D64"/>
        </w:rPr>
        <w:t xml:space="preserve">? </w:t>
      </w:r>
      <w:r>
        <w:t xml:space="preserve">Both browser interfaces rely on the API for authentication and persistence. The repository documentation requires consistent host naming for cookie-based session restoration.</w:t>
      </w:r>
    </w:p>
    <w:p>
      <w:pPr>
        <w:pStyle w:val="Heading1"/>
        <w:spacing w:before="200" w:after="100"/>
        <w:keepNext/>
      </w:pPr>
      <w:r>
        <w:t xml:space="preserve">2. People and permissions</w:t>
      </w:r>
    </w:p>
    <w:tbl>
      <w:tblPr>
        <w:tblW w:w="0" w:type="auto"/>
        <w:tblBorders>
          <w:top w:val="single" w:sz="5" w:color="D7E4DC"/>
          <w:left w:val="single" w:sz="5" w:color="D7E4DC"/>
          <w:bottom w:val="single" w:sz="5" w:color="D7E4DC"/>
          <w:right w:val="single" w:sz="5" w:color="D7E4DC"/>
          <w:insideH w:val="single" w:sz="5" w:color="D7E4DC"/>
          <w:insideV w:val="single" w:sz="5" w:color="D7E4DC"/>
        </w:tblBorders>
        <w:tblCellMar>
          <w:top w:w="90" w:type="dxa"/>
          <w:bottom w:w="90" w:type="dxa"/>
          <w:left w:w="100" w:type="dxa"/>
          <w:right w:w="100" w:type="dxa"/>
        </w:tblCellMar>
      </w:tblPr>
      <w:tr>
        <w:tc>
          <w:tcPr>
            <w:tcW w:w="3000" w:type="dxa"/>
            <w:shd w:fill="15513A"/>
            <w:tcMar>
              <w:top w:w="100" w:type="dxa"/>
              <w:left w:w="110" w:type="dxa"/>
              <w:bottom w:w="100" w:type="dxa"/>
              <w:right w:w="110" w:type="dxa"/>
            </w:tcMar>
          </w:tcPr>
          <w:p>
            <w:pPr>
              <w:spacing w:after="20"/>
            </w:pPr>
            <w:r>
              <w:rPr>
                <w:b/>
                <w:color w:val="FFFFFF"/>
              </w:rPr>
              <w:t xml:space="preserve">Role</w:t>
            </w:r>
          </w:p>
        </w:tc>
        <w:tc>
          <w:tcPr>
            <w:tcW w:w="3000" w:type="dxa"/>
            <w:shd w:fill="15513A"/>
            <w:tcMar>
              <w:top w:w="100" w:type="dxa"/>
              <w:left w:w="110" w:type="dxa"/>
              <w:bottom w:w="100" w:type="dxa"/>
              <w:right w:w="110" w:type="dxa"/>
            </w:tcMar>
          </w:tcPr>
          <w:p>
            <w:pPr>
              <w:spacing w:after="20"/>
            </w:pPr>
            <w:r>
              <w:rPr>
                <w:b/>
                <w:color w:val="FFFFFF"/>
              </w:rPr>
              <w:t xml:space="preserve">What the role can do</w:t>
            </w:r>
          </w:p>
        </w:tc>
        <w:tc>
          <w:tcPr>
            <w:tcW w:w="3000" w:type="dxa"/>
            <w:shd w:fill="15513A"/>
            <w:tcMar>
              <w:top w:w="100" w:type="dxa"/>
              <w:left w:w="110" w:type="dxa"/>
              <w:bottom w:w="100" w:type="dxa"/>
              <w:right w:w="110" w:type="dxa"/>
            </w:tcMar>
          </w:tcPr>
          <w:p>
            <w:pPr>
              <w:spacing w:after="20"/>
            </w:pPr>
            <w:r>
              <w:rPr>
                <w:b/>
                <w:color w:val="FFFFFF"/>
              </w:rPr>
              <w:t xml:space="preserve">Important boundary</w:t>
            </w:r>
          </w:p>
        </w:tc>
      </w:tr>
      <w:tr>
        <w:tc>
          <w:tcPr>
            <w:tcW w:w="3000" w:type="dxa"/>
            <w:shd w:fill="F1F6F2"/>
            <w:tcMar>
              <w:top w:w="100" w:type="dxa"/>
              <w:left w:w="110" w:type="dxa"/>
              <w:bottom w:w="100" w:type="dxa"/>
              <w:right w:w="110" w:type="dxa"/>
            </w:tcMar>
          </w:tcPr>
          <w:p>
            <w:pPr>
              <w:spacing w:after="20"/>
            </w:pPr>
            <w:r>
              <w:t xml:space="preserve">Farmer</w:t>
            </w:r>
          </w:p>
        </w:tc>
        <w:tc>
          <w:tcPr>
            <w:tcW w:w="3000" w:type="dxa"/>
            <w:shd w:fill="F1F6F2"/>
            <w:tcMar>
              <w:top w:w="100" w:type="dxa"/>
              <w:left w:w="110" w:type="dxa"/>
              <w:bottom w:w="100" w:type="dxa"/>
              <w:right w:w="110" w:type="dxa"/>
            </w:tcMar>
          </w:tcPr>
          <w:p>
            <w:pPr>
              <w:spacing w:after="20"/>
            </w:pPr>
            <w:r>
              <w:t xml:space="preserve">Manage own farms, fields, reported activities and plans; view weather and national statistics; report crop-health cases; message eligible reviewers when enabled.</w:t>
            </w:r>
          </w:p>
        </w:tc>
        <w:tc>
          <w:tcPr>
            <w:tcW w:w="3000" w:type="dxa"/>
            <w:shd w:fill="F1F6F2"/>
            <w:tcMar>
              <w:top w:w="100" w:type="dxa"/>
              <w:left w:w="110" w:type="dxa"/>
              <w:bottom w:w="100" w:type="dxa"/>
              <w:right w:w="110" w:type="dxa"/>
            </w:tcMar>
          </w:tcPr>
          <w:p>
            <w:pPr>
              <w:spacing w:after="20"/>
            </w:pPr>
            <w:r>
              <w:t xml:space="preserve">Farmer records are owner-scoped. Activities are farmer-reported, not independently verified.</w:t>
            </w:r>
          </w:p>
        </w:tc>
      </w:tr>
      <w:tr>
        <w:tc>
          <w:tcPr>
            <w:tcW w:w="3000" w:type="dxa"/>
            <w:tcMar>
              <w:top w:w="100" w:type="dxa"/>
              <w:left w:w="110" w:type="dxa"/>
              <w:bottom w:w="100" w:type="dxa"/>
              <w:right w:w="110" w:type="dxa"/>
            </w:tcMar>
          </w:tcPr>
          <w:p>
            <w:pPr>
              <w:spacing w:after="20"/>
            </w:pPr>
            <w:r>
              <w:t xml:space="preserve">CropPulse reviewer</w:t>
            </w:r>
          </w:p>
        </w:tc>
        <w:tc>
          <w:tcPr>
            <w:tcW w:w="3000" w:type="dxa"/>
            <w:tcMar>
              <w:top w:w="100" w:type="dxa"/>
              <w:left w:w="110" w:type="dxa"/>
              <w:bottom w:w="100" w:type="dxa"/>
              <w:right w:w="110" w:type="dxa"/>
            </w:tcMar>
          </w:tcPr>
          <w:p>
            <w:pPr>
              <w:spacing w:after="20"/>
            </w:pPr>
            <w:r>
              <w:t xml:space="preserve">Review activities and assigned-scope crop-health cases; provide case updates; message eligible farmers.</w:t>
            </w:r>
          </w:p>
        </w:tc>
        <w:tc>
          <w:tcPr>
            <w:tcW w:w="3000" w:type="dxa"/>
            <w:tcMar>
              <w:top w:w="100" w:type="dxa"/>
              <w:left w:w="110" w:type="dxa"/>
              <w:bottom w:w="100" w:type="dxa"/>
              <w:right w:w="110" w:type="dxa"/>
            </w:tcMar>
          </w:tcPr>
          <w:p>
            <w:pPr>
              <w:spacing w:after="20"/>
            </w:pPr>
            <w:r>
              <w:t xml:space="preserve">?Reviewer? is an application role. The platform does not verify professional credentials or certify agronomy qualifications.</w:t>
            </w:r>
          </w:p>
        </w:tc>
      </w:tr>
      <w:tr>
        <w:tc>
          <w:tcPr>
            <w:tcW w:w="3000" w:type="dxa"/>
            <w:shd w:fill="F1F6F2"/>
            <w:tcMar>
              <w:top w:w="100" w:type="dxa"/>
              <w:left w:w="110" w:type="dxa"/>
              <w:bottom w:w="100" w:type="dxa"/>
              <w:right w:w="110" w:type="dxa"/>
            </w:tcMar>
          </w:tcPr>
          <w:p>
            <w:pPr>
              <w:spacing w:after="20"/>
            </w:pPr>
            <w:r>
              <w:t xml:space="preserve">Administrator</w:t>
            </w:r>
          </w:p>
        </w:tc>
        <w:tc>
          <w:tcPr>
            <w:tcW w:w="3000" w:type="dxa"/>
            <w:shd w:fill="F1F6F2"/>
            <w:tcMar>
              <w:top w:w="100" w:type="dxa"/>
              <w:left w:w="110" w:type="dxa"/>
              <w:bottom w:w="100" w:type="dxa"/>
              <w:right w:w="110" w:type="dxa"/>
            </w:tcMar>
          </w:tcPr>
          <w:p>
            <w:pPr>
              <w:spacing w:after="20"/>
            </w:pPr>
            <w:r>
              <w:t xml:space="preserve">Manage accounts and role/status permissions, reviewer district assignments, system settings, messaging availability, audit views and aggregate reports.</w:t>
            </w:r>
          </w:p>
        </w:tc>
        <w:tc>
          <w:tcPr>
            <w:tcW w:w="3000" w:type="dxa"/>
            <w:shd w:fill="F1F6F2"/>
            <w:tcMar>
              <w:top w:w="100" w:type="dxa"/>
              <w:left w:w="110" w:type="dxa"/>
              <w:bottom w:w="100" w:type="dxa"/>
              <w:right w:w="110" w:type="dxa"/>
            </w:tcMar>
          </w:tcPr>
          <w:p>
            <w:pPr>
              <w:spacing w:after="20"/>
            </w:pPr>
            <w:r>
              <w:t xml:space="preserve">Administrative access does not itself verify agricultural evidence. Message content is limited to conversation participants.</w:t>
            </w:r>
          </w:p>
        </w:tc>
      </w:tr>
    </w:tbl>
    <w:p>
      <w:pPr>
        <w:spacing w:before="110" w:after="120"/>
      </w:pPr>
      <w:r>
        <w:rPr>
          <w:i/>
          <w:color w:val="52665D"/>
        </w:rPr>
        <w:t xml:space="preserve">The API enforces protected operations; hiding a page in the interface is not the only access control. Current role, account status, ownership and reviewer scope are checked by server-side routes.</w:t>
      </w:r>
    </w:p>
    <w:p>
      <w:pPr>
        <w:pStyle w:val="Heading1"/>
        <w:spacing w:before="200" w:after="100"/>
        <w:keepNext/>
      </w:pPr>
      <w:r>
        <w:t xml:space="preserve">3. Sign-in and account lifecycle</w:t>
      </w:r>
    </w:p>
    <w:p>
      <w:pPr>
        <w:pStyle w:val="ListParagraph"/>
        <w:ind w:left="420" w:hanging="220"/>
        <w:spacing w:after="70"/>
      </w:pPr>
      <w:r>
        <w:rPr>
          <w:b/>
          <w:color w:val="147D64"/>
        </w:rPr>
        <w:t xml:space="preserve">? </w:t>
      </w:r>
      <w:r>
        <w:t xml:space="preserve">A person registers or signs in through the React sign-in screen. Registration creates a farmer account; users cannot assign themselves an administrator or reviewer role.</w:t>
      </w:r>
    </w:p>
    <w:p>
      <w:pPr>
        <w:pStyle w:val="ListParagraph"/>
        <w:ind w:left="420" w:hanging="220"/>
        <w:spacing w:after="70"/>
      </w:pPr>
      <w:r>
        <w:rPr>
          <w:b/>
          <w:color w:val="147D64"/>
        </w:rPr>
        <w:t xml:space="preserve">? </w:t>
      </w:r>
      <w:r>
        <w:t xml:space="preserve">The browser receives an HttpOnly session cookie. State-changing browser requests use a CSRF token. The documented fixed session lifetime is 30 minutes; the API also stores revocable server-side session records.</w:t>
      </w:r>
    </w:p>
    <w:p>
      <w:pPr>
        <w:pStyle w:val="ListParagraph"/>
        <w:ind w:left="420" w:hanging="220"/>
        <w:spacing w:after="70"/>
      </w:pPr>
      <w:r>
        <w:rPr>
          <w:b/>
          <w:color w:val="147D64"/>
        </w:rPr>
        <w:t xml:space="preserve">? </w:t>
      </w:r>
      <w:r>
        <w:t xml:space="preserve">On refresh, React asks the API to restore the current account from the cookie. If the API rejects the session, React clears local account state and asks the user to sign in again.</w:t>
      </w:r>
    </w:p>
    <w:p>
      <w:pPr>
        <w:pStyle w:val="ListParagraph"/>
        <w:ind w:left="420" w:hanging="220"/>
        <w:spacing w:after="70"/>
      </w:pPr>
      <w:r>
        <w:rPr>
          <w:b/>
          <w:color w:val="147D64"/>
        </w:rPr>
        <w:t xml:space="preserve">? </w:t>
      </w:r>
      <w:r>
        <w:t xml:space="preserve">A user can sign out from the account menu or settings. Email change and password recovery use expiring email links and require an operator-configured SMTP service. Self-service account deletion requires password reauthentication and confirmation.</w:t>
      </w:r>
    </w:p>
    <w:p>
      <w:pPr>
        <w:pStyle w:val="ListParagraph"/>
        <w:ind w:left="420" w:hanging="220"/>
        <w:spacing w:after="70"/>
      </w:pPr>
      <w:r>
        <w:rPr>
          <w:b/>
          <w:color w:val="147D64"/>
        </w:rPr>
        <w:t xml:space="preserve">? </w:t>
      </w:r>
      <w:r>
        <w:t xml:space="preserve">Administrators are provisioned by an operator for the first account; an authenticated administrator can manage later roles and reviewer scopes.</w:t>
      </w:r>
    </w:p>
    <w:p>
      <w:pPr>
        <w:spacing w:before="0" w:after="130"/>
      </w:pPr>
      <w:r>
        <w:t xml:space="preserve">React and Streamlit can pass the signed-in identity using short-lived, single-use server-issued handoff codes. The code is exchanged by the API; passwords and bearer tokens are not placed in the URL. A current API and compatible configuration are required.</w:t>
      </w:r>
    </w:p>
    <w:p>
      <w:pPr>
        <w:pStyle w:val="Heading1"/>
        <w:spacing w:before="200" w:after="100"/>
        <w:keepNext/>
      </w:pPr>
      <w:r>
        <w:t xml:space="preserve">4. Farmer workflow: from farm to seasonal plan</w:t>
      </w:r>
    </w:p>
    <w:p>
      <w:pPr>
        <w:spacing w:before="0" w:after="120"/>
      </w:pPr>
      <w:r>
        <w:rPr>
          <w:b/>
          <w:color w:val="15513A"/>
        </w:rPr>
        <w:t xml:space="preserve">The normal account-backed journey is:</w:t>
      </w:r>
    </w:p>
    <w:tbl>
      <w:tblPr>
        <w:tblW w:w="0" w:type="auto"/>
        <w:tblBorders>
          <w:top w:val="single" w:sz="5" w:color="D7E4DC"/>
          <w:left w:val="single" w:sz="5" w:color="D7E4DC"/>
          <w:bottom w:val="single" w:sz="5" w:color="D7E4DC"/>
          <w:right w:val="single" w:sz="5" w:color="D7E4DC"/>
          <w:insideH w:val="single" w:sz="5" w:color="D7E4DC"/>
          <w:insideV w:val="single" w:sz="5" w:color="D7E4DC"/>
        </w:tblBorders>
        <w:tblCellMar>
          <w:top w:w="90" w:type="dxa"/>
          <w:bottom w:w="90" w:type="dxa"/>
          <w:left w:w="100" w:type="dxa"/>
          <w:right w:w="100" w:type="dxa"/>
        </w:tblCellMar>
      </w:tblPr>
      <w:tr>
        <w:tc>
          <w:tcPr>
            <w:tcW w:w="3000" w:type="dxa"/>
            <w:shd w:fill="15513A"/>
            <w:tcMar>
              <w:top w:w="100" w:type="dxa"/>
              <w:left w:w="110" w:type="dxa"/>
              <w:bottom w:w="100" w:type="dxa"/>
              <w:right w:w="110" w:type="dxa"/>
            </w:tcMar>
          </w:tcPr>
          <w:p>
            <w:pPr>
              <w:spacing w:after="20"/>
            </w:pPr>
            <w:r>
              <w:rPr>
                <w:b/>
                <w:color w:val="FFFFFF"/>
              </w:rPr>
              <w:t xml:space="preserve">Step</w:t>
            </w:r>
          </w:p>
        </w:tc>
        <w:tc>
          <w:tcPr>
            <w:tcW w:w="3000" w:type="dxa"/>
            <w:shd w:fill="15513A"/>
            <w:tcMar>
              <w:top w:w="100" w:type="dxa"/>
              <w:left w:w="110" w:type="dxa"/>
              <w:bottom w:w="100" w:type="dxa"/>
              <w:right w:w="110" w:type="dxa"/>
            </w:tcMar>
          </w:tcPr>
          <w:p>
            <w:pPr>
              <w:spacing w:after="20"/>
            </w:pPr>
            <w:r>
              <w:rPr>
                <w:b/>
                <w:color w:val="FFFFFF"/>
              </w:rPr>
              <w:t xml:space="preserve">Farmer action</w:t>
            </w:r>
          </w:p>
        </w:tc>
        <w:tc>
          <w:tcPr>
            <w:tcW w:w="3000" w:type="dxa"/>
            <w:shd w:fill="15513A"/>
            <w:tcMar>
              <w:top w:w="100" w:type="dxa"/>
              <w:left w:w="110" w:type="dxa"/>
              <w:bottom w:w="100" w:type="dxa"/>
              <w:right w:w="110" w:type="dxa"/>
            </w:tcMar>
          </w:tcPr>
          <w:p>
            <w:pPr>
              <w:spacing w:after="20"/>
            </w:pPr>
            <w:r>
              <w:rPr>
                <w:b/>
                <w:color w:val="FFFFFF"/>
              </w:rPr>
              <w:t xml:space="preserve">What CropPulse saves or shows</w:t>
            </w:r>
          </w:p>
        </w:tc>
      </w:tr>
      <w:tr>
        <w:tc>
          <w:tcPr>
            <w:tcW w:w="3000" w:type="dxa"/>
            <w:shd w:fill="F1F6F2"/>
            <w:tcMar>
              <w:top w:w="100" w:type="dxa"/>
              <w:left w:w="110" w:type="dxa"/>
              <w:bottom w:w="100" w:type="dxa"/>
              <w:right w:w="110" w:type="dxa"/>
            </w:tcMar>
          </w:tcPr>
          <w:p>
            <w:pPr>
              <w:spacing w:after="20"/>
            </w:pPr>
            <w:r>
              <w:t xml:space="preserve">1. Sign in</w:t>
            </w:r>
          </w:p>
        </w:tc>
        <w:tc>
          <w:tcPr>
            <w:tcW w:w="3000" w:type="dxa"/>
            <w:shd w:fill="F1F6F2"/>
            <w:tcMar>
              <w:top w:w="100" w:type="dxa"/>
              <w:left w:w="110" w:type="dxa"/>
              <w:bottom w:w="100" w:type="dxa"/>
              <w:right w:w="110" w:type="dxa"/>
            </w:tcMar>
          </w:tcPr>
          <w:p>
            <w:pPr>
              <w:spacing w:after="20"/>
            </w:pPr>
            <w:r>
              <w:t xml:space="preserve">Open the React workspace.</w:t>
            </w:r>
          </w:p>
        </w:tc>
        <w:tc>
          <w:tcPr>
            <w:tcW w:w="3000" w:type="dxa"/>
            <w:shd w:fill="F1F6F2"/>
            <w:tcMar>
              <w:top w:w="100" w:type="dxa"/>
              <w:left w:w="110" w:type="dxa"/>
              <w:bottom w:w="100" w:type="dxa"/>
              <w:right w:w="110" w:type="dxa"/>
            </w:tcMar>
          </w:tcPr>
          <w:p>
            <w:pPr>
              <w:spacing w:after="20"/>
            </w:pPr>
            <w:r>
              <w:t xml:space="preserve">The API verifies the browser session and role.</w:t>
            </w:r>
          </w:p>
        </w:tc>
      </w:tr>
      <w:tr>
        <w:tc>
          <w:tcPr>
            <w:tcW w:w="3000" w:type="dxa"/>
            <w:tcMar>
              <w:top w:w="100" w:type="dxa"/>
              <w:left w:w="110" w:type="dxa"/>
              <w:bottom w:w="100" w:type="dxa"/>
              <w:right w:w="110" w:type="dxa"/>
            </w:tcMar>
          </w:tcPr>
          <w:p>
            <w:pPr>
              <w:spacing w:after="20"/>
            </w:pPr>
            <w:r>
              <w:t xml:space="preserve">2. Add a farm</w:t>
            </w:r>
          </w:p>
        </w:tc>
        <w:tc>
          <w:tcPr>
            <w:tcW w:w="3000" w:type="dxa"/>
            <w:tcMar>
              <w:top w:w="100" w:type="dxa"/>
              <w:left w:w="110" w:type="dxa"/>
              <w:bottom w:w="100" w:type="dxa"/>
              <w:right w:w="110" w:type="dxa"/>
            </w:tcMar>
          </w:tcPr>
          <w:p>
            <w:pPr>
              <w:spacing w:after="20"/>
            </w:pPr>
            <w:r>
              <w:t xml:space="preserve">Enter a name, district, optional sector and farm area.</w:t>
            </w:r>
          </w:p>
        </w:tc>
        <w:tc>
          <w:tcPr>
            <w:tcW w:w="3000" w:type="dxa"/>
            <w:tcMar>
              <w:top w:w="100" w:type="dxa"/>
              <w:left w:w="110" w:type="dxa"/>
              <w:bottom w:w="100" w:type="dxa"/>
              <w:right w:w="110" w:type="dxa"/>
            </w:tcMar>
          </w:tcPr>
          <w:p>
            <w:pPr>
              <w:spacing w:after="20"/>
            </w:pPr>
            <w:r>
              <w:t xml:space="preserve">A farm record is saved under the signed-in farmer.</w:t>
            </w:r>
          </w:p>
        </w:tc>
      </w:tr>
      <w:tr>
        <w:tc>
          <w:tcPr>
            <w:tcW w:w="3000" w:type="dxa"/>
            <w:shd w:fill="F1F6F2"/>
            <w:tcMar>
              <w:top w:w="100" w:type="dxa"/>
              <w:left w:w="110" w:type="dxa"/>
              <w:bottom w:w="100" w:type="dxa"/>
              <w:right w:w="110" w:type="dxa"/>
            </w:tcMar>
          </w:tcPr>
          <w:p>
            <w:pPr>
              <w:spacing w:after="20"/>
            </w:pPr>
            <w:r>
              <w:t xml:space="preserve">3. Add fields</w:t>
            </w:r>
          </w:p>
        </w:tc>
        <w:tc>
          <w:tcPr>
            <w:tcW w:w="3000" w:type="dxa"/>
            <w:shd w:fill="F1F6F2"/>
            <w:tcMar>
              <w:top w:w="100" w:type="dxa"/>
              <w:left w:w="110" w:type="dxa"/>
              <w:bottom w:w="100" w:type="dxa"/>
              <w:right w:w="110" w:type="dxa"/>
            </w:tcMar>
          </w:tcPr>
          <w:p>
            <w:pPr>
              <w:spacing w:after="20"/>
            </w:pPr>
            <w:r>
              <w:t xml:space="preserve">Optionally add named fields, area and farmer-supplied coordinates.</w:t>
            </w:r>
          </w:p>
        </w:tc>
        <w:tc>
          <w:tcPr>
            <w:tcW w:w="3000" w:type="dxa"/>
            <w:shd w:fill="F1F6F2"/>
            <w:tcMar>
              <w:top w:w="100" w:type="dxa"/>
              <w:left w:w="110" w:type="dxa"/>
              <w:bottom w:w="100" w:type="dxa"/>
              <w:right w:w="110" w:type="dxa"/>
            </w:tcMar>
          </w:tcPr>
          <w:p>
            <w:pPr>
              <w:spacing w:after="20"/>
            </w:pPr>
            <w:r>
              <w:t xml:space="preserve">Fields are associated with an owned farm. Coordinates do not prove a boundary or exact district membership.</w:t>
            </w:r>
          </w:p>
        </w:tc>
      </w:tr>
      <w:tr>
        <w:tc>
          <w:tcPr>
            <w:tcW w:w="3000" w:type="dxa"/>
            <w:tcMar>
              <w:top w:w="100" w:type="dxa"/>
              <w:left w:w="110" w:type="dxa"/>
              <w:bottom w:w="100" w:type="dxa"/>
              <w:right w:w="110" w:type="dxa"/>
            </w:tcMar>
          </w:tcPr>
          <w:p>
            <w:pPr>
              <w:spacing w:after="20"/>
            </w:pPr>
            <w:r>
              <w:t xml:space="preserve">4. Get a recommendation</w:t>
            </w:r>
          </w:p>
        </w:tc>
        <w:tc>
          <w:tcPr>
            <w:tcW w:w="3000" w:type="dxa"/>
            <w:tcMar>
              <w:top w:w="100" w:type="dxa"/>
              <w:left w:w="110" w:type="dxa"/>
              <w:bottom w:w="100" w:type="dxa"/>
              <w:right w:w="110" w:type="dxa"/>
            </w:tcMar>
          </w:tcPr>
          <w:p>
            <w:pPr>
              <w:spacing w:after="20"/>
            </w:pPr>
            <w:r>
              <w:t xml:space="preserve">Choose district, crop/season context and available inputs in the planning workflow.</w:t>
            </w:r>
          </w:p>
        </w:tc>
        <w:tc>
          <w:tcPr>
            <w:tcW w:w="3000" w:type="dxa"/>
            <w:tcMar>
              <w:top w:w="100" w:type="dxa"/>
              <w:left w:w="110" w:type="dxa"/>
              <w:bottom w:w="100" w:type="dxa"/>
              <w:right w:w="110" w:type="dxa"/>
            </w:tcMar>
          </w:tcPr>
          <w:p>
            <w:pPr>
              <w:spacing w:after="20"/>
            </w:pPr>
            <w:r>
              <w:t xml:space="preserve">The recommendation service returns ranked provisional options and reasons/limitations. It is not a probability or guarantee.</w:t>
            </w:r>
          </w:p>
        </w:tc>
      </w:tr>
      <w:tr>
        <w:tc>
          <w:tcPr>
            <w:tcW w:w="3000" w:type="dxa"/>
            <w:shd w:fill="F1F6F2"/>
            <w:tcMar>
              <w:top w:w="100" w:type="dxa"/>
              <w:left w:w="110" w:type="dxa"/>
              <w:bottom w:w="100" w:type="dxa"/>
              <w:right w:w="110" w:type="dxa"/>
            </w:tcMar>
          </w:tcPr>
          <w:p>
            <w:pPr>
              <w:spacing w:after="20"/>
            </w:pPr>
            <w:r>
              <w:t xml:space="preserve">5. Save a plan</w:t>
            </w:r>
          </w:p>
        </w:tc>
        <w:tc>
          <w:tcPr>
            <w:tcW w:w="3000" w:type="dxa"/>
            <w:shd w:fill="F1F6F2"/>
            <w:tcMar>
              <w:top w:w="100" w:type="dxa"/>
              <w:left w:w="110" w:type="dxa"/>
              <w:bottom w:w="100" w:type="dxa"/>
              <w:right w:w="110" w:type="dxa"/>
            </w:tcMar>
          </w:tcPr>
          <w:p>
            <w:pPr>
              <w:spacing w:after="20"/>
            </w:pPr>
            <w:r>
              <w:t xml:space="preserve">Choose farm or field, crop, season, intended planting date and area.</w:t>
            </w:r>
          </w:p>
        </w:tc>
        <w:tc>
          <w:tcPr>
            <w:tcW w:w="3000" w:type="dxa"/>
            <w:shd w:fill="F1F6F2"/>
            <w:tcMar>
              <w:top w:w="100" w:type="dxa"/>
              <w:left w:w="110" w:type="dxa"/>
              <w:bottom w:w="100" w:type="dxa"/>
              <w:right w:w="110" w:type="dxa"/>
            </w:tcMar>
          </w:tcPr>
          <w:p>
            <w:pPr>
              <w:spacing w:after="20"/>
            </w:pPr>
            <w:r>
              <w:t xml:space="preserve">A crop plan and a related seasonal-plan activity are persisted. Plan verification is marked provisional.</w:t>
            </w:r>
          </w:p>
        </w:tc>
      </w:tr>
      <w:tr>
        <w:tc>
          <w:tcPr>
            <w:tcW w:w="3000" w:type="dxa"/>
            <w:tcMar>
              <w:top w:w="100" w:type="dxa"/>
              <w:left w:w="110" w:type="dxa"/>
              <w:bottom w:w="100" w:type="dxa"/>
              <w:right w:w="110" w:type="dxa"/>
            </w:tcMar>
          </w:tcPr>
          <w:p>
            <w:pPr>
              <w:spacing w:after="20"/>
            </w:pPr>
            <w:r>
              <w:t xml:space="preserve">6. Record progress</w:t>
            </w:r>
          </w:p>
        </w:tc>
        <w:tc>
          <w:tcPr>
            <w:tcW w:w="3000" w:type="dxa"/>
            <w:tcMar>
              <w:top w:w="100" w:type="dxa"/>
              <w:left w:w="110" w:type="dxa"/>
              <w:bottom w:w="100" w:type="dxa"/>
              <w:right w:w="110" w:type="dxa"/>
            </w:tcMar>
          </w:tcPr>
          <w:p>
            <w:pPr>
              <w:spacing w:after="20"/>
            </w:pPr>
            <w:r>
              <w:t xml:space="preserve">Update eligible plan status and enter activities as work happens.</w:t>
            </w:r>
          </w:p>
        </w:tc>
        <w:tc>
          <w:tcPr>
            <w:tcW w:w="3000" w:type="dxa"/>
            <w:tcMar>
              <w:top w:w="100" w:type="dxa"/>
              <w:left w:w="110" w:type="dxa"/>
              <w:bottom w:w="100" w:type="dxa"/>
              <w:right w:w="110" w:type="dxa"/>
            </w:tcMar>
          </w:tcPr>
          <w:p>
            <w:pPr>
              <w:spacing w:after="20"/>
            </w:pPr>
            <w:r>
              <w:t xml:space="preserve">The API enforces the plan lifecycle and stores farmer-reported events.</w:t>
            </w:r>
          </w:p>
        </w:tc>
      </w:tr>
      <w:tr>
        <w:tc>
          <w:tcPr>
            <w:tcW w:w="3000" w:type="dxa"/>
            <w:shd w:fill="F1F6F2"/>
            <w:tcMar>
              <w:top w:w="100" w:type="dxa"/>
              <w:left w:w="110" w:type="dxa"/>
              <w:bottom w:w="100" w:type="dxa"/>
              <w:right w:w="110" w:type="dxa"/>
            </w:tcMar>
          </w:tcPr>
          <w:p>
            <w:pPr>
              <w:spacing w:after="20"/>
            </w:pPr>
            <w:r>
              <w:t xml:space="preserve">7. Review later</w:t>
            </w:r>
          </w:p>
        </w:tc>
        <w:tc>
          <w:tcPr>
            <w:tcW w:w="3000" w:type="dxa"/>
            <w:shd w:fill="F1F6F2"/>
            <w:tcMar>
              <w:top w:w="100" w:type="dxa"/>
              <w:left w:w="110" w:type="dxa"/>
              <w:bottom w:w="100" w:type="dxa"/>
              <w:right w:w="110" w:type="dxa"/>
            </w:tcMar>
          </w:tcPr>
          <w:p>
            <w:pPr>
              <w:spacing w:after="20"/>
            </w:pPr>
            <w:r>
              <w:t xml:space="preserve">Return to My farms, plan views or account overview.</w:t>
            </w:r>
          </w:p>
        </w:tc>
        <w:tc>
          <w:tcPr>
            <w:tcW w:w="3000" w:type="dxa"/>
            <w:shd w:fill="F1F6F2"/>
            <w:tcMar>
              <w:top w:w="100" w:type="dxa"/>
              <w:left w:w="110" w:type="dxa"/>
              <w:bottom w:w="100" w:type="dxa"/>
              <w:right w:w="110" w:type="dxa"/>
            </w:tcMar>
          </w:tcPr>
          <w:p>
            <w:pPr>
              <w:spacing w:after="20"/>
            </w:pPr>
            <w:r>
              <w:t xml:space="preserve">The API reloads the account-owned records after navigation or refresh.</w:t>
            </w:r>
          </w:p>
        </w:tc>
      </w:tr>
    </w:tbl>
    <w:p>
      <w:pPr>
        <w:spacing w:before="140" w:after="120"/>
      </w:pPr>
      <w:r>
        <w:rPr>
          <w:b/>
          <w:color w:val="15513A"/>
        </w:rPr>
        <w:t xml:space="preserve">Plan lifecycle in the current React code:</w:t>
      </w:r>
    </w:p>
    <w:tbl>
      <w:tblPr>
        <w:tblW w:w="0" w:type="auto"/>
        <w:tblBorders>
          <w:top w:val="single" w:sz="5" w:color="D7E4DC"/>
          <w:left w:val="single" w:sz="5" w:color="D7E4DC"/>
          <w:bottom w:val="single" w:sz="5" w:color="D7E4DC"/>
          <w:right w:val="single" w:sz="5" w:color="D7E4DC"/>
          <w:insideH w:val="single" w:sz="5" w:color="D7E4DC"/>
          <w:insideV w:val="single" w:sz="5" w:color="D7E4DC"/>
        </w:tblBorders>
        <w:tblCellMar>
          <w:top w:w="90" w:type="dxa"/>
          <w:bottom w:w="90" w:type="dxa"/>
          <w:left w:w="100" w:type="dxa"/>
          <w:right w:w="100" w:type="dxa"/>
        </w:tblCellMar>
      </w:tblPr>
      <w:tr>
        <w:tc>
          <w:tcPr>
            <w:tcW w:w="3000" w:type="dxa"/>
            <w:shd w:fill="15513A"/>
            <w:tcMar>
              <w:top w:w="100" w:type="dxa"/>
              <w:left w:w="110" w:type="dxa"/>
              <w:bottom w:w="100" w:type="dxa"/>
              <w:right w:w="110" w:type="dxa"/>
            </w:tcMar>
          </w:tcPr>
          <w:p>
            <w:pPr>
              <w:spacing w:after="20"/>
            </w:pPr>
            <w:r>
              <w:rPr>
                <w:b/>
                <w:color w:val="FFFFFF"/>
              </w:rPr>
              <w:t xml:space="preserve">Starting state</w:t>
            </w:r>
          </w:p>
        </w:tc>
        <w:tc>
          <w:tcPr>
            <w:tcW w:w="3000" w:type="dxa"/>
            <w:shd w:fill="15513A"/>
            <w:tcMar>
              <w:top w:w="100" w:type="dxa"/>
              <w:left w:w="110" w:type="dxa"/>
              <w:bottom w:w="100" w:type="dxa"/>
              <w:right w:w="110" w:type="dxa"/>
            </w:tcMar>
          </w:tcPr>
          <w:p>
            <w:pPr>
              <w:spacing w:after="20"/>
            </w:pPr>
            <w:r>
              <w:rPr>
                <w:b/>
                <w:color w:val="FFFFFF"/>
              </w:rPr>
              <w:t xml:space="preserve">Available next state(s)</w:t>
            </w:r>
          </w:p>
        </w:tc>
      </w:tr>
      <w:tr>
        <w:tc>
          <w:tcPr>
            <w:tcW w:w="3000" w:type="dxa"/>
            <w:shd w:fill="F1F6F2"/>
            <w:tcMar>
              <w:top w:w="100" w:type="dxa"/>
              <w:left w:w="110" w:type="dxa"/>
              <w:bottom w:w="100" w:type="dxa"/>
              <w:right w:w="110" w:type="dxa"/>
            </w:tcMar>
          </w:tcPr>
          <w:p>
            <w:pPr>
              <w:spacing w:after="20"/>
            </w:pPr>
            <w:r>
              <w:t xml:space="preserve">Draft</w:t>
            </w:r>
          </w:p>
        </w:tc>
        <w:tc>
          <w:tcPr>
            <w:tcW w:w="3000" w:type="dxa"/>
            <w:shd w:fill="F1F6F2"/>
            <w:tcMar>
              <w:top w:w="100" w:type="dxa"/>
              <w:left w:w="110" w:type="dxa"/>
              <w:bottom w:w="100" w:type="dxa"/>
              <w:right w:w="110" w:type="dxa"/>
            </w:tcMar>
          </w:tcPr>
          <w:p>
            <w:pPr>
              <w:spacing w:after="20"/>
            </w:pPr>
            <w:r>
              <w:t xml:space="preserve">Cancelled</w:t>
            </w:r>
          </w:p>
        </w:tc>
      </w:tr>
      <w:tr>
        <w:tc>
          <w:tcPr>
            <w:tcW w:w="3000" w:type="dxa"/>
            <w:tcMar>
              <w:top w:w="100" w:type="dxa"/>
              <w:left w:w="110" w:type="dxa"/>
              <w:bottom w:w="100" w:type="dxa"/>
              <w:right w:w="110" w:type="dxa"/>
            </w:tcMar>
          </w:tcPr>
          <w:p>
            <w:pPr>
              <w:spacing w:after="20"/>
            </w:pPr>
            <w:r>
              <w:t xml:space="preserve">Planned</w:t>
            </w:r>
          </w:p>
        </w:tc>
        <w:tc>
          <w:tcPr>
            <w:tcW w:w="3000" w:type="dxa"/>
            <w:tcMar>
              <w:top w:w="100" w:type="dxa"/>
              <w:left w:w="110" w:type="dxa"/>
              <w:bottom w:w="100" w:type="dxa"/>
              <w:right w:w="110" w:type="dxa"/>
            </w:tcMar>
          </w:tcPr>
          <w:p>
            <w:pPr>
              <w:spacing w:after="20"/>
            </w:pPr>
            <w:r>
              <w:t xml:space="preserve">Planted or cancelled</w:t>
            </w:r>
          </w:p>
        </w:tc>
      </w:tr>
      <w:tr>
        <w:tc>
          <w:tcPr>
            <w:tcW w:w="3000" w:type="dxa"/>
            <w:shd w:fill="F1F6F2"/>
            <w:tcMar>
              <w:top w:w="100" w:type="dxa"/>
              <w:left w:w="110" w:type="dxa"/>
              <w:bottom w:w="100" w:type="dxa"/>
              <w:right w:w="110" w:type="dxa"/>
            </w:tcMar>
          </w:tcPr>
          <w:p>
            <w:pPr>
              <w:spacing w:after="20"/>
            </w:pPr>
            <w:r>
              <w:t xml:space="preserve">Planted</w:t>
            </w:r>
          </w:p>
        </w:tc>
        <w:tc>
          <w:tcPr>
            <w:tcW w:w="3000" w:type="dxa"/>
            <w:shd w:fill="F1F6F2"/>
            <w:tcMar>
              <w:top w:w="100" w:type="dxa"/>
              <w:left w:w="110" w:type="dxa"/>
              <w:bottom w:w="100" w:type="dxa"/>
              <w:right w:w="110" w:type="dxa"/>
            </w:tcMar>
          </w:tcPr>
          <w:p>
            <w:pPr>
              <w:spacing w:after="20"/>
            </w:pPr>
            <w:r>
              <w:t xml:space="preserve">Monitoring</w:t>
            </w:r>
          </w:p>
        </w:tc>
      </w:tr>
      <w:tr>
        <w:tc>
          <w:tcPr>
            <w:tcW w:w="3000" w:type="dxa"/>
            <w:tcMar>
              <w:top w:w="100" w:type="dxa"/>
              <w:left w:w="110" w:type="dxa"/>
              <w:bottom w:w="100" w:type="dxa"/>
              <w:right w:w="110" w:type="dxa"/>
            </w:tcMar>
          </w:tcPr>
          <w:p>
            <w:pPr>
              <w:spacing w:after="20"/>
            </w:pPr>
            <w:r>
              <w:t xml:space="preserve">Monitoring</w:t>
            </w:r>
          </w:p>
        </w:tc>
        <w:tc>
          <w:tcPr>
            <w:tcW w:w="3000" w:type="dxa"/>
            <w:tcMar>
              <w:top w:w="100" w:type="dxa"/>
              <w:left w:w="110" w:type="dxa"/>
              <w:bottom w:w="100" w:type="dxa"/>
              <w:right w:w="110" w:type="dxa"/>
            </w:tcMar>
          </w:tcPr>
          <w:p>
            <w:pPr>
              <w:spacing w:after="20"/>
            </w:pPr>
            <w:r>
              <w:t xml:space="preserve">Harvesting</w:t>
            </w:r>
          </w:p>
        </w:tc>
      </w:tr>
      <w:tr>
        <w:tc>
          <w:tcPr>
            <w:tcW w:w="3000" w:type="dxa"/>
            <w:shd w:fill="F1F6F2"/>
            <w:tcMar>
              <w:top w:w="100" w:type="dxa"/>
              <w:left w:w="110" w:type="dxa"/>
              <w:bottom w:w="100" w:type="dxa"/>
              <w:right w:w="110" w:type="dxa"/>
            </w:tcMar>
          </w:tcPr>
          <w:p>
            <w:pPr>
              <w:spacing w:after="20"/>
            </w:pPr>
            <w:r>
              <w:t xml:space="preserve">Harvesting</w:t>
            </w:r>
          </w:p>
        </w:tc>
        <w:tc>
          <w:tcPr>
            <w:tcW w:w="3000" w:type="dxa"/>
            <w:shd w:fill="F1F6F2"/>
            <w:tcMar>
              <w:top w:w="100" w:type="dxa"/>
              <w:left w:w="110" w:type="dxa"/>
              <w:bottom w:w="100" w:type="dxa"/>
              <w:right w:w="110" w:type="dxa"/>
            </w:tcMar>
          </w:tcPr>
          <w:p>
            <w:pPr>
              <w:spacing w:after="20"/>
            </w:pPr>
            <w:r>
              <w:t xml:space="preserve">Completed</w:t>
            </w:r>
          </w:p>
        </w:tc>
      </w:tr>
    </w:tbl>
    <w:p>
      <w:pPr>
        <w:spacing w:before="100" w:after="120"/>
      </w:pPr>
      <w:r>
        <w:rPr>
          <w:i/>
          <w:color w:val="52665D"/>
        </w:rPr>
        <w:t xml:space="preserve">The API allows edits while a plan is draft or planned. Actual planting date is recorded through the lifecycle workflow. The interface does not claim that a planned event happened merely because it appears in a plan.</w:t>
      </w:r>
    </w:p>
    <w:p>
      <w:pPr>
        <w:pStyle w:val="Heading1"/>
        <w:spacing w:before="200" w:after="100"/>
        <w:keepNext/>
      </w:pPr>
      <w:r>
        <w:t xml:space="preserve">5. Recommendations, evidence and national statistics</w:t>
      </w:r>
    </w:p>
    <w:p>
      <w:pPr>
        <w:pStyle w:val="ListParagraph"/>
        <w:ind w:left="420" w:hanging="220"/>
        <w:spacing w:after="70"/>
      </w:pPr>
      <w:r>
        <w:rPr>
          <w:b/>
          <w:color w:val="147D64"/>
        </w:rPr>
        <w:t xml:space="preserve">? </w:t>
      </w:r>
      <w:r>
        <w:t xml:space="preserve">The current recommendation engine is deterministic and uses a provisional CropPulse guide and rules. Missing elevation or water information does not automatically exclude a crop. The code describes the agronomic guide as unverified by RAB/NISR.</w:t>
      </w:r>
    </w:p>
    <w:p>
      <w:pPr>
        <w:pStyle w:val="ListParagraph"/>
        <w:ind w:left="420" w:hanging="220"/>
        <w:spacing w:after="70"/>
      </w:pPr>
      <w:r>
        <w:rPr>
          <w:b/>
          <w:color w:val="147D64"/>
        </w:rPr>
        <w:t xml:space="preserve">? </w:t>
      </w:r>
      <w:r>
        <w:t xml:space="preserve">NISR Seasonal Agricultural Survey data is used as historical statistical context by district, crop, year and season. Structural validation and checksum checks help detect file problems; they do not independently validate every survey estimate or provide reuse permission.</w:t>
      </w:r>
    </w:p>
    <w:p>
      <w:pPr>
        <w:pStyle w:val="ListParagraph"/>
        <w:ind w:left="420" w:hanging="220"/>
        <w:spacing w:after="70"/>
      </w:pPr>
      <w:r>
        <w:rPr>
          <w:b/>
          <w:color w:val="147D64"/>
        </w:rPr>
        <w:t xml:space="preserve">? </w:t>
      </w:r>
      <w:r>
        <w:t xml:space="preserve">The documented knowledge registry currently contains no approved agronomic rules. NISR statistics do not rank crops or validate the recommendation rules.</w:t>
      </w:r>
    </w:p>
    <w:p>
      <w:pPr>
        <w:pStyle w:val="ListParagraph"/>
        <w:ind w:left="420" w:hanging="220"/>
        <w:spacing w:after="70"/>
      </w:pPr>
      <w:r>
        <w:rPr>
          <w:b/>
          <w:color w:val="147D64"/>
        </w:rPr>
        <w:t xml:space="preserve">? </w:t>
      </w:r>
      <w:r>
        <w:t xml:space="preserve">Recommendation snapshots may be stored with a plan. A snapshot records the planning context and source metadata; it is not an independent verification.</w:t>
      </w:r>
    </w:p>
    <w:p>
      <w:pPr>
        <w:pStyle w:val="Heading1"/>
        <w:spacing w:before="200" w:after="100"/>
        <w:keepNext/>
      </w:pPr>
      <w:r>
        <w:t xml:space="preserve">6. Weather and climate workflow</w:t>
      </w:r>
    </w:p>
    <w:p>
      <w:pPr>
        <w:pStyle w:val="ListParagraph"/>
        <w:ind w:left="420" w:hanging="220"/>
        <w:spacing w:after="70"/>
      </w:pPr>
      <w:r>
        <w:rPr>
          <w:b/>
          <w:color w:val="147D64"/>
        </w:rPr>
        <w:t xml:space="preserve">? </w:t>
      </w:r>
      <w:r>
        <w:t xml:space="preserve">A signed-in user opens Weather &amp; Climate and chooses a saved field with coordinates or enters a point. Browser device location can also supply a coordinate when allowed by the browser.</w:t>
      </w:r>
    </w:p>
    <w:p>
      <w:pPr>
        <w:pStyle w:val="ListParagraph"/>
        <w:ind w:left="420" w:hanging="220"/>
        <w:spacing w:after="70"/>
      </w:pPr>
      <w:r>
        <w:rPr>
          <w:b/>
          <w:color w:val="147D64"/>
        </w:rPr>
        <w:t xml:space="preserve">? </w:t>
      </w:r>
      <w:r>
        <w:t xml:space="preserve">The API checks basic coordinate format and a coarse Rwanda bounding rectangle. This check does not establish that a point lies inside Rwanda, a district, a farm or a field.</w:t>
      </w:r>
    </w:p>
    <w:p>
      <w:pPr>
        <w:pStyle w:val="ListParagraph"/>
        <w:ind w:left="420" w:hanging="220"/>
        <w:spacing w:after="70"/>
      </w:pPr>
      <w:r>
        <w:rPr>
          <w:b/>
          <w:color w:val="147D64"/>
        </w:rPr>
        <w:t xml:space="preserve">? </w:t>
      </w:r>
      <w:r>
        <w:t xml:space="preserve">On request, the API retrieves a seven-day Open-Meteo model forecast and reports the provider grid point, source and retrieval information. A short-lived process cache may be reused; eligible older cache data is visibly marked stale.</w:t>
      </w:r>
    </w:p>
    <w:p>
      <w:pPr>
        <w:pStyle w:val="ListParagraph"/>
        <w:ind w:left="420" w:hanging="220"/>
        <w:spacing w:after="70"/>
      </w:pPr>
      <w:r>
        <w:rPr>
          <w:b/>
          <w:color w:val="147D64"/>
        </w:rPr>
        <w:t xml:space="preserve">? </w:t>
      </w:r>
      <w:r>
        <w:t xml:space="preserve">The user may explicitly opt to save the forecast. Saved forecast coordinates and values are associated with the signed-in account. Forecasts are model estimates, not measurements at the plot and are not inputs to CropPulse crop recommendations.</w:t>
      </w:r>
    </w:p>
    <w:p>
      <w:pPr>
        <w:pStyle w:val="ListParagraph"/>
        <w:ind w:left="420" w:hanging="220"/>
        <w:spacing w:after="70"/>
      </w:pPr>
      <w:r>
        <w:rPr>
          <w:b/>
          <w:color w:val="147D64"/>
        </w:rPr>
        <w:t xml:space="preserve">? </w:t>
      </w:r>
      <w:r>
        <w:t xml:space="preserve">The page can show archived METEO RWANDA bulletins and selected structured nationwide outlook ranges where records have been imported. These are publisher outlooks, not station readings or a generated farm forecast.</w:t>
      </w:r>
    </w:p>
    <w:p>
      <w:pPr>
        <w:spacing w:before="100" w:after="120"/>
      </w:pPr>
      <w:r>
        <w:rPr>
          <w:b/>
          <w:color w:val="9A5A00"/>
        </w:rPr>
        <w:t xml:space="preserve">Weather alerts: preference and history endpoints/screens are present, but the documented weather alert rule registry is empty and no approved alert-generation workflow is enabled. Preferences therefore must not be understood as proof that active warnings are being generated.</w:t>
      </w:r>
    </w:p>
    <w:p>
      <w:pPr>
        <w:pStyle w:val="Heading1"/>
        <w:spacing w:before="200" w:after="100"/>
        <w:keepNext/>
      </w:pPr>
      <w:r>
        <w:t xml:space="preserve">7. Crop-health report and reviewer workflow</w:t>
      </w:r>
    </w:p>
    <w:tbl>
      <w:tblPr>
        <w:tblW w:w="0" w:type="auto"/>
        <w:tblBorders>
          <w:top w:val="single" w:sz="5" w:color="D7E4DC"/>
          <w:left w:val="single" w:sz="5" w:color="D7E4DC"/>
          <w:bottom w:val="single" w:sz="5" w:color="D7E4DC"/>
          <w:right w:val="single" w:sz="5" w:color="D7E4DC"/>
          <w:insideH w:val="single" w:sz="5" w:color="D7E4DC"/>
          <w:insideV w:val="single" w:sz="5" w:color="D7E4DC"/>
        </w:tblBorders>
        <w:tblCellMar>
          <w:top w:w="90" w:type="dxa"/>
          <w:bottom w:w="90" w:type="dxa"/>
          <w:left w:w="100" w:type="dxa"/>
          <w:right w:w="100" w:type="dxa"/>
        </w:tblCellMar>
      </w:tblPr>
      <w:tr>
        <w:tc>
          <w:tcPr>
            <w:tcW w:w="3000" w:type="dxa"/>
            <w:shd w:fill="15513A"/>
            <w:tcMar>
              <w:top w:w="100" w:type="dxa"/>
              <w:left w:w="110" w:type="dxa"/>
              <w:bottom w:w="100" w:type="dxa"/>
              <w:right w:w="110" w:type="dxa"/>
            </w:tcMar>
          </w:tcPr>
          <w:p>
            <w:pPr>
              <w:spacing w:after="20"/>
            </w:pPr>
            <w:r>
              <w:rPr>
                <w:b/>
                <w:color w:val="FFFFFF"/>
              </w:rPr>
              <w:t xml:space="preserve">Farmer</w:t>
            </w:r>
          </w:p>
        </w:tc>
        <w:tc>
          <w:tcPr>
            <w:tcW w:w="3000" w:type="dxa"/>
            <w:shd w:fill="15513A"/>
            <w:tcMar>
              <w:top w:w="100" w:type="dxa"/>
              <w:left w:w="110" w:type="dxa"/>
              <w:bottom w:w="100" w:type="dxa"/>
              <w:right w:w="110" w:type="dxa"/>
            </w:tcMar>
          </w:tcPr>
          <w:p>
            <w:pPr>
              <w:spacing w:after="20"/>
            </w:pPr>
            <w:r>
              <w:rPr>
                <w:b/>
                <w:color w:val="FFFFFF"/>
              </w:rPr>
              <w:t xml:space="preserve">System</w:t>
            </w:r>
          </w:p>
        </w:tc>
        <w:tc>
          <w:tcPr>
            <w:tcW w:w="3000" w:type="dxa"/>
            <w:shd w:fill="15513A"/>
            <w:tcMar>
              <w:top w:w="100" w:type="dxa"/>
              <w:left w:w="110" w:type="dxa"/>
              <w:bottom w:w="100" w:type="dxa"/>
              <w:right w:w="110" w:type="dxa"/>
            </w:tcMar>
          </w:tcPr>
          <w:p>
            <w:pPr>
              <w:spacing w:after="20"/>
            </w:pPr>
            <w:r>
              <w:rPr>
                <w:b/>
                <w:color w:val="FFFFFF"/>
              </w:rPr>
              <w:t xml:space="preserve">Reviewer</w:t>
            </w:r>
          </w:p>
        </w:tc>
      </w:tr>
      <w:tr>
        <w:tc>
          <w:tcPr>
            <w:tcW w:w="3000" w:type="dxa"/>
            <w:shd w:fill="F1F6F2"/>
            <w:tcMar>
              <w:top w:w="100" w:type="dxa"/>
              <w:left w:w="110" w:type="dxa"/>
              <w:bottom w:w="100" w:type="dxa"/>
              <w:right w:w="110" w:type="dxa"/>
            </w:tcMar>
          </w:tcPr>
          <w:p>
            <w:pPr>
              <w:spacing w:after="20"/>
            </w:pPr>
            <w:r>
              <w:t xml:space="preserve">Select an owned farm and crop; describe symptoms; optionally add context/date and one photo. Submit the report and retain its reference.</w:t>
            </w:r>
          </w:p>
        </w:tc>
        <w:tc>
          <w:tcPr>
            <w:tcW w:w="3000" w:type="dxa"/>
            <w:shd w:fill="F1F6F2"/>
            <w:tcMar>
              <w:top w:w="100" w:type="dxa"/>
              <w:left w:w="110" w:type="dxa"/>
              <w:bottom w:w="100" w:type="dxa"/>
              <w:right w:w="110" w:type="dxa"/>
            </w:tcMar>
          </w:tcPr>
          <w:p>
            <w:pPr>
              <w:spacing w:after="20"/>
            </w:pPr>
            <w:r>
              <w:t xml:space="preserve">Validates and stores the report/photo; lists it only to its owner and to authorized reviewer scope. For maize, it may return experimental candidate labels if the model is available.</w:t>
            </w:r>
          </w:p>
        </w:tc>
        <w:tc>
          <w:tcPr>
            <w:tcW w:w="3000" w:type="dxa"/>
            <w:shd w:fill="F1F6F2"/>
            <w:tcMar>
              <w:top w:w="100" w:type="dxa"/>
              <w:left w:w="110" w:type="dxa"/>
              <w:bottom w:w="100" w:type="dxa"/>
              <w:right w:w="110" w:type="dxa"/>
            </w:tcMar>
          </w:tcPr>
          <w:p>
            <w:pPr>
              <w:spacing w:after="20"/>
            </w:pPr>
            <w:r>
              <w:t xml:space="preserve">An active reviewer assigned to the relevant district can open the case, start review, send an update, request information or resolve the workflow.</w:t>
            </w:r>
          </w:p>
        </w:tc>
      </w:tr>
    </w:tbl>
    <w:p>
      <w:pPr>
        <w:spacing w:before="0" w:after="120"/>
      </w:pPr>
      <w:r>
        <w:t xml:space="preserve">The farmer can reply when more information is requested. The workflow can move from submitted, under review, awaiting farmer, back under review, to resolved/closed. Resolution is a workflow state, not a confirmed diagnosis.</w:t>
      </w:r>
    </w:p>
    <w:p>
      <w:pPr>
        <w:pStyle w:val="ListParagraph"/>
        <w:ind w:left="420" w:hanging="220"/>
        <w:spacing w:after="70"/>
      </w:pPr>
      <w:r>
        <w:rPr>
          <w:b/>
          <w:color w:val="147D64"/>
        </w:rPr>
        <w:t xml:space="preserve">? </w:t>
      </w:r>
      <w:r>
        <w:t xml:space="preserve">Image uploads are limited and validated by format, decoded content and dimensions; stored images are normalized and EXIF data is not preserved according to the source documentation.</w:t>
      </w:r>
    </w:p>
    <w:p>
      <w:pPr>
        <w:pStyle w:val="ListParagraph"/>
        <w:ind w:left="420" w:hanging="220"/>
        <w:spacing w:after="70"/>
      </w:pPr>
      <w:r>
        <w:rPr>
          <w:b/>
          <w:color w:val="147D64"/>
        </w:rPr>
        <w:t xml:space="preserve">? </w:t>
      </w:r>
      <w:r>
        <w:t xml:space="preserve">The experimental model supports maize candidate screening only. Its scores are uncalibrated, are not probabilities and are not diagnoses. Other crops remain reportable without model screening.</w:t>
      </w:r>
    </w:p>
    <w:p>
      <w:pPr>
        <w:pStyle w:val="ListParagraph"/>
        <w:ind w:left="420" w:hanging="220"/>
        <w:spacing w:after="70"/>
      </w:pPr>
      <w:r>
        <w:rPr>
          <w:b/>
          <w:color w:val="147D64"/>
        </w:rPr>
        <w:t xml:space="preserve">? </w:t>
      </w:r>
      <w:r>
        <w:t xml:space="preserve">CropPulse does not currently provide confirmed disease diagnosis, root-cause certainty, pesticide/medicine selection, dosage or treatment prescriptions. Reviewer professional qualifications are not verified by the application.</w:t>
      </w:r>
    </w:p>
    <w:p>
      <w:pPr>
        <w:pStyle w:val="Heading1"/>
        <w:spacing w:before="200" w:after="100"/>
        <w:keepNext/>
      </w:pPr>
      <w:r>
        <w:t xml:space="preserve">8. Private messaging workflow</w:t>
      </w:r>
    </w:p>
    <w:p>
      <w:pPr>
        <w:pStyle w:val="ListParagraph"/>
        <w:ind w:left="420" w:hanging="220"/>
        <w:spacing w:after="70"/>
      </w:pPr>
      <w:r>
        <w:rPr>
          <w:b/>
          <w:color w:val="147D64"/>
        </w:rPr>
        <w:t xml:space="preserve">? </w:t>
      </w:r>
      <w:r>
        <w:t xml:space="preserve">The administrator enables private farmer-to-reviewer messaging in the React system health area. The setting is disabled by default and its update requires a reason and is logged.</w:t>
      </w:r>
    </w:p>
    <w:p>
      <w:pPr>
        <w:pStyle w:val="ListParagraph"/>
        <w:ind w:left="420" w:hanging="220"/>
        <w:spacing w:after="70"/>
      </w:pPr>
      <w:r>
        <w:rPr>
          <w:b/>
          <w:color w:val="147D64"/>
        </w:rPr>
        <w:t xml:space="preserve">? </w:t>
      </w:r>
      <w:r>
        <w:t xml:space="preserve">A farmer sees active CropPulse reviewers assigned to a district where the farmer currently owns a farm. Eligibility is recalculated from current account status, farm ownership/district and reviewer assignment.</w:t>
      </w:r>
    </w:p>
    <w:p>
      <w:pPr>
        <w:pStyle w:val="ListParagraph"/>
        <w:ind w:left="420" w:hanging="220"/>
        <w:spacing w:after="70"/>
      </w:pPr>
      <w:r>
        <w:rPr>
          <w:b/>
          <w:color w:val="147D64"/>
        </w:rPr>
        <w:t xml:space="preserve">? </w:t>
      </w:r>
      <w:r>
        <w:t xml:space="preserve">The farmer starts or reuses one private conversation for that farmer?reviewer pair. Both participants can view paginated text history and send text.</w:t>
      </w:r>
    </w:p>
    <w:p>
      <w:pPr>
        <w:pStyle w:val="ListParagraph"/>
        <w:ind w:left="420" w:hanging="220"/>
        <w:spacing w:after="70"/>
      </w:pPr>
      <w:r>
        <w:rPr>
          <w:b/>
          <w:color w:val="147D64"/>
        </w:rPr>
        <w:t xml:space="preserve">? </w:t>
      </w:r>
      <w:r>
        <w:t xml:space="preserve">Unread counts and read states are persisted. Loading the list does not mark messages read; opening a conversation explicitly records read state for displayed incoming messages.</w:t>
      </w:r>
    </w:p>
    <w:p>
      <w:pPr>
        <w:spacing w:before="0" w:after="120"/>
      </w:pPr>
      <w:r>
        <w:rPr>
          <w:i/>
          <w:color w:val="52665D"/>
        </w:rPr>
        <w:t xml:space="preserve">Messaging is text-only in this phase: no attachments, groups, farmer-to-farmer messaging, WebSockets, push notifications or advanced moderation. The role name does not imply verified agronomic credentials.</w:t>
      </w:r>
    </w:p>
    <w:p>
      <w:pPr>
        <w:pStyle w:val="Heading1"/>
        <w:spacing w:before="200" w:after="100"/>
        <w:keepNext/>
      </w:pPr>
      <w:r>
        <w:t xml:space="preserve">9. Reviewer and administrator workspaces</w:t>
      </w:r>
    </w:p>
    <w:p>
      <w:pPr>
        <w:pStyle w:val="ListParagraph"/>
        <w:ind w:left="420" w:hanging="220"/>
        <w:spacing w:after="70"/>
      </w:pPr>
      <w:r>
        <w:rPr>
          <w:b/>
          <w:color w:val="147D64"/>
        </w:rPr>
        <w:t xml:space="preserve">? </w:t>
      </w:r>
      <w:r>
        <w:t xml:space="preserve">Reviewers see activity submissions in currently assigned districts and can append review decisions. ?Approved as reviewed? means a workflow decision, not independent verification of farm facts or agricultural advice.</w:t>
      </w:r>
    </w:p>
    <w:p>
      <w:pPr>
        <w:pStyle w:val="ListParagraph"/>
        <w:ind w:left="420" w:hanging="220"/>
        <w:spacing w:after="70"/>
      </w:pPr>
      <w:r>
        <w:rPr>
          <w:b/>
          <w:color w:val="147D64"/>
        </w:rPr>
        <w:t xml:space="preserve">? </w:t>
      </w:r>
      <w:r>
        <w:t xml:space="preserve">Reviewers can process crop-health cases only within current district scope. The server checks scope and account status on relevant requests.</w:t>
      </w:r>
    </w:p>
    <w:p>
      <w:pPr>
        <w:pStyle w:val="ListParagraph"/>
        <w:ind w:left="420" w:hanging="220"/>
        <w:spacing w:after="70"/>
      </w:pPr>
      <w:r>
        <w:rPr>
          <w:b/>
          <w:color w:val="147D64"/>
        </w:rPr>
        <w:t xml:space="preserve">? </w:t>
      </w:r>
      <w:r>
        <w:t xml:space="preserve">Administrators can inspect aggregate account/farm figures, manage account status and roles, assign reviewer districts, revoke sessions, manage messaging availability, inspect audit events and use reports/exports.</w:t>
      </w:r>
    </w:p>
    <w:p>
      <w:pPr>
        <w:pStyle w:val="ListParagraph"/>
        <w:ind w:left="420" w:hanging="220"/>
        <w:spacing w:after="70"/>
      </w:pPr>
      <w:r>
        <w:rPr>
          <w:b/>
          <w:color w:val="147D64"/>
        </w:rPr>
        <w:t xml:space="preserve">? </w:t>
      </w:r>
      <w:r>
        <w:t xml:space="preserve">Admin dashboard numbers are current persisted counts where the source says so; unavailable historical snapshots are not represented as trends. A system health panel is not a substitute for infrastructure monitoring or backup evidence.</w:t>
      </w:r>
    </w:p>
    <w:p>
      <w:pPr>
        <w:pStyle w:val="Heading1"/>
        <w:spacing w:before="200" w:after="100"/>
        <w:keepNext/>
      </w:pPr>
      <w:r>
        <w:t xml:space="preserve">10. Streamlit: what remains there</w:t>
      </w:r>
    </w:p>
    <w:p>
      <w:pPr>
        <w:spacing w:before="0" w:after="120"/>
      </w:pPr>
      <w:r>
        <w:t xml:space="preserve">Streamlit is still part of the codebase and is reached through the same account service and API handoff. It contains planning, analytics and legacy farm-support screens. The README and source distinguish durable account records from many session-based tools.</w:t>
      </w:r>
    </w:p>
    <w:tbl>
      <w:tblPr>
        <w:tblW w:w="0" w:type="auto"/>
        <w:tblBorders>
          <w:top w:val="single" w:sz="5" w:color="D7E4DC"/>
          <w:left w:val="single" w:sz="5" w:color="D7E4DC"/>
          <w:bottom w:val="single" w:sz="5" w:color="D7E4DC"/>
          <w:right w:val="single" w:sz="5" w:color="D7E4DC"/>
          <w:insideH w:val="single" w:sz="5" w:color="D7E4DC"/>
          <w:insideV w:val="single" w:sz="5" w:color="D7E4DC"/>
        </w:tblBorders>
        <w:tblCellMar>
          <w:top w:w="90" w:type="dxa"/>
          <w:bottom w:w="90" w:type="dxa"/>
          <w:left w:w="100" w:type="dxa"/>
          <w:right w:w="100" w:type="dxa"/>
        </w:tblCellMar>
      </w:tblPr>
      <w:tr>
        <w:tc>
          <w:tcPr>
            <w:tcW w:w="3000" w:type="dxa"/>
            <w:shd w:fill="15513A"/>
            <w:tcMar>
              <w:top w:w="100" w:type="dxa"/>
              <w:left w:w="110" w:type="dxa"/>
              <w:bottom w:w="100" w:type="dxa"/>
              <w:right w:w="110" w:type="dxa"/>
            </w:tcMar>
          </w:tcPr>
          <w:p>
            <w:pPr>
              <w:spacing w:after="20"/>
            </w:pPr>
            <w:r>
              <w:rPr>
                <w:b/>
                <w:color w:val="FFFFFF"/>
              </w:rPr>
              <w:t xml:space="preserve">Persisted through API (verified in source/documentation)</w:t>
            </w:r>
          </w:p>
        </w:tc>
        <w:tc>
          <w:tcPr>
            <w:tcW w:w="3000" w:type="dxa"/>
            <w:shd w:fill="15513A"/>
            <w:tcMar>
              <w:top w:w="100" w:type="dxa"/>
              <w:left w:w="110" w:type="dxa"/>
              <w:bottom w:w="100" w:type="dxa"/>
              <w:right w:w="110" w:type="dxa"/>
            </w:tcMar>
          </w:tcPr>
          <w:p>
            <w:pPr>
              <w:spacing w:after="20"/>
            </w:pPr>
            <w:r>
              <w:rPr>
                <w:b/>
                <w:color w:val="FFFFFF"/>
              </w:rPr>
              <w:t xml:space="preserve">Session-only Streamlit examples (not durable account records)</w:t>
            </w:r>
          </w:p>
        </w:tc>
      </w:tr>
      <w:tr>
        <w:tc>
          <w:tcPr>
            <w:tcW w:w="3000" w:type="dxa"/>
            <w:shd w:fill="F1F6F2"/>
            <w:tcMar>
              <w:top w:w="100" w:type="dxa"/>
              <w:left w:w="110" w:type="dxa"/>
              <w:bottom w:w="100" w:type="dxa"/>
              <w:right w:w="110" w:type="dxa"/>
            </w:tcMar>
          </w:tcPr>
          <w:p>
            <w:pPr>
              <w:spacing w:after="20"/>
            </w:pPr>
            <w:r>
              <w:t xml:space="preserve">Farm profiles; named fields; farm activities; crop plans; authenticated crop-health cases; saved React weather forecasts; private messages; account/session records.</w:t>
            </w:r>
          </w:p>
        </w:tc>
        <w:tc>
          <w:tcPr>
            <w:tcW w:w="3000" w:type="dxa"/>
            <w:shd w:fill="F1F6F2"/>
            <w:tcMar>
              <w:top w:w="100" w:type="dxa"/>
              <w:left w:w="110" w:type="dxa"/>
              <w:bottom w:w="100" w:type="dxa"/>
              <w:right w:w="110" w:type="dxa"/>
            </w:tcMar>
          </w:tcPr>
          <w:p>
            <w:pPr>
              <w:spacing w:after="20"/>
            </w:pPr>
            <w:r>
              <w:t xml:space="preserve">Market/economics entries; legacy pest observations; extension visit notes; cooperative activity notes; recommendation feedback; local gauge/thermometer observations and other temporary screen entries.</w:t>
            </w:r>
          </w:p>
        </w:tc>
      </w:tr>
    </w:tbl>
    <w:p>
      <w:pPr>
        <w:spacing w:before="120" w:after="120"/>
      </w:pPr>
      <w:r>
        <w:rPr>
          <w:b/>
          <w:color w:val="9A5A00"/>
        </w:rPr>
        <w:t xml:space="preserve">Session-only entries are cleared at sign-out according to project documentation. Do not treat them as saved farmer records or as data shared with a cooperative or external organization.</w:t>
      </w:r>
    </w:p>
    <w:p>
      <w:pPr>
        <w:pStyle w:val="Heading1"/>
        <w:spacing w:before="200" w:after="100"/>
        <w:keepNext/>
      </w:pPr>
      <w:r>
        <w:t xml:space="preserve">11. Data handling and trust boundaries</w:t>
      </w:r>
    </w:p>
    <w:p>
      <w:pPr>
        <w:pStyle w:val="ListParagraph"/>
        <w:ind w:left="420" w:hanging="220"/>
        <w:spacing w:after="70"/>
      </w:pPr>
      <w:r>
        <w:rPr>
          <w:b/>
          <w:color w:val="147D64"/>
        </w:rPr>
        <w:t xml:space="preserve">? </w:t>
      </w:r>
      <w:r>
        <w:t xml:space="preserve">Account records are accessed through the API and scoped to the signed-in owner or authorized role. Crop-health photos and private conversations are sensitive records and require protected database, transport and backup operations.</w:t>
      </w:r>
    </w:p>
    <w:p>
      <w:pPr>
        <w:pStyle w:val="ListParagraph"/>
        <w:ind w:left="420" w:hanging="220"/>
        <w:spacing w:after="70"/>
      </w:pPr>
      <w:r>
        <w:rPr>
          <w:b/>
          <w:color w:val="147D64"/>
        </w:rPr>
        <w:t xml:space="preserve">? </w:t>
      </w:r>
      <w:r>
        <w:t xml:space="preserve">Weather coordinates are sent to Open-Meteo when a forecast is requested. If the user opts to save the result, the coordinates and forecast are stored in the account database.</w:t>
      </w:r>
    </w:p>
    <w:p>
      <w:pPr>
        <w:pStyle w:val="ListParagraph"/>
        <w:ind w:left="420" w:hanging="220"/>
        <w:spacing w:after="70"/>
      </w:pPr>
      <w:r>
        <w:rPr>
          <w:b/>
          <w:color w:val="147D64"/>
        </w:rPr>
        <w:t xml:space="preserve">? </w:t>
      </w:r>
      <w:r>
        <w:t xml:space="preserve">The NISR file and source weather bulletins require attribution and source-specific reuse review for the intended deployment. Open-Meteo free-service terms documented by this project restrict commercial use.</w:t>
      </w:r>
    </w:p>
    <w:p>
      <w:pPr>
        <w:pStyle w:val="ListParagraph"/>
        <w:ind w:left="420" w:hanging="220"/>
        <w:spacing w:after="70"/>
      </w:pPr>
      <w:r>
        <w:rPr>
          <w:b/>
          <w:color w:val="147D64"/>
        </w:rPr>
        <w:t xml:space="preserve">? </w:t>
      </w:r>
      <w:r>
        <w:t xml:space="preserve">No public deployment, data-owner approval, legal compliance certification, external security assessment, or real-world agricultural efficacy is established by this code guide.</w:t>
      </w:r>
    </w:p>
    <w:p>
      <w:pPr>
        <w:pStyle w:val="Heading1"/>
        <w:spacing w:before="200" w:after="100"/>
        <w:keepNext/>
      </w:pPr>
      <w:r>
        <w:t xml:space="preserve">12. Known limits and unfinished work</w:t>
      </w:r>
    </w:p>
    <w:tbl>
      <w:tblPr>
        <w:tblW w:w="0" w:type="auto"/>
        <w:tblBorders>
          <w:top w:val="single" w:sz="5" w:color="D7E4DC"/>
          <w:left w:val="single" w:sz="5" w:color="D7E4DC"/>
          <w:bottom w:val="single" w:sz="5" w:color="D7E4DC"/>
          <w:right w:val="single" w:sz="5" w:color="D7E4DC"/>
          <w:insideH w:val="single" w:sz="5" w:color="D7E4DC"/>
          <w:insideV w:val="single" w:sz="5" w:color="D7E4DC"/>
        </w:tblBorders>
        <w:tblCellMar>
          <w:top w:w="90" w:type="dxa"/>
          <w:bottom w:w="90" w:type="dxa"/>
          <w:left w:w="100" w:type="dxa"/>
          <w:right w:w="100" w:type="dxa"/>
        </w:tblCellMar>
      </w:tblPr>
      <w:tr>
        <w:tc>
          <w:tcPr>
            <w:tcW w:w="3000" w:type="dxa"/>
            <w:shd w:fill="15513A"/>
            <w:tcMar>
              <w:top w:w="100" w:type="dxa"/>
              <w:left w:w="110" w:type="dxa"/>
              <w:bottom w:w="100" w:type="dxa"/>
              <w:right w:w="110" w:type="dxa"/>
            </w:tcMar>
          </w:tcPr>
          <w:p>
            <w:pPr>
              <w:spacing w:after="20"/>
            </w:pPr>
            <w:r>
              <w:rPr>
                <w:b/>
                <w:color w:val="FFFFFF"/>
              </w:rPr>
              <w:t xml:space="preserve">Area</w:t>
            </w:r>
          </w:p>
        </w:tc>
        <w:tc>
          <w:tcPr>
            <w:tcW w:w="3000" w:type="dxa"/>
            <w:shd w:fill="15513A"/>
            <w:tcMar>
              <w:top w:w="100" w:type="dxa"/>
              <w:left w:w="110" w:type="dxa"/>
              <w:bottom w:w="100" w:type="dxa"/>
              <w:right w:w="110" w:type="dxa"/>
            </w:tcMar>
          </w:tcPr>
          <w:p>
            <w:pPr>
              <w:spacing w:after="20"/>
            </w:pPr>
            <w:r>
              <w:rPr>
                <w:b/>
                <w:color w:val="FFFFFF"/>
              </w:rPr>
              <w:t xml:space="preserve">Current limitation / unfinished work</w:t>
            </w:r>
          </w:p>
        </w:tc>
      </w:tr>
      <w:tr>
        <w:tc>
          <w:tcPr>
            <w:tcW w:w="3000" w:type="dxa"/>
            <w:shd w:fill="F1F6F2"/>
            <w:tcMar>
              <w:top w:w="100" w:type="dxa"/>
              <w:left w:w="110" w:type="dxa"/>
              <w:bottom w:w="100" w:type="dxa"/>
              <w:right w:w="110" w:type="dxa"/>
            </w:tcMar>
          </w:tcPr>
          <w:p>
            <w:pPr>
              <w:spacing w:after="20"/>
            </w:pPr>
            <w:r>
              <w:t xml:space="preserve">Deployment and runtime</w:t>
            </w:r>
          </w:p>
        </w:tc>
        <w:tc>
          <w:tcPr>
            <w:tcW w:w="3000" w:type="dxa"/>
            <w:shd w:fill="F1F6F2"/>
            <w:tcMar>
              <w:top w:w="100" w:type="dxa"/>
              <w:left w:w="110" w:type="dxa"/>
              <w:bottom w:w="100" w:type="dxa"/>
              <w:right w:w="110" w:type="dxa"/>
            </w:tcMar>
          </w:tcPr>
          <w:p>
            <w:pPr>
              <w:spacing w:after="20"/>
            </w:pPr>
            <w:r>
              <w:t xml:space="preserve">The latest release report records no-go for public/farmer-facing deployment: intended production host/runtime/database identity, hosted HTTPS/security controls and backup recovery are not proven.</w:t>
            </w:r>
          </w:p>
        </w:tc>
      </w:tr>
      <w:tr>
        <w:tc>
          <w:tcPr>
            <w:tcW w:w="3000" w:type="dxa"/>
            <w:tcMar>
              <w:top w:w="100" w:type="dxa"/>
              <w:left w:w="110" w:type="dxa"/>
              <w:bottom w:w="100" w:type="dxa"/>
              <w:right w:w="110" w:type="dxa"/>
            </w:tcMar>
          </w:tcPr>
          <w:p>
            <w:pPr>
              <w:spacing w:after="20"/>
            </w:pPr>
            <w:r>
              <w:t xml:space="preserve">Agronomy</w:t>
            </w:r>
          </w:p>
        </w:tc>
        <w:tc>
          <w:tcPr>
            <w:tcW w:w="3000" w:type="dxa"/>
            <w:tcMar>
              <w:top w:w="100" w:type="dxa"/>
              <w:left w:w="110" w:type="dxa"/>
              <w:bottom w:w="100" w:type="dxa"/>
              <w:right w:w="110" w:type="dxa"/>
            </w:tcMar>
          </w:tcPr>
          <w:p>
            <w:pPr>
              <w:spacing w:after="20"/>
            </w:pPr>
            <w:r>
              <w:t xml:space="preserve">Recommendations remain provisional; active approved evidence rules are absent. No verified treatment library is activated.</w:t>
            </w:r>
          </w:p>
        </w:tc>
      </w:tr>
      <w:tr>
        <w:tc>
          <w:tcPr>
            <w:tcW w:w="3000" w:type="dxa"/>
            <w:shd w:fill="F1F6F2"/>
            <w:tcMar>
              <w:top w:w="100" w:type="dxa"/>
              <w:left w:w="110" w:type="dxa"/>
              <w:bottom w:w="100" w:type="dxa"/>
              <w:right w:w="110" w:type="dxa"/>
            </w:tcMar>
          </w:tcPr>
          <w:p>
            <w:pPr>
              <w:spacing w:after="20"/>
            </w:pPr>
            <w:r>
              <w:t xml:space="preserve">Disease screening</w:t>
            </w:r>
          </w:p>
        </w:tc>
        <w:tc>
          <w:tcPr>
            <w:tcW w:w="3000" w:type="dxa"/>
            <w:shd w:fill="F1F6F2"/>
            <w:tcMar>
              <w:top w:w="100" w:type="dxa"/>
              <w:left w:w="110" w:type="dxa"/>
              <w:bottom w:w="100" w:type="dxa"/>
              <w:right w:w="110" w:type="dxa"/>
            </w:tcMar>
          </w:tcPr>
          <w:p>
            <w:pPr>
              <w:spacing w:after="20"/>
            </w:pPr>
            <w:r>
              <w:t xml:space="preserve">Maize-only experimental candidate screening; no local validation/calibration or confirmed diagnosis. No medicine or pesticide recommendation.</w:t>
            </w:r>
          </w:p>
        </w:tc>
      </w:tr>
      <w:tr>
        <w:tc>
          <w:tcPr>
            <w:tcW w:w="3000" w:type="dxa"/>
            <w:tcMar>
              <w:top w:w="100" w:type="dxa"/>
              <w:left w:w="110" w:type="dxa"/>
              <w:bottom w:w="100" w:type="dxa"/>
              <w:right w:w="110" w:type="dxa"/>
            </w:tcMar>
          </w:tcPr>
          <w:p>
            <w:pPr>
              <w:spacing w:after="20"/>
            </w:pPr>
            <w:r>
              <w:t xml:space="preserve">Weather alerts</w:t>
            </w:r>
          </w:p>
        </w:tc>
        <w:tc>
          <w:tcPr>
            <w:tcW w:w="3000" w:type="dxa"/>
            <w:tcMar>
              <w:top w:w="100" w:type="dxa"/>
              <w:left w:w="110" w:type="dxa"/>
              <w:bottom w:w="100" w:type="dxa"/>
              <w:right w:w="110" w:type="dxa"/>
            </w:tcMar>
          </w:tcPr>
          <w:p>
            <w:pPr>
              <w:spacing w:after="20"/>
            </w:pPr>
            <w:r>
              <w:t xml:space="preserve">Settings/history routes exist, but approved generation rules and active alert-generation workflow are absent.</w:t>
            </w:r>
          </w:p>
        </w:tc>
      </w:tr>
      <w:tr>
        <w:tc>
          <w:tcPr>
            <w:tcW w:w="3000" w:type="dxa"/>
            <w:shd w:fill="F1F6F2"/>
            <w:tcMar>
              <w:top w:w="100" w:type="dxa"/>
              <w:left w:w="110" w:type="dxa"/>
              <w:bottom w:w="100" w:type="dxa"/>
              <w:right w:w="110" w:type="dxa"/>
            </w:tcMar>
          </w:tcPr>
          <w:p>
            <w:pPr>
              <w:spacing w:after="20"/>
            </w:pPr>
            <w:r>
              <w:t xml:space="preserve">Weather location</w:t>
            </w:r>
          </w:p>
        </w:tc>
        <w:tc>
          <w:tcPr>
            <w:tcW w:w="3000" w:type="dxa"/>
            <w:shd w:fill="F1F6F2"/>
            <w:tcMar>
              <w:top w:w="100" w:type="dxa"/>
              <w:left w:w="110" w:type="dxa"/>
              <w:bottom w:w="100" w:type="dxa"/>
              <w:right w:w="110" w:type="dxa"/>
            </w:tcMar>
          </w:tcPr>
          <w:p>
            <w:pPr>
              <w:spacing w:after="20"/>
            </w:pPr>
            <w:r>
              <w:t xml:space="preserve">Coarse coordinate extent check only; no authoritative point-in-district or farm-boundary verification. Forecast is not plot measurement.</w:t>
            </w:r>
          </w:p>
        </w:tc>
      </w:tr>
      <w:tr>
        <w:tc>
          <w:tcPr>
            <w:tcW w:w="3000" w:type="dxa"/>
            <w:tcMar>
              <w:top w:w="100" w:type="dxa"/>
              <w:left w:w="110" w:type="dxa"/>
              <w:bottom w:w="100" w:type="dxa"/>
              <w:right w:w="110" w:type="dxa"/>
            </w:tcMar>
          </w:tcPr>
          <w:p>
            <w:pPr>
              <w:spacing w:after="20"/>
            </w:pPr>
            <w:r>
              <w:t xml:space="preserve">Persistence parity</w:t>
            </w:r>
          </w:p>
        </w:tc>
        <w:tc>
          <w:tcPr>
            <w:tcW w:w="3000" w:type="dxa"/>
            <w:tcMar>
              <w:top w:w="100" w:type="dxa"/>
              <w:left w:w="110" w:type="dxa"/>
              <w:bottom w:w="100" w:type="dxa"/>
              <w:right w:w="110" w:type="dxa"/>
            </w:tcMar>
          </w:tcPr>
          <w:p>
            <w:pPr>
              <w:spacing w:after="20"/>
            </w:pPr>
            <w:r>
              <w:t xml:space="preserve">Several Streamlit tools remain temporary session data and have not been migrated to durable React/API workflows.</w:t>
            </w:r>
          </w:p>
        </w:tc>
      </w:tr>
      <w:tr>
        <w:tc>
          <w:tcPr>
            <w:tcW w:w="3000" w:type="dxa"/>
            <w:shd w:fill="F1F6F2"/>
            <w:tcMar>
              <w:top w:w="100" w:type="dxa"/>
              <w:left w:w="110" w:type="dxa"/>
              <w:bottom w:w="100" w:type="dxa"/>
              <w:right w:w="110" w:type="dxa"/>
            </w:tcMar>
          </w:tcPr>
          <w:p>
            <w:pPr>
              <w:spacing w:after="20"/>
            </w:pPr>
            <w:r>
              <w:t xml:space="preserve">Privacy and operations</w:t>
            </w:r>
          </w:p>
        </w:tc>
        <w:tc>
          <w:tcPr>
            <w:tcW w:w="3000" w:type="dxa"/>
            <w:shd w:fill="F1F6F2"/>
            <w:tcMar>
              <w:top w:w="100" w:type="dxa"/>
              <w:left w:w="110" w:type="dxa"/>
              <w:bottom w:w="100" w:type="dxa"/>
              <w:right w:w="110" w:type="dxa"/>
            </w:tcMar>
          </w:tcPr>
          <w:p>
            <w:pPr>
              <w:spacing w:after="20"/>
            </w:pPr>
            <w:r>
              <w:t xml:space="preserve">Production retention, data residency, incident response, monitored backups, restore drills and service monitoring need owner decisions and deployment verification.</w:t>
            </w:r>
          </w:p>
        </w:tc>
      </w:tr>
      <w:tr>
        <w:tc>
          <w:tcPr>
            <w:tcW w:w="3000" w:type="dxa"/>
            <w:tcMar>
              <w:top w:w="100" w:type="dxa"/>
              <w:left w:w="110" w:type="dxa"/>
              <w:bottom w:w="100" w:type="dxa"/>
              <w:right w:w="110" w:type="dxa"/>
            </w:tcMar>
          </w:tcPr>
          <w:p>
            <w:pPr>
              <w:spacing w:after="20"/>
            </w:pPr>
            <w:r>
              <w:t xml:space="preserve">External rights</w:t>
            </w:r>
          </w:p>
        </w:tc>
        <w:tc>
          <w:tcPr>
            <w:tcW w:w="3000" w:type="dxa"/>
            <w:tcMar>
              <w:top w:w="100" w:type="dxa"/>
              <w:left w:w="110" w:type="dxa"/>
              <w:bottom w:w="100" w:type="dxa"/>
              <w:right w:w="110" w:type="dxa"/>
            </w:tcMar>
          </w:tcPr>
          <w:p>
            <w:pPr>
              <w:spacing w:after="20"/>
            </w:pPr>
            <w:r>
              <w:t xml:space="preserve">NISR, METEO RWANDA, Open-Meteo and model/dataset use must be checked for the intended public/commercial context.</w:t>
            </w:r>
          </w:p>
        </w:tc>
      </w:tr>
      <w:tr>
        <w:tc>
          <w:tcPr>
            <w:tcW w:w="3000" w:type="dxa"/>
            <w:shd w:fill="F1F6F2"/>
            <w:tcMar>
              <w:top w:w="100" w:type="dxa"/>
              <w:left w:w="110" w:type="dxa"/>
              <w:bottom w:w="100" w:type="dxa"/>
              <w:right w:w="110" w:type="dxa"/>
            </w:tcMar>
          </w:tcPr>
          <w:p>
            <w:pPr>
              <w:spacing w:after="20"/>
            </w:pPr>
            <w:r>
              <w:t xml:space="preserve">Usability and language</w:t>
            </w:r>
          </w:p>
        </w:tc>
        <w:tc>
          <w:tcPr>
            <w:tcW w:w="3000" w:type="dxa"/>
            <w:shd w:fill="F1F6F2"/>
            <w:tcMar>
              <w:top w:w="100" w:type="dxa"/>
              <w:left w:w="110" w:type="dxa"/>
              <w:bottom w:w="100" w:type="dxa"/>
              <w:right w:w="110" w:type="dxa"/>
            </w:tcMar>
          </w:tcPr>
          <w:p>
            <w:pPr>
              <w:spacing w:after="20"/>
            </w:pPr>
            <w:r>
              <w:t xml:space="preserve">Mobile/accessibility and field-user validation are not established. React detailed agronomy/analytics text remains primarily English; local-language review is needed.</w:t>
            </w:r>
          </w:p>
        </w:tc>
      </w:tr>
    </w:tbl>
    <w:p>
      <w:pPr>
        <w:pStyle w:val="Heading1"/>
        <w:spacing w:before="200" w:after="100"/>
        <w:keepNext/>
      </w:pPr>
      <w:r>
        <w:t xml:space="preserve">13. How to read system messages</w:t>
      </w:r>
    </w:p>
    <w:p>
      <w:pPr>
        <w:pStyle w:val="ListParagraph"/>
        <w:ind w:left="420" w:hanging="220"/>
        <w:spacing w:after="70"/>
      </w:pPr>
      <w:r>
        <w:rPr>
          <w:b/>
          <w:color w:val="147D64"/>
        </w:rPr>
        <w:t xml:space="preserve">? </w:t>
      </w:r>
      <w:r>
        <w:t xml:space="preserve">?Your session ended. Sign in again to continue.? means a protected API request was rejected as unauthorized; React clears its local signed-in state. A 30-minute session limit is documented, but a repeated immediate expiry can also require checking that both apps reach the intended API/runtime.</w:t>
      </w:r>
    </w:p>
    <w:p>
      <w:pPr>
        <w:pStyle w:val="ListParagraph"/>
        <w:ind w:left="420" w:hanging="220"/>
        <w:spacing w:after="70"/>
      </w:pPr>
      <w:r>
        <w:rPr>
          <w:b/>
          <w:color w:val="147D64"/>
        </w:rPr>
        <w:t xml:space="preserve">? </w:t>
      </w:r>
      <w:r>
        <w:t xml:space="preserve">?Forecast unavailable? refers to provider/network/validation or data availability; it does not mean that a farm was measured.</w:t>
      </w:r>
    </w:p>
    <w:p>
      <w:pPr>
        <w:pStyle w:val="ListParagraph"/>
        <w:ind w:left="420" w:hanging="220"/>
        <w:spacing w:after="70"/>
      </w:pPr>
      <w:r>
        <w:rPr>
          <w:b/>
          <w:color w:val="147D64"/>
        </w:rPr>
        <w:t xml:space="preserve">? </w:t>
      </w:r>
      <w:r>
        <w:t xml:space="preserve">?Provisional? means CropPulse-generated or imported planning context has not been institutionally/ professionally approved as a recommendation.</w:t>
      </w:r>
    </w:p>
    <w:p>
      <w:pPr>
        <w:pStyle w:val="Heading1"/>
        <w:spacing w:before="200" w:after="100"/>
        <w:keepNext/>
      </w:pPr>
      <w:r>
        <w:t xml:space="preserve">14. End-to-end process summary</w:t>
      </w:r>
    </w:p>
    <w:tbl>
      <w:tblPr>
        <w:tblW w:w="0" w:type="auto"/>
        <w:tblBorders>
          <w:top w:val="single" w:sz="5" w:color="D7E4DC"/>
          <w:left w:val="single" w:sz="5" w:color="D7E4DC"/>
          <w:bottom w:val="single" w:sz="5" w:color="D7E4DC"/>
          <w:right w:val="single" w:sz="5" w:color="D7E4DC"/>
          <w:insideH w:val="single" w:sz="5" w:color="D7E4DC"/>
          <w:insideV w:val="single" w:sz="5" w:color="D7E4DC"/>
        </w:tblBorders>
        <w:tblCellMar>
          <w:top w:w="90" w:type="dxa"/>
          <w:bottom w:w="90" w:type="dxa"/>
          <w:left w:w="100" w:type="dxa"/>
          <w:right w:w="100" w:type="dxa"/>
        </w:tblCellMar>
      </w:tblPr>
      <w:tr>
        <w:tc>
          <w:tcPr>
            <w:tcW w:w="3000" w:type="dxa"/>
            <w:shd w:fill="15513A"/>
            <w:tcMar>
              <w:top w:w="100" w:type="dxa"/>
              <w:left w:w="110" w:type="dxa"/>
              <w:bottom w:w="100" w:type="dxa"/>
              <w:right w:w="110" w:type="dxa"/>
            </w:tcMar>
          </w:tcPr>
          <w:p>
            <w:pPr>
              <w:spacing w:after="20"/>
            </w:pPr>
            <w:r>
              <w:rPr>
                <w:b/>
                <w:color w:val="FFFFFF"/>
              </w:rPr>
              <w:t xml:space="preserve">1. Account</w:t>
            </w:r>
          </w:p>
        </w:tc>
        <w:tc>
          <w:tcPr>
            <w:tcW w:w="3000" w:type="dxa"/>
            <w:shd w:fill="15513A"/>
            <w:tcMar>
              <w:top w:w="100" w:type="dxa"/>
              <w:left w:w="110" w:type="dxa"/>
              <w:bottom w:w="100" w:type="dxa"/>
              <w:right w:w="110" w:type="dxa"/>
            </w:tcMar>
          </w:tcPr>
          <w:p>
            <w:pPr>
              <w:spacing w:after="20"/>
            </w:pPr>
            <w:r>
              <w:rPr>
                <w:b/>
                <w:color w:val="FFFFFF"/>
              </w:rPr>
              <w:t xml:space="preserve">2. Farm</w:t>
            </w:r>
          </w:p>
        </w:tc>
        <w:tc>
          <w:tcPr>
            <w:tcW w:w="3000" w:type="dxa"/>
            <w:shd w:fill="15513A"/>
            <w:tcMar>
              <w:top w:w="100" w:type="dxa"/>
              <w:left w:w="110" w:type="dxa"/>
              <w:bottom w:w="100" w:type="dxa"/>
              <w:right w:w="110" w:type="dxa"/>
            </w:tcMar>
          </w:tcPr>
          <w:p>
            <w:pPr>
              <w:spacing w:after="20"/>
            </w:pPr>
            <w:r>
              <w:rPr>
                <w:b/>
                <w:color w:val="FFFFFF"/>
              </w:rPr>
              <w:t xml:space="preserve">3. Decide</w:t>
            </w:r>
          </w:p>
        </w:tc>
        <w:tc>
          <w:tcPr>
            <w:tcW w:w="3000" w:type="dxa"/>
            <w:shd w:fill="15513A"/>
            <w:tcMar>
              <w:top w:w="100" w:type="dxa"/>
              <w:left w:w="110" w:type="dxa"/>
              <w:bottom w:w="100" w:type="dxa"/>
              <w:right w:w="110" w:type="dxa"/>
            </w:tcMar>
          </w:tcPr>
          <w:p>
            <w:pPr>
              <w:spacing w:after="20"/>
            </w:pPr>
            <w:r>
              <w:rPr>
                <w:b/>
                <w:color w:val="FFFFFF"/>
              </w:rPr>
              <w:t xml:space="preserve">4. Record</w:t>
            </w:r>
          </w:p>
        </w:tc>
        <w:tc>
          <w:tcPr>
            <w:tcW w:w="3000" w:type="dxa"/>
            <w:shd w:fill="15513A"/>
            <w:tcMar>
              <w:top w:w="100" w:type="dxa"/>
              <w:left w:w="110" w:type="dxa"/>
              <w:bottom w:w="100" w:type="dxa"/>
              <w:right w:w="110" w:type="dxa"/>
            </w:tcMar>
          </w:tcPr>
          <w:p>
            <w:pPr>
              <w:spacing w:after="20"/>
            </w:pPr>
            <w:r>
              <w:rPr>
                <w:b/>
                <w:color w:val="FFFFFF"/>
              </w:rPr>
              <w:t xml:space="preserve">5. Follow up</w:t>
            </w:r>
          </w:p>
        </w:tc>
      </w:tr>
      <w:tr>
        <w:tc>
          <w:tcPr>
            <w:tcW w:w="3000" w:type="dxa"/>
            <w:shd w:fill="F1F6F2"/>
            <w:tcMar>
              <w:top w:w="100" w:type="dxa"/>
              <w:left w:w="110" w:type="dxa"/>
              <w:bottom w:w="100" w:type="dxa"/>
              <w:right w:w="110" w:type="dxa"/>
            </w:tcMar>
          </w:tcPr>
          <w:p>
            <w:pPr>
              <w:spacing w:after="20"/>
            </w:pPr>
            <w:r>
              <w:t xml:space="preserve">Register/sign in; API validates role and session.</w:t>
            </w:r>
          </w:p>
        </w:tc>
        <w:tc>
          <w:tcPr>
            <w:tcW w:w="3000" w:type="dxa"/>
            <w:shd w:fill="F1F6F2"/>
            <w:tcMar>
              <w:top w:w="100" w:type="dxa"/>
              <w:left w:w="110" w:type="dxa"/>
              <w:bottom w:w="100" w:type="dxa"/>
              <w:right w:w="110" w:type="dxa"/>
            </w:tcMar>
          </w:tcPr>
          <w:p>
            <w:pPr>
              <w:spacing w:after="20"/>
            </w:pPr>
            <w:r>
              <w:t xml:space="preserve">Save owned farm and optional fields.</w:t>
            </w:r>
          </w:p>
        </w:tc>
        <w:tc>
          <w:tcPr>
            <w:tcW w:w="3000" w:type="dxa"/>
            <w:shd w:fill="F1F6F2"/>
            <w:tcMar>
              <w:top w:w="100" w:type="dxa"/>
              <w:left w:w="110" w:type="dxa"/>
              <w:bottom w:w="100" w:type="dxa"/>
              <w:right w:w="110" w:type="dxa"/>
            </w:tcMar>
          </w:tcPr>
          <w:p>
            <w:pPr>
              <w:spacing w:after="20"/>
            </w:pPr>
            <w:r>
              <w:t xml:space="preserve">Review provisional plan context and weather/statistical references.</w:t>
            </w:r>
          </w:p>
        </w:tc>
        <w:tc>
          <w:tcPr>
            <w:tcW w:w="3000" w:type="dxa"/>
            <w:shd w:fill="F1F6F2"/>
            <w:tcMar>
              <w:top w:w="100" w:type="dxa"/>
              <w:left w:w="110" w:type="dxa"/>
              <w:bottom w:w="100" w:type="dxa"/>
              <w:right w:w="110" w:type="dxa"/>
            </w:tcMar>
          </w:tcPr>
          <w:p>
            <w:pPr>
              <w:spacing w:after="20"/>
            </w:pPr>
            <w:r>
              <w:t xml:space="preserve">Save a plan and record farmer-reported work.</w:t>
            </w:r>
          </w:p>
        </w:tc>
        <w:tc>
          <w:tcPr>
            <w:tcW w:w="3000" w:type="dxa"/>
            <w:shd w:fill="F1F6F2"/>
            <w:tcMar>
              <w:top w:w="100" w:type="dxa"/>
              <w:left w:w="110" w:type="dxa"/>
              <w:bottom w:w="100" w:type="dxa"/>
              <w:right w:w="110" w:type="dxa"/>
            </w:tcMar>
          </w:tcPr>
          <w:p>
            <w:pPr>
              <w:spacing w:after="20"/>
            </w:pPr>
            <w:r>
              <w:t xml:space="preserve">Use messages or crop-health review workflows where eligible; revisit persistent records.</w:t>
            </w:r>
          </w:p>
        </w:tc>
      </w:tr>
    </w:tbl>
    <w:p>
      <w:pPr>
        <w:spacing w:before="180" w:after="120"/>
      </w:pPr>
      <w:r>
        <w:rPr>
          <w:b/>
          <w:color w:val="173C30"/>
        </w:rPr>
        <w:t xml:space="preserve">The platform is a development/pilot prototype with meaningful implemented account-backed workflows. Passing source checks or automated tests does not establish that a production deployment, its database, backups, browser experience, data rights, or agricultural outcomes are ready.</w:t>
      </w:r>
    </w:p>
    <w:p>
      <w:pPr>
        <w:pStyle w:val="Heading1"/>
        <w:spacing w:before="200" w:after="100"/>
        <w:keepNext/>
      </w:pPr>
      <w:r>
        <w:t xml:space="preserve">Sources and verification boundary</w:t>
      </w:r>
    </w:p>
    <w:p>
      <w:pPr>
        <w:spacing w:before="0" w:after="100"/>
      </w:pPr>
      <w:r>
        <w:t xml:space="preserve">This guide was prepared by inspecting the repository README, React route/navigation and page source, FastAPI route definitions, SQLAlchemy database configuration, Streamlit navigation and workflow source, and the existing application audit, readiness, weather, crop-health, and messaging documentation. Principal references include README.md; backend/api.py; backend/db.py; frontend/src/App.tsx; frontend/src/pages.tsx; frontend/src/WeatherPage.tsx; frontend/src/CropHealthPage.tsx; frontend/src/MessagingPage.tsx; app.py; product_pages.py; docs/react-app-setup.md; docs/weather.md; docs/crop-health-review.md; docs/private-messaging-phase-1.md; docs/final-development-day-release-report.md; docs/full-application-audit-phase-2.md.</w:t>
      </w:r>
    </w:p>
    <w:p>
      <w:pPr>
        <w:spacing w:before="0" w:after="120"/>
      </w:pPr>
      <w:r>
        <w:rPr>
          <w:i/>
          <w:color w:val="52665D"/>
        </w:rPr>
        <w:t xml:space="preserve">Evidence date: 27 October 2026. This document is a source-based explanation, not a live-system test. No browser, service, database, migration, or external provider was accessed to prepare it. Features can differ in a deployed environment if its code, configuration, database schema or provider setup differs from this repository.</w:t>
      </w:r>
    </w:p>
    <w:sectPr>
      <w:pgSz w:w="12240" w:h="15840"/>
      <w:pgMar w:top="900" w:right="900" w:bottom="900" w:left="900" w:header="400" w:footer="400" w:gutter="0"/>
    </w:sectPr>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Aptos" w:hAnsi="Aptos"/>
        <w:sz w:val="21"/>
        <w:color w:val="26352F"/>
      </w:rPr>
    </w:rPrDefault>
    <w:pPrDefault>
      <w:pPr>
        <w:spacing w:line="280" w:lineRule="auto"/>
      </w:pPr>
    </w:pPrDefault>
  </w:docDefaults>
  <w:style w:type="paragraph" w:default="1" w:styleId="Normal">
    <w:name w:val="Normal"/>
  </w:style>
  <w:style w:type="paragraph" w:styleId="Title">
    <w:name w:val="Title"/>
    <w:rPr>
      <w:rFonts w:ascii="Aptos Display" w:hAnsi="Aptos Display"/>
      <w:b/>
      <w:color w:val="173C30"/>
    </w:rPr>
  </w:style>
  <w:style w:type="paragraph" w:styleId="Subtitle">
    <w:name w:val="Subtitle"/>
  </w:style>
  <w:style w:type="paragraph" w:styleId="ListParagraph">
    <w:name w:val="List Paragraph"/>
  </w:style>
  <w:style w:type="paragraph" w:styleId="Heading1">
    <w:name w:val="heading 1"/>
    <w:basedOn w:val="Normal"/>
    <w:next w:val="Normal"/>
    <w:qFormat/>
    <w:pPr>
      <w:keepNext/>
      <w:outlineLvl w:val="0"/>
      <w:spacing w:before="300" w:after="120"/>
    </w:pPr>
    <w:rPr>
      <w:rFonts w:ascii="Aptos Display" w:hAnsi="Aptos Display"/>
      <w:b/>
      <w:sz w:val="30"/>
      <w:color w:val="15513A"/>
    </w:rPr>
  </w:style>
  <w:style w:type="paragraph" w:styleId="Heading2">
    <w:name w:val="heading 2"/>
    <w:basedOn w:val="Normal"/>
    <w:qFormat/>
    <w:pPr>
      <w:keepNext/>
      <w:outlineLvl w:val="1"/>
    </w:pPr>
    <w:rPr>
      <w:b/>
      <w:sz w:val="25"/>
      <w:color w:val="15513A"/>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