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91E" w:rsidRPr="00BB3835" w:rsidRDefault="0049691E" w:rsidP="00BB3835">
      <w:pPr>
        <w:jc w:val="center"/>
        <w:rPr>
          <w:rFonts w:cstheme="minorHAnsi"/>
          <w:b/>
          <w:sz w:val="36"/>
          <w:szCs w:val="36"/>
        </w:rPr>
      </w:pPr>
      <w:r w:rsidRPr="00BB3835">
        <w:rPr>
          <w:rFonts w:cstheme="minorHAnsi"/>
          <w:b/>
          <w:sz w:val="36"/>
          <w:szCs w:val="36"/>
        </w:rPr>
        <w:t>Long N To – 29810842</w:t>
      </w:r>
    </w:p>
    <w:p w:rsidR="0049691E" w:rsidRDefault="0049691E" w:rsidP="00BB3835">
      <w:pPr>
        <w:jc w:val="center"/>
        <w:rPr>
          <w:rFonts w:cstheme="minorHAnsi"/>
          <w:b/>
          <w:sz w:val="36"/>
          <w:szCs w:val="36"/>
        </w:rPr>
      </w:pPr>
      <w:r w:rsidRPr="00BB3835">
        <w:rPr>
          <w:rFonts w:cstheme="minorHAnsi"/>
          <w:b/>
          <w:sz w:val="36"/>
          <w:szCs w:val="36"/>
        </w:rPr>
        <w:t>Assignment 6</w:t>
      </w:r>
    </w:p>
    <w:p w:rsidR="00BB3835" w:rsidRPr="00BB3835" w:rsidRDefault="00BB3835" w:rsidP="00BB3835">
      <w:pPr>
        <w:jc w:val="center"/>
        <w:rPr>
          <w:rFonts w:cstheme="minorHAnsi"/>
          <w:b/>
          <w:sz w:val="36"/>
          <w:szCs w:val="36"/>
        </w:rPr>
      </w:pPr>
    </w:p>
    <w:p w:rsidR="00D958AE" w:rsidRPr="00BB3835" w:rsidRDefault="00D958AE">
      <w:pPr>
        <w:rPr>
          <w:rFonts w:cstheme="minorHAnsi"/>
          <w:sz w:val="30"/>
          <w:szCs w:val="30"/>
        </w:rPr>
      </w:pPr>
    </w:p>
    <w:p w:rsidR="00D958AE" w:rsidRPr="00BB3835" w:rsidRDefault="00D958AE">
      <w:pPr>
        <w:rPr>
          <w:rFonts w:cstheme="minorHAnsi"/>
          <w:b/>
          <w:sz w:val="30"/>
          <w:szCs w:val="30"/>
          <w:u w:val="single"/>
        </w:rPr>
      </w:pPr>
      <w:r w:rsidRPr="00BB3835">
        <w:rPr>
          <w:rFonts w:cstheme="minorHAnsi"/>
          <w:b/>
          <w:sz w:val="30"/>
          <w:szCs w:val="30"/>
          <w:u w:val="single"/>
        </w:rPr>
        <w:t>Question 1:</w:t>
      </w:r>
      <w:r w:rsidRPr="00BB3835">
        <w:rPr>
          <w:rFonts w:cstheme="minorHAnsi"/>
          <w:b/>
          <w:sz w:val="30"/>
          <w:szCs w:val="30"/>
          <w:u w:val="single"/>
        </w:rPr>
        <w:br/>
      </w:r>
    </w:p>
    <w:p w:rsidR="00D958AE" w:rsidRPr="00BB3835" w:rsidRDefault="00D958AE" w:rsidP="00D958AE">
      <w:pPr>
        <w:pStyle w:val="ListParagraph"/>
        <w:numPr>
          <w:ilvl w:val="0"/>
          <w:numId w:val="5"/>
        </w:numPr>
        <w:rPr>
          <w:rFonts w:eastAsia="Times New Roman" w:cstheme="minorHAnsi"/>
          <w:sz w:val="30"/>
          <w:szCs w:val="30"/>
        </w:rPr>
      </w:pPr>
      <w:r w:rsidRPr="00BB3835">
        <w:rPr>
          <w:rFonts w:cstheme="minorHAnsi"/>
          <w:sz w:val="30"/>
          <w:szCs w:val="30"/>
        </w:rPr>
        <w:t xml:space="preserve">Policers didn’t require a warrant because </w:t>
      </w:r>
      <w:r w:rsidRPr="00BB3835">
        <w:rPr>
          <w:rFonts w:eastAsia="Times New Roman" w:cstheme="minorHAnsi"/>
          <w:color w:val="000000"/>
          <w:sz w:val="30"/>
          <w:szCs w:val="30"/>
          <w:shd w:val="clear" w:color="auto" w:fill="FFFFFF"/>
        </w:rPr>
        <w:t>Tucker agreed to “permit agents of Adult Probation and Parole to search my person, residence, vehicle or any other property under my control, without a warrant, at any time, day or night, upon reasonable suspicion to ensure compliance with the conditions of my parole.”</w:t>
      </w:r>
    </w:p>
    <w:p w:rsidR="0049691E" w:rsidRPr="00BB3835" w:rsidRDefault="0049691E" w:rsidP="00D958AE">
      <w:pPr>
        <w:ind w:left="360"/>
        <w:rPr>
          <w:rFonts w:cstheme="minorHAnsi"/>
          <w:sz w:val="30"/>
          <w:szCs w:val="30"/>
        </w:rPr>
      </w:pPr>
    </w:p>
    <w:p w:rsidR="00BB3835" w:rsidRPr="00BB3835" w:rsidRDefault="00BB3835" w:rsidP="00BB3835">
      <w:pPr>
        <w:pStyle w:val="ListParagraph"/>
        <w:numPr>
          <w:ilvl w:val="0"/>
          <w:numId w:val="5"/>
        </w:numPr>
        <w:rPr>
          <w:rFonts w:eastAsia="Times New Roman" w:cstheme="minorHAnsi"/>
          <w:sz w:val="30"/>
          <w:szCs w:val="30"/>
        </w:rPr>
      </w:pPr>
      <w:r w:rsidRPr="00BB3835">
        <w:rPr>
          <w:rFonts w:eastAsia="Times New Roman" w:cstheme="minorHAnsi"/>
          <w:color w:val="000000"/>
          <w:sz w:val="30"/>
          <w:szCs w:val="30"/>
          <w:shd w:val="clear" w:color="auto" w:fill="FFFFFF"/>
        </w:rPr>
        <w:t>Definition:</w:t>
      </w:r>
    </w:p>
    <w:p w:rsidR="00BB3835" w:rsidRPr="00BB3835" w:rsidRDefault="00BB3835" w:rsidP="00BB3835">
      <w:pPr>
        <w:pStyle w:val="ListParagraph"/>
        <w:rPr>
          <w:rFonts w:eastAsia="Times New Roman" w:cstheme="minorHAnsi"/>
          <w:color w:val="000000"/>
          <w:sz w:val="30"/>
          <w:szCs w:val="30"/>
          <w:shd w:val="clear" w:color="auto" w:fill="FFFFFF"/>
        </w:rPr>
      </w:pPr>
    </w:p>
    <w:p w:rsidR="00D958AE" w:rsidRDefault="00BB3835" w:rsidP="00BB3835">
      <w:pPr>
        <w:pStyle w:val="ListParagraph"/>
        <w:ind w:firstLine="720"/>
        <w:rPr>
          <w:rFonts w:eastAsia="Times New Roman" w:cstheme="minorHAnsi"/>
          <w:color w:val="000000"/>
          <w:sz w:val="30"/>
          <w:szCs w:val="30"/>
          <w:shd w:val="clear" w:color="auto" w:fill="FFFFFF"/>
        </w:rPr>
      </w:pPr>
      <w:r w:rsidRPr="00BB3835">
        <w:rPr>
          <w:rFonts w:eastAsia="Times New Roman" w:cstheme="minorHAnsi"/>
          <w:color w:val="000000"/>
          <w:sz w:val="30"/>
          <w:szCs w:val="30"/>
          <w:shd w:val="clear" w:color="auto" w:fill="FFFFFF"/>
        </w:rPr>
        <w:t>Reasonable suspicion: is merely a particularized and objective basis for suspecting criminal activity. </w:t>
      </w:r>
    </w:p>
    <w:p w:rsidR="00BB3835" w:rsidRDefault="00BB3835" w:rsidP="00BB3835">
      <w:pPr>
        <w:rPr>
          <w:rFonts w:eastAsia="Times New Roman" w:cstheme="minorHAnsi"/>
          <w:sz w:val="30"/>
          <w:szCs w:val="30"/>
        </w:rPr>
      </w:pPr>
    </w:p>
    <w:p w:rsidR="00BB3835" w:rsidRDefault="00BB3835" w:rsidP="00BB3835">
      <w:pPr>
        <w:rPr>
          <w:rFonts w:eastAsia="Times New Roman" w:cstheme="minorHAnsi"/>
          <w:sz w:val="30"/>
          <w:szCs w:val="30"/>
        </w:rPr>
      </w:pPr>
      <w:r>
        <w:rPr>
          <w:rFonts w:eastAsia="Times New Roman" w:cstheme="minorHAnsi"/>
          <w:sz w:val="30"/>
          <w:szCs w:val="30"/>
        </w:rPr>
        <w:tab/>
        <w:t>Distinction:</w:t>
      </w:r>
    </w:p>
    <w:p w:rsidR="00BB3835" w:rsidRPr="00BB3835" w:rsidRDefault="00BB3835" w:rsidP="00BB3835">
      <w:pPr>
        <w:rPr>
          <w:rFonts w:eastAsia="Times New Roman" w:cstheme="minorHAnsi"/>
          <w:sz w:val="30"/>
          <w:szCs w:val="30"/>
        </w:rPr>
      </w:pPr>
      <w:r>
        <w:rPr>
          <w:rFonts w:eastAsia="Times New Roman" w:cstheme="minorHAnsi"/>
          <w:sz w:val="30"/>
          <w:szCs w:val="30"/>
        </w:rPr>
        <w:tab/>
      </w:r>
      <w:r>
        <w:rPr>
          <w:rFonts w:eastAsia="Times New Roman" w:cstheme="minorHAnsi"/>
          <w:sz w:val="30"/>
          <w:szCs w:val="30"/>
        </w:rPr>
        <w:tab/>
        <w:t>Reasonable suspicion is less demanding than probable cause.</w:t>
      </w:r>
    </w:p>
    <w:p w:rsidR="00BB3835" w:rsidRPr="00BB3835" w:rsidRDefault="00BB3835" w:rsidP="00BA33D7">
      <w:pPr>
        <w:ind w:left="360"/>
        <w:rPr>
          <w:rFonts w:cstheme="minorHAnsi"/>
          <w:sz w:val="30"/>
          <w:szCs w:val="30"/>
          <w:lang w:val="vi-VN"/>
        </w:rPr>
      </w:pPr>
    </w:p>
    <w:p w:rsidR="00BA33D7" w:rsidRPr="00BB3835" w:rsidRDefault="00BA33D7" w:rsidP="003F341C">
      <w:pPr>
        <w:ind w:firstLine="360"/>
        <w:rPr>
          <w:rFonts w:eastAsia="Times New Roman" w:cstheme="minorHAnsi"/>
          <w:sz w:val="30"/>
          <w:szCs w:val="30"/>
          <w:lang w:val="vi-VN"/>
        </w:rPr>
      </w:pPr>
      <w:r w:rsidRPr="00BB3835">
        <w:rPr>
          <w:rFonts w:cstheme="minorHAnsi"/>
          <w:sz w:val="30"/>
          <w:szCs w:val="30"/>
          <w:lang w:val="vi-VN"/>
        </w:rPr>
        <w:t xml:space="preserve">c. </w:t>
      </w:r>
      <w:r w:rsidRPr="00BB3835">
        <w:rPr>
          <w:rFonts w:eastAsia="Times New Roman" w:cstheme="minorHAnsi"/>
          <w:color w:val="000000"/>
          <w:sz w:val="30"/>
          <w:szCs w:val="30"/>
          <w:shd w:val="clear" w:color="auto" w:fill="FFFFFF"/>
        </w:rPr>
        <w:t>172 F.3d 1268 (10th Cir.1999)</w:t>
      </w:r>
      <w:r w:rsidRPr="00BB3835">
        <w:rPr>
          <w:rFonts w:eastAsia="Times New Roman" w:cstheme="minorHAnsi"/>
          <w:color w:val="000000"/>
          <w:sz w:val="30"/>
          <w:szCs w:val="30"/>
          <w:shd w:val="clear" w:color="auto" w:fill="FFFFFF"/>
          <w:lang w:val="vi-VN"/>
        </w:rPr>
        <w:t xml:space="preserve">, </w:t>
      </w:r>
      <w:r w:rsidRPr="00BB3835">
        <w:rPr>
          <w:rFonts w:eastAsia="Times New Roman" w:cstheme="minorHAnsi"/>
          <w:color w:val="000000"/>
          <w:sz w:val="30"/>
          <w:szCs w:val="30"/>
          <w:shd w:val="clear" w:color="auto" w:fill="FFFFFF"/>
        </w:rPr>
        <w:t>United States v. Carey establishes that permission to search a residence does not extend to permission to search computer files</w:t>
      </w:r>
      <w:r w:rsidRPr="00BB3835">
        <w:rPr>
          <w:rFonts w:eastAsia="Times New Roman" w:cstheme="minorHAnsi"/>
          <w:color w:val="000000"/>
          <w:sz w:val="30"/>
          <w:szCs w:val="30"/>
          <w:shd w:val="clear" w:color="auto" w:fill="FFFFFF"/>
          <w:lang w:val="vi-VN"/>
        </w:rPr>
        <w:t xml:space="preserve"> therefore he argued the search wasn’t permissible</w:t>
      </w:r>
    </w:p>
    <w:p w:rsidR="00BB3835" w:rsidRDefault="00BB3835" w:rsidP="00BB3835">
      <w:pPr>
        <w:ind w:firstLine="360"/>
        <w:rPr>
          <w:rFonts w:eastAsia="Times New Roman" w:cstheme="minorHAnsi"/>
          <w:sz w:val="30"/>
          <w:szCs w:val="30"/>
          <w:lang w:val="vi-VN"/>
        </w:rPr>
      </w:pPr>
    </w:p>
    <w:p w:rsidR="006C7E51" w:rsidRPr="00BB3835" w:rsidRDefault="003F341C" w:rsidP="00BB3835">
      <w:pPr>
        <w:ind w:firstLine="360"/>
        <w:rPr>
          <w:rFonts w:eastAsia="Times New Roman" w:cstheme="minorHAnsi"/>
          <w:color w:val="000000"/>
          <w:sz w:val="30"/>
          <w:szCs w:val="30"/>
          <w:shd w:val="clear" w:color="auto" w:fill="FFFFFF"/>
        </w:rPr>
      </w:pPr>
      <w:r w:rsidRPr="00BB3835">
        <w:rPr>
          <w:rFonts w:eastAsia="Times New Roman" w:cstheme="minorHAnsi"/>
          <w:sz w:val="30"/>
          <w:szCs w:val="30"/>
          <w:lang w:val="vi-VN"/>
        </w:rPr>
        <w:t>d. In C</w:t>
      </w:r>
      <w:r w:rsidRPr="00BB3835">
        <w:rPr>
          <w:rFonts w:eastAsia="Times New Roman" w:cstheme="minorHAnsi"/>
          <w:sz w:val="30"/>
          <w:szCs w:val="30"/>
        </w:rPr>
        <w:t xml:space="preserve">arey, the defendant was suspected of selling illegal drugs. So the two cases were different because Tucker was suspected of possessing CP. While in Carey’s case, policers </w:t>
      </w:r>
      <w:r w:rsidR="006C7E51" w:rsidRPr="00BB3835">
        <w:rPr>
          <w:rFonts w:eastAsia="Times New Roman" w:cstheme="minorHAnsi"/>
          <w:sz w:val="30"/>
          <w:szCs w:val="30"/>
        </w:rPr>
        <w:t xml:space="preserve">didn’t need to search computer files to find evidences of defendant’s selling drugs. </w:t>
      </w:r>
      <w:r w:rsidR="006C7E51" w:rsidRPr="00BB3835">
        <w:rPr>
          <w:rFonts w:eastAsia="Times New Roman" w:cstheme="minorHAnsi"/>
          <w:color w:val="000000"/>
          <w:sz w:val="30"/>
          <w:szCs w:val="30"/>
          <w:shd w:val="clear" w:color="auto" w:fill="FFFFFF"/>
        </w:rPr>
        <w:t>Therefore, unlike the consent agreement in Carey, court decided to allow policers to search his computer files.</w:t>
      </w:r>
    </w:p>
    <w:p w:rsidR="00BB3835" w:rsidRDefault="00BB3835" w:rsidP="00BB3835">
      <w:pPr>
        <w:ind w:firstLine="360"/>
        <w:rPr>
          <w:rFonts w:eastAsia="Times New Roman" w:cstheme="minorHAnsi"/>
          <w:color w:val="000000"/>
          <w:sz w:val="30"/>
          <w:szCs w:val="30"/>
          <w:shd w:val="clear" w:color="auto" w:fill="FFFFFF"/>
        </w:rPr>
      </w:pPr>
    </w:p>
    <w:p w:rsidR="006C7E51" w:rsidRDefault="006C7E51" w:rsidP="00BB3835">
      <w:pPr>
        <w:ind w:firstLine="360"/>
        <w:rPr>
          <w:rFonts w:eastAsia="Times New Roman" w:cstheme="minorHAnsi"/>
          <w:color w:val="000000"/>
          <w:sz w:val="30"/>
          <w:szCs w:val="30"/>
          <w:shd w:val="clear" w:color="auto" w:fill="FFFFFF"/>
        </w:rPr>
      </w:pPr>
      <w:r w:rsidRPr="00BB3835">
        <w:rPr>
          <w:rFonts w:eastAsia="Times New Roman" w:cstheme="minorHAnsi"/>
          <w:color w:val="000000"/>
          <w:sz w:val="30"/>
          <w:szCs w:val="30"/>
          <w:shd w:val="clear" w:color="auto" w:fill="FFFFFF"/>
        </w:rPr>
        <w:t xml:space="preserve">e. The “plain-view doctrine” for search warrant in Tucker’s case was policers wasn’t able to seize the items they searched. But there’s exceptions for this case when these 3 three conditions </w:t>
      </w:r>
      <w:r w:rsidR="00BB3835" w:rsidRPr="00BB3835">
        <w:rPr>
          <w:rFonts w:eastAsia="Times New Roman" w:cstheme="minorHAnsi"/>
          <w:color w:val="000000"/>
          <w:sz w:val="30"/>
          <w:szCs w:val="30"/>
          <w:shd w:val="clear" w:color="auto" w:fill="FFFFFF"/>
        </w:rPr>
        <w:t>are met</w:t>
      </w:r>
      <w:r w:rsidRPr="00BB3835">
        <w:rPr>
          <w:rFonts w:eastAsia="Times New Roman" w:cstheme="minorHAnsi"/>
          <w:color w:val="000000"/>
          <w:sz w:val="30"/>
          <w:szCs w:val="30"/>
          <w:shd w:val="clear" w:color="auto" w:fill="FFFFFF"/>
        </w:rPr>
        <w:t>:</w:t>
      </w:r>
    </w:p>
    <w:p w:rsidR="00BB3835" w:rsidRPr="00BB3835" w:rsidRDefault="00BB3835" w:rsidP="00BB3835">
      <w:pPr>
        <w:ind w:firstLine="360"/>
        <w:rPr>
          <w:rFonts w:eastAsia="Times New Roman" w:cstheme="minorHAnsi"/>
          <w:color w:val="000000"/>
          <w:sz w:val="30"/>
          <w:szCs w:val="30"/>
          <w:shd w:val="clear" w:color="auto" w:fill="FFFFFF"/>
        </w:rPr>
      </w:pPr>
    </w:p>
    <w:p w:rsidR="00BB3835" w:rsidRPr="00BB3835" w:rsidRDefault="00BB3835" w:rsidP="00BB3835">
      <w:pPr>
        <w:pStyle w:val="ListParagraph"/>
        <w:numPr>
          <w:ilvl w:val="0"/>
          <w:numId w:val="6"/>
        </w:numPr>
        <w:rPr>
          <w:rFonts w:eastAsia="Times New Roman" w:cstheme="minorHAnsi"/>
          <w:color w:val="000000"/>
          <w:sz w:val="30"/>
          <w:szCs w:val="30"/>
          <w:shd w:val="clear" w:color="auto" w:fill="FFFFFF"/>
        </w:rPr>
      </w:pPr>
      <w:r w:rsidRPr="00BB3835">
        <w:rPr>
          <w:rFonts w:eastAsia="Times New Roman" w:cstheme="minorHAnsi"/>
          <w:color w:val="000000"/>
          <w:sz w:val="30"/>
          <w:szCs w:val="30"/>
          <w:shd w:val="clear" w:color="auto" w:fill="FFFFFF"/>
        </w:rPr>
        <w:t>The seizing officer must not have “violated the Fourth Amendment in arriving at the place from which the evidence could be plainly viewed.” </w:t>
      </w:r>
    </w:p>
    <w:p w:rsidR="00BB3835" w:rsidRPr="00BB3835" w:rsidRDefault="00BB3835" w:rsidP="00BB3835">
      <w:pPr>
        <w:rPr>
          <w:rFonts w:eastAsia="Times New Roman" w:cstheme="minorHAnsi"/>
          <w:color w:val="000000"/>
          <w:sz w:val="30"/>
          <w:szCs w:val="30"/>
          <w:shd w:val="clear" w:color="auto" w:fill="FFFFFF"/>
        </w:rPr>
      </w:pPr>
    </w:p>
    <w:p w:rsidR="00BB3835" w:rsidRPr="00BB3835" w:rsidRDefault="00BB3835" w:rsidP="00BB3835">
      <w:pPr>
        <w:pStyle w:val="ListParagraph"/>
        <w:numPr>
          <w:ilvl w:val="0"/>
          <w:numId w:val="6"/>
        </w:numPr>
        <w:rPr>
          <w:rFonts w:eastAsia="Times New Roman" w:cstheme="minorHAnsi"/>
          <w:color w:val="000000"/>
          <w:sz w:val="30"/>
          <w:szCs w:val="30"/>
          <w:shd w:val="clear" w:color="auto" w:fill="FFFFFF"/>
        </w:rPr>
      </w:pPr>
      <w:r w:rsidRPr="00BB3835">
        <w:rPr>
          <w:rFonts w:eastAsia="Times New Roman" w:cstheme="minorHAnsi"/>
          <w:color w:val="000000"/>
          <w:sz w:val="30"/>
          <w:szCs w:val="30"/>
          <w:shd w:val="clear" w:color="auto" w:fill="FFFFFF"/>
        </w:rPr>
        <w:t>The item must be in plain view and its incriminating character must be “immediately apparent.”</w:t>
      </w:r>
    </w:p>
    <w:p w:rsidR="00BB3835" w:rsidRPr="00BB3835" w:rsidRDefault="00BB3835" w:rsidP="00BB3835">
      <w:pPr>
        <w:pStyle w:val="ListParagraph"/>
        <w:rPr>
          <w:rFonts w:eastAsia="Times New Roman" w:cstheme="minorHAnsi"/>
          <w:sz w:val="30"/>
          <w:szCs w:val="30"/>
        </w:rPr>
      </w:pPr>
    </w:p>
    <w:p w:rsidR="00BB3835" w:rsidRPr="00BB3835" w:rsidRDefault="00BB3835" w:rsidP="00BB3835">
      <w:pPr>
        <w:rPr>
          <w:rFonts w:eastAsia="Times New Roman" w:cstheme="minorHAnsi"/>
          <w:sz w:val="30"/>
          <w:szCs w:val="30"/>
        </w:rPr>
      </w:pPr>
    </w:p>
    <w:p w:rsidR="00BB3835" w:rsidRPr="00BB3835" w:rsidRDefault="00BB3835" w:rsidP="00BB3835">
      <w:pPr>
        <w:ind w:firstLine="720"/>
        <w:rPr>
          <w:rFonts w:eastAsia="Times New Roman" w:cstheme="minorHAnsi"/>
          <w:sz w:val="30"/>
          <w:szCs w:val="30"/>
        </w:rPr>
      </w:pPr>
      <w:r w:rsidRPr="00BB3835">
        <w:rPr>
          <w:rFonts w:eastAsia="Times New Roman" w:cstheme="minorHAnsi"/>
          <w:sz w:val="30"/>
          <w:szCs w:val="30"/>
        </w:rPr>
        <w:t xml:space="preserve">3. </w:t>
      </w:r>
      <w:r w:rsidRPr="00BB3835">
        <w:rPr>
          <w:rFonts w:eastAsia="Times New Roman" w:cstheme="minorHAnsi"/>
          <w:color w:val="000000"/>
          <w:sz w:val="30"/>
          <w:szCs w:val="30"/>
          <w:shd w:val="clear" w:color="auto" w:fill="FFFFFF"/>
        </w:rPr>
        <w:t>The officer must have a lawful right of access to the object</w:t>
      </w:r>
    </w:p>
    <w:p w:rsidR="00BB3835" w:rsidRPr="00BB3835" w:rsidRDefault="00BB3835" w:rsidP="00BB3835">
      <w:pPr>
        <w:rPr>
          <w:rFonts w:eastAsia="Times New Roman" w:cstheme="minorHAnsi"/>
          <w:sz w:val="30"/>
          <w:szCs w:val="30"/>
        </w:rPr>
      </w:pPr>
    </w:p>
    <w:p w:rsidR="00D958AE" w:rsidRPr="00BB3835" w:rsidRDefault="00D958AE" w:rsidP="00BB3835">
      <w:pPr>
        <w:rPr>
          <w:rFonts w:eastAsia="Times New Roman" w:cstheme="minorHAnsi"/>
          <w:sz w:val="30"/>
          <w:szCs w:val="30"/>
        </w:rPr>
      </w:pPr>
    </w:p>
    <w:p w:rsidR="0049691E" w:rsidRPr="00BB3835" w:rsidRDefault="0049691E">
      <w:pPr>
        <w:rPr>
          <w:rFonts w:cstheme="minorHAnsi"/>
          <w:b/>
          <w:sz w:val="30"/>
          <w:szCs w:val="30"/>
          <w:u w:val="single"/>
        </w:rPr>
      </w:pPr>
      <w:r w:rsidRPr="00BB3835">
        <w:rPr>
          <w:rFonts w:cstheme="minorHAnsi"/>
          <w:b/>
          <w:sz w:val="30"/>
          <w:szCs w:val="30"/>
          <w:u w:val="single"/>
        </w:rPr>
        <w:t>Question 2:</w:t>
      </w:r>
    </w:p>
    <w:p w:rsidR="0049691E" w:rsidRPr="00BB3835" w:rsidRDefault="0049691E">
      <w:pPr>
        <w:rPr>
          <w:rFonts w:cstheme="minorHAnsi"/>
          <w:sz w:val="30"/>
          <w:szCs w:val="30"/>
          <w:lang w:val="vi-VN"/>
        </w:rPr>
      </w:pPr>
    </w:p>
    <w:p w:rsidR="0049691E" w:rsidRPr="00BB3835" w:rsidRDefault="0049691E">
      <w:pPr>
        <w:rPr>
          <w:rFonts w:cstheme="minorHAnsi"/>
          <w:sz w:val="30"/>
          <w:szCs w:val="30"/>
        </w:rPr>
      </w:pPr>
      <w:r w:rsidRPr="00BB3835">
        <w:rPr>
          <w:rFonts w:cstheme="minorHAnsi"/>
          <w:sz w:val="30"/>
          <w:szCs w:val="30"/>
        </w:rPr>
        <w:t>6 indic</w:t>
      </w:r>
      <w:r w:rsidR="00C729C9" w:rsidRPr="00BB3835">
        <w:rPr>
          <w:rFonts w:cstheme="minorHAnsi"/>
          <w:sz w:val="30"/>
          <w:szCs w:val="30"/>
        </w:rPr>
        <w:t>ations of contraband possessions used by courts when deciding cases:</w:t>
      </w:r>
    </w:p>
    <w:p w:rsidR="00D958AE" w:rsidRPr="00BB3835" w:rsidRDefault="00D958AE">
      <w:pPr>
        <w:rPr>
          <w:rFonts w:cstheme="minorHAnsi"/>
          <w:sz w:val="30"/>
          <w:szCs w:val="30"/>
        </w:rPr>
      </w:pPr>
    </w:p>
    <w:p w:rsidR="00C729C9" w:rsidRPr="00BB3835" w:rsidRDefault="00C729C9" w:rsidP="00C729C9">
      <w:pPr>
        <w:pStyle w:val="ListParagraph"/>
        <w:numPr>
          <w:ilvl w:val="0"/>
          <w:numId w:val="1"/>
        </w:numPr>
        <w:rPr>
          <w:rFonts w:eastAsia="Times New Roman" w:cstheme="minorHAnsi"/>
          <w:sz w:val="30"/>
          <w:szCs w:val="30"/>
        </w:rPr>
      </w:pPr>
      <w:r w:rsidRPr="00BB3835">
        <w:rPr>
          <w:rFonts w:eastAsia="Times New Roman" w:cstheme="minorHAnsi"/>
          <w:sz w:val="30"/>
          <w:szCs w:val="30"/>
        </w:rPr>
        <w:t>the defendant's knowledge of the contraband</w:t>
      </w:r>
    </w:p>
    <w:p w:rsidR="00C729C9" w:rsidRPr="00BB3835" w:rsidRDefault="00C729C9" w:rsidP="00C729C9">
      <w:pPr>
        <w:pStyle w:val="ListParagraph"/>
        <w:numPr>
          <w:ilvl w:val="0"/>
          <w:numId w:val="1"/>
        </w:numPr>
        <w:rPr>
          <w:rFonts w:eastAsia="Times New Roman" w:cstheme="minorHAnsi"/>
          <w:sz w:val="30"/>
          <w:szCs w:val="30"/>
        </w:rPr>
      </w:pPr>
      <w:r w:rsidRPr="00BB3835">
        <w:rPr>
          <w:rFonts w:eastAsia="Times New Roman" w:cstheme="minorHAnsi"/>
          <w:sz w:val="30"/>
          <w:szCs w:val="30"/>
        </w:rPr>
        <w:t>the defendant's destruction of the contraband;</w:t>
      </w:r>
    </w:p>
    <w:p w:rsidR="00C729C9" w:rsidRPr="00BB3835" w:rsidRDefault="00C729C9" w:rsidP="00C729C9">
      <w:pPr>
        <w:pStyle w:val="ListParagraph"/>
        <w:numPr>
          <w:ilvl w:val="0"/>
          <w:numId w:val="1"/>
        </w:numPr>
        <w:rPr>
          <w:rFonts w:eastAsia="Times New Roman" w:cstheme="minorHAnsi"/>
          <w:sz w:val="30"/>
          <w:szCs w:val="30"/>
        </w:rPr>
      </w:pPr>
      <w:r w:rsidRPr="00BB3835">
        <w:rPr>
          <w:rFonts w:eastAsia="Times New Roman" w:cstheme="minorHAnsi"/>
          <w:sz w:val="30"/>
          <w:szCs w:val="30"/>
        </w:rPr>
        <w:t>the defendant's manipulation of and control over the contraband</w:t>
      </w:r>
    </w:p>
    <w:p w:rsidR="00C729C9" w:rsidRPr="00BB3835" w:rsidRDefault="00C729C9" w:rsidP="00C729C9">
      <w:pPr>
        <w:pStyle w:val="ListParagraph"/>
        <w:numPr>
          <w:ilvl w:val="0"/>
          <w:numId w:val="1"/>
        </w:numPr>
        <w:rPr>
          <w:rFonts w:eastAsia="Times New Roman" w:cstheme="minorHAnsi"/>
          <w:sz w:val="30"/>
          <w:szCs w:val="30"/>
        </w:rPr>
      </w:pPr>
      <w:r w:rsidRPr="00BB3835">
        <w:rPr>
          <w:rFonts w:eastAsia="Times New Roman" w:cstheme="minorHAnsi"/>
          <w:sz w:val="30"/>
          <w:szCs w:val="30"/>
        </w:rPr>
        <w:t>the defendant's actions to seek out and obtain the contraband</w:t>
      </w:r>
    </w:p>
    <w:p w:rsidR="00C729C9" w:rsidRPr="00BB3835" w:rsidRDefault="00C729C9" w:rsidP="00C729C9">
      <w:pPr>
        <w:pStyle w:val="ListParagraph"/>
        <w:numPr>
          <w:ilvl w:val="0"/>
          <w:numId w:val="1"/>
        </w:numPr>
        <w:rPr>
          <w:rFonts w:eastAsia="Times New Roman" w:cstheme="minorHAnsi"/>
          <w:sz w:val="30"/>
          <w:szCs w:val="30"/>
        </w:rPr>
      </w:pPr>
      <w:r w:rsidRPr="00BB3835">
        <w:rPr>
          <w:rFonts w:eastAsia="Times New Roman" w:cstheme="minorHAnsi"/>
          <w:sz w:val="30"/>
          <w:szCs w:val="30"/>
        </w:rPr>
        <w:t>the amount of contraband found</w:t>
      </w:r>
    </w:p>
    <w:p w:rsidR="00C729C9" w:rsidRDefault="00C729C9" w:rsidP="00180E40">
      <w:pPr>
        <w:pStyle w:val="ListParagraph"/>
        <w:numPr>
          <w:ilvl w:val="0"/>
          <w:numId w:val="1"/>
        </w:numPr>
        <w:rPr>
          <w:rFonts w:eastAsia="Times New Roman" w:cstheme="minorHAnsi"/>
          <w:sz w:val="30"/>
          <w:szCs w:val="30"/>
        </w:rPr>
      </w:pPr>
      <w:r w:rsidRPr="00BB3835">
        <w:rPr>
          <w:rFonts w:eastAsia="Times New Roman" w:cstheme="minorHAnsi"/>
          <w:sz w:val="30"/>
          <w:szCs w:val="30"/>
        </w:rPr>
        <w:t>any other extraneous, relevant evidence</w:t>
      </w:r>
    </w:p>
    <w:p w:rsidR="00BB3835" w:rsidRDefault="00BB3835" w:rsidP="00BB3835">
      <w:pPr>
        <w:rPr>
          <w:rFonts w:eastAsia="Times New Roman" w:cstheme="minorHAnsi"/>
          <w:sz w:val="30"/>
          <w:szCs w:val="30"/>
        </w:rPr>
      </w:pPr>
    </w:p>
    <w:p w:rsidR="00BB3835" w:rsidRPr="00BB3835" w:rsidRDefault="00BB3835" w:rsidP="00BB3835">
      <w:pPr>
        <w:rPr>
          <w:rFonts w:eastAsia="Times New Roman" w:cstheme="minorHAnsi"/>
          <w:b/>
          <w:sz w:val="30"/>
          <w:szCs w:val="30"/>
          <w:u w:val="single"/>
        </w:rPr>
      </w:pPr>
      <w:r w:rsidRPr="00BB3835">
        <w:rPr>
          <w:rFonts w:eastAsia="Times New Roman" w:cstheme="minorHAnsi"/>
          <w:b/>
          <w:sz w:val="30"/>
          <w:szCs w:val="30"/>
          <w:u w:val="single"/>
        </w:rPr>
        <w:t>Question 3:</w:t>
      </w:r>
    </w:p>
    <w:p w:rsidR="00BB3835" w:rsidRDefault="00BB3835" w:rsidP="00BB3835">
      <w:pPr>
        <w:rPr>
          <w:rFonts w:eastAsia="Times New Roman" w:cstheme="minorHAnsi"/>
          <w:sz w:val="30"/>
          <w:szCs w:val="30"/>
        </w:rPr>
      </w:pPr>
    </w:p>
    <w:p w:rsidR="00BB3835" w:rsidRPr="00BB3835" w:rsidRDefault="00ED2C3D" w:rsidP="00BB3835">
      <w:pPr>
        <w:rPr>
          <w:rFonts w:eastAsia="Times New Roman" w:cstheme="minorHAnsi"/>
          <w:sz w:val="30"/>
          <w:szCs w:val="30"/>
        </w:rPr>
      </w:pPr>
      <w:r>
        <w:rPr>
          <w:rFonts w:eastAsia="Times New Roman" w:cstheme="minorHAnsi"/>
          <w:sz w:val="30"/>
          <w:szCs w:val="30"/>
        </w:rPr>
        <w:tab/>
        <w:t xml:space="preserve">I think the most defensible and fair definition of “possessing” is finding and downloading (storing). Viewing shouldn’t be listed as possessing because defendant can unintentionally see CP. The same with deleting case: if someone downloaded CP on defendant’s computer and he deleted it when he found out. That means he didn’t intend to store illegal stuffs. </w:t>
      </w:r>
      <w:bookmarkStart w:id="0" w:name="_GoBack"/>
      <w:bookmarkEnd w:id="0"/>
      <w:r>
        <w:rPr>
          <w:rFonts w:eastAsia="Times New Roman" w:cstheme="minorHAnsi"/>
          <w:sz w:val="30"/>
          <w:szCs w:val="30"/>
        </w:rPr>
        <w:t xml:space="preserve"> </w:t>
      </w:r>
    </w:p>
    <w:p w:rsidR="00180E40" w:rsidRPr="00BB3835" w:rsidRDefault="00180E40" w:rsidP="00180E40">
      <w:pPr>
        <w:rPr>
          <w:rFonts w:eastAsia="Times New Roman" w:cstheme="minorHAnsi"/>
          <w:sz w:val="30"/>
          <w:szCs w:val="30"/>
        </w:rPr>
      </w:pPr>
    </w:p>
    <w:p w:rsidR="00180E40" w:rsidRPr="00BB3835" w:rsidRDefault="00180E40" w:rsidP="00180E40">
      <w:pPr>
        <w:rPr>
          <w:rFonts w:eastAsia="Times New Roman" w:cstheme="minorHAnsi"/>
          <w:b/>
          <w:sz w:val="30"/>
          <w:szCs w:val="30"/>
          <w:u w:val="single"/>
        </w:rPr>
      </w:pPr>
      <w:r w:rsidRPr="00BB3835">
        <w:rPr>
          <w:rFonts w:eastAsia="Times New Roman" w:cstheme="minorHAnsi"/>
          <w:b/>
          <w:sz w:val="30"/>
          <w:szCs w:val="30"/>
          <w:u w:val="single"/>
        </w:rPr>
        <w:t>Question 4:</w:t>
      </w:r>
    </w:p>
    <w:p w:rsidR="00180E40" w:rsidRPr="00BB3835" w:rsidRDefault="00180E40" w:rsidP="00180E40">
      <w:pPr>
        <w:rPr>
          <w:rFonts w:eastAsia="Times New Roman" w:cstheme="minorHAnsi"/>
          <w:sz w:val="30"/>
          <w:szCs w:val="30"/>
        </w:rPr>
      </w:pPr>
    </w:p>
    <w:p w:rsidR="00180E40" w:rsidRPr="00BB3835" w:rsidRDefault="00180E40" w:rsidP="00180E40">
      <w:pPr>
        <w:rPr>
          <w:rFonts w:eastAsia="Times New Roman" w:cstheme="minorHAnsi"/>
          <w:color w:val="333332"/>
          <w:sz w:val="30"/>
          <w:szCs w:val="30"/>
        </w:rPr>
      </w:pPr>
      <w:r w:rsidRPr="00BB3835">
        <w:rPr>
          <w:rFonts w:eastAsia="Times New Roman" w:cstheme="minorHAnsi"/>
          <w:sz w:val="30"/>
          <w:szCs w:val="30"/>
        </w:rPr>
        <w:t xml:space="preserve">Questions that </w:t>
      </w:r>
      <w:r w:rsidRPr="00BB3835">
        <w:rPr>
          <w:rFonts w:eastAsia="Times New Roman" w:cstheme="minorHAnsi"/>
          <w:color w:val="333332"/>
          <w:sz w:val="30"/>
          <w:szCs w:val="30"/>
        </w:rPr>
        <w:t>describe circumstances where the operation of the exploit code could be material to the defense:</w:t>
      </w:r>
    </w:p>
    <w:p w:rsidR="00D958AE" w:rsidRPr="00BB3835" w:rsidRDefault="00D958AE" w:rsidP="00180E40">
      <w:pPr>
        <w:rPr>
          <w:rFonts w:eastAsia="Times New Roman" w:cstheme="minorHAnsi"/>
          <w:color w:val="333332"/>
          <w:sz w:val="30"/>
          <w:szCs w:val="30"/>
        </w:rPr>
      </w:pPr>
    </w:p>
    <w:p w:rsidR="00180E40" w:rsidRPr="00BB3835" w:rsidRDefault="00180E40" w:rsidP="00180E40">
      <w:pPr>
        <w:pStyle w:val="ListParagraph"/>
        <w:numPr>
          <w:ilvl w:val="0"/>
          <w:numId w:val="2"/>
        </w:numPr>
        <w:rPr>
          <w:rFonts w:eastAsia="Times New Roman" w:cstheme="minorHAnsi"/>
          <w:sz w:val="30"/>
          <w:szCs w:val="30"/>
        </w:rPr>
      </w:pPr>
      <w:r w:rsidRPr="00BB3835">
        <w:rPr>
          <w:rFonts w:eastAsia="Times New Roman" w:cstheme="minorHAnsi"/>
          <w:bCs/>
          <w:color w:val="222222"/>
          <w:sz w:val="30"/>
          <w:szCs w:val="30"/>
        </w:rPr>
        <w:t>Does the ID number uniquely identify a single user of the site?</w:t>
      </w:r>
    </w:p>
    <w:p w:rsidR="00180E40" w:rsidRPr="00BB3835" w:rsidRDefault="00180E40" w:rsidP="00180E40">
      <w:pPr>
        <w:pStyle w:val="ListParagraph"/>
        <w:numPr>
          <w:ilvl w:val="0"/>
          <w:numId w:val="2"/>
        </w:numPr>
        <w:rPr>
          <w:rFonts w:eastAsia="Times New Roman" w:cstheme="minorHAnsi"/>
          <w:sz w:val="30"/>
          <w:szCs w:val="30"/>
        </w:rPr>
      </w:pPr>
      <w:r w:rsidRPr="00BB3835">
        <w:rPr>
          <w:rFonts w:eastAsia="Times New Roman" w:cstheme="minorHAnsi"/>
          <w:bCs/>
          <w:color w:val="222222"/>
          <w:sz w:val="30"/>
          <w:szCs w:val="30"/>
        </w:rPr>
        <w:t>What did the NIT seize from the defendant’s system and send to the logging service?</w:t>
      </w:r>
    </w:p>
    <w:p w:rsidR="00180E40" w:rsidRPr="00180E40" w:rsidRDefault="00180E40" w:rsidP="00180E40">
      <w:pPr>
        <w:numPr>
          <w:ilvl w:val="0"/>
          <w:numId w:val="2"/>
        </w:numPr>
        <w:spacing w:before="100" w:beforeAutospacing="1" w:after="100" w:afterAutospacing="1"/>
        <w:rPr>
          <w:rFonts w:eastAsia="Times New Roman" w:cstheme="minorHAnsi"/>
          <w:color w:val="222222"/>
          <w:sz w:val="30"/>
          <w:szCs w:val="30"/>
        </w:rPr>
      </w:pPr>
      <w:r w:rsidRPr="00BB3835">
        <w:rPr>
          <w:rFonts w:eastAsia="Times New Roman" w:cstheme="minorHAnsi"/>
          <w:bCs/>
          <w:color w:val="222222"/>
          <w:sz w:val="30"/>
          <w:szCs w:val="30"/>
        </w:rPr>
        <w:t>Did the NIT correctly gather the seized information?</w:t>
      </w:r>
    </w:p>
    <w:p w:rsidR="00180E40" w:rsidRPr="00BB3835" w:rsidRDefault="00180E40" w:rsidP="00180E40">
      <w:pPr>
        <w:pStyle w:val="ListParagraph"/>
        <w:numPr>
          <w:ilvl w:val="0"/>
          <w:numId w:val="2"/>
        </w:numPr>
        <w:rPr>
          <w:rFonts w:eastAsia="Times New Roman" w:cstheme="minorHAnsi"/>
          <w:sz w:val="30"/>
          <w:szCs w:val="30"/>
        </w:rPr>
      </w:pPr>
      <w:r w:rsidRPr="00BB3835">
        <w:rPr>
          <w:rFonts w:eastAsia="Times New Roman" w:cstheme="minorHAnsi"/>
          <w:bCs/>
          <w:color w:val="222222"/>
          <w:sz w:val="30"/>
          <w:szCs w:val="30"/>
        </w:rPr>
        <w:t>Did the NIT seize additional information from the defendant’s system and send it to a different system on the internet?</w:t>
      </w:r>
    </w:p>
    <w:p w:rsidR="00180E40" w:rsidRPr="00BB3835" w:rsidRDefault="00180E40" w:rsidP="00180E40">
      <w:pPr>
        <w:pStyle w:val="ListParagraph"/>
        <w:numPr>
          <w:ilvl w:val="0"/>
          <w:numId w:val="2"/>
        </w:numPr>
        <w:rPr>
          <w:rFonts w:eastAsia="Times New Roman" w:cstheme="minorHAnsi"/>
          <w:sz w:val="30"/>
          <w:szCs w:val="30"/>
        </w:rPr>
      </w:pPr>
      <w:r w:rsidRPr="00BB3835">
        <w:rPr>
          <w:rFonts w:eastAsia="Times New Roman" w:cstheme="minorHAnsi"/>
          <w:bCs/>
          <w:color w:val="222222"/>
          <w:sz w:val="30"/>
          <w:szCs w:val="30"/>
        </w:rPr>
        <w:t>Did the NIT introduce additional weaknesses to the defendant’s computer?</w:t>
      </w:r>
    </w:p>
    <w:p w:rsidR="00180E40" w:rsidRPr="00BB3835" w:rsidRDefault="00180E40" w:rsidP="00180E40">
      <w:pPr>
        <w:rPr>
          <w:rFonts w:eastAsia="Times New Roman" w:cstheme="minorHAnsi"/>
          <w:sz w:val="30"/>
          <w:szCs w:val="30"/>
        </w:rPr>
      </w:pPr>
    </w:p>
    <w:p w:rsidR="00180E40" w:rsidRPr="00BB3835" w:rsidRDefault="00180E40" w:rsidP="00180E40">
      <w:pPr>
        <w:rPr>
          <w:rFonts w:eastAsia="Times New Roman" w:cstheme="minorHAnsi"/>
          <w:sz w:val="30"/>
          <w:szCs w:val="30"/>
        </w:rPr>
      </w:pPr>
    </w:p>
    <w:sectPr w:rsidR="00180E40" w:rsidRPr="00BB3835" w:rsidSect="0077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16DAD"/>
    <w:multiLevelType w:val="hybridMultilevel"/>
    <w:tmpl w:val="EB8CFF6C"/>
    <w:lvl w:ilvl="0" w:tplc="A1DC100C">
      <w:start w:val="1"/>
      <w:numFmt w:val="lowerLetter"/>
      <w:lvlText w:val="%1."/>
      <w:lvlJc w:val="left"/>
      <w:pPr>
        <w:ind w:left="720" w:hanging="360"/>
      </w:pPr>
      <w:rPr>
        <w:rFonts w:asciiTheme="minorHAnsi" w:eastAsiaTheme="minorHAnsi" w:hAnsiTheme="minorHAnsi" w:cstheme="minorHAnsi"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45692"/>
    <w:multiLevelType w:val="hybridMultilevel"/>
    <w:tmpl w:val="0D6E808C"/>
    <w:lvl w:ilvl="0" w:tplc="78F006B0">
      <w:start w:val="1"/>
      <w:numFmt w:val="decimal"/>
      <w:lvlText w:val="%1."/>
      <w:lvlJc w:val="left"/>
      <w:pPr>
        <w:ind w:left="720" w:hanging="360"/>
      </w:pPr>
      <w:rPr>
        <w:rFonts w:ascii="Helvetica" w:hAnsi="Helvetica" w:hint="default"/>
        <w:color w:val="333332"/>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075E2"/>
    <w:multiLevelType w:val="multilevel"/>
    <w:tmpl w:val="3D7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00612"/>
    <w:multiLevelType w:val="hybridMultilevel"/>
    <w:tmpl w:val="87402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440C7"/>
    <w:multiLevelType w:val="hybridMultilevel"/>
    <w:tmpl w:val="7E4A4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B3C4F"/>
    <w:multiLevelType w:val="hybridMultilevel"/>
    <w:tmpl w:val="0E80C964"/>
    <w:lvl w:ilvl="0" w:tplc="78749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9A"/>
    <w:rsid w:val="00180E40"/>
    <w:rsid w:val="0026342E"/>
    <w:rsid w:val="003F341C"/>
    <w:rsid w:val="0049691E"/>
    <w:rsid w:val="005A779A"/>
    <w:rsid w:val="006C7E51"/>
    <w:rsid w:val="00764DCE"/>
    <w:rsid w:val="007748A9"/>
    <w:rsid w:val="00BA33D7"/>
    <w:rsid w:val="00BB3835"/>
    <w:rsid w:val="00C729C9"/>
    <w:rsid w:val="00D958AE"/>
    <w:rsid w:val="00ED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AD949"/>
  <w15:chartTrackingRefBased/>
  <w15:docId w15:val="{B22181A4-9A07-3B48-9D6B-62956276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9C9"/>
    <w:pPr>
      <w:ind w:left="720"/>
      <w:contextualSpacing/>
    </w:pPr>
  </w:style>
  <w:style w:type="character" w:styleId="Strong">
    <w:name w:val="Strong"/>
    <w:basedOn w:val="DefaultParagraphFont"/>
    <w:uiPriority w:val="22"/>
    <w:qFormat/>
    <w:rsid w:val="00180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0360">
      <w:bodyDiv w:val="1"/>
      <w:marLeft w:val="0"/>
      <w:marRight w:val="0"/>
      <w:marTop w:val="0"/>
      <w:marBottom w:val="0"/>
      <w:divBdr>
        <w:top w:val="none" w:sz="0" w:space="0" w:color="auto"/>
        <w:left w:val="none" w:sz="0" w:space="0" w:color="auto"/>
        <w:bottom w:val="none" w:sz="0" w:space="0" w:color="auto"/>
        <w:right w:val="none" w:sz="0" w:space="0" w:color="auto"/>
      </w:divBdr>
    </w:div>
    <w:div w:id="108165708">
      <w:bodyDiv w:val="1"/>
      <w:marLeft w:val="0"/>
      <w:marRight w:val="0"/>
      <w:marTop w:val="0"/>
      <w:marBottom w:val="0"/>
      <w:divBdr>
        <w:top w:val="none" w:sz="0" w:space="0" w:color="auto"/>
        <w:left w:val="none" w:sz="0" w:space="0" w:color="auto"/>
        <w:bottom w:val="none" w:sz="0" w:space="0" w:color="auto"/>
        <w:right w:val="none" w:sz="0" w:space="0" w:color="auto"/>
      </w:divBdr>
    </w:div>
    <w:div w:id="160003708">
      <w:bodyDiv w:val="1"/>
      <w:marLeft w:val="0"/>
      <w:marRight w:val="0"/>
      <w:marTop w:val="0"/>
      <w:marBottom w:val="0"/>
      <w:divBdr>
        <w:top w:val="none" w:sz="0" w:space="0" w:color="auto"/>
        <w:left w:val="none" w:sz="0" w:space="0" w:color="auto"/>
        <w:bottom w:val="none" w:sz="0" w:space="0" w:color="auto"/>
        <w:right w:val="none" w:sz="0" w:space="0" w:color="auto"/>
      </w:divBdr>
    </w:div>
    <w:div w:id="174879842">
      <w:bodyDiv w:val="1"/>
      <w:marLeft w:val="0"/>
      <w:marRight w:val="0"/>
      <w:marTop w:val="0"/>
      <w:marBottom w:val="0"/>
      <w:divBdr>
        <w:top w:val="none" w:sz="0" w:space="0" w:color="auto"/>
        <w:left w:val="none" w:sz="0" w:space="0" w:color="auto"/>
        <w:bottom w:val="none" w:sz="0" w:space="0" w:color="auto"/>
        <w:right w:val="none" w:sz="0" w:space="0" w:color="auto"/>
      </w:divBdr>
    </w:div>
    <w:div w:id="389422084">
      <w:bodyDiv w:val="1"/>
      <w:marLeft w:val="0"/>
      <w:marRight w:val="0"/>
      <w:marTop w:val="0"/>
      <w:marBottom w:val="0"/>
      <w:divBdr>
        <w:top w:val="none" w:sz="0" w:space="0" w:color="auto"/>
        <w:left w:val="none" w:sz="0" w:space="0" w:color="auto"/>
        <w:bottom w:val="none" w:sz="0" w:space="0" w:color="auto"/>
        <w:right w:val="none" w:sz="0" w:space="0" w:color="auto"/>
      </w:divBdr>
    </w:div>
    <w:div w:id="426267665">
      <w:bodyDiv w:val="1"/>
      <w:marLeft w:val="0"/>
      <w:marRight w:val="0"/>
      <w:marTop w:val="0"/>
      <w:marBottom w:val="0"/>
      <w:divBdr>
        <w:top w:val="none" w:sz="0" w:space="0" w:color="auto"/>
        <w:left w:val="none" w:sz="0" w:space="0" w:color="auto"/>
        <w:bottom w:val="none" w:sz="0" w:space="0" w:color="auto"/>
        <w:right w:val="none" w:sz="0" w:space="0" w:color="auto"/>
      </w:divBdr>
    </w:div>
    <w:div w:id="450780043">
      <w:bodyDiv w:val="1"/>
      <w:marLeft w:val="0"/>
      <w:marRight w:val="0"/>
      <w:marTop w:val="0"/>
      <w:marBottom w:val="0"/>
      <w:divBdr>
        <w:top w:val="none" w:sz="0" w:space="0" w:color="auto"/>
        <w:left w:val="none" w:sz="0" w:space="0" w:color="auto"/>
        <w:bottom w:val="none" w:sz="0" w:space="0" w:color="auto"/>
        <w:right w:val="none" w:sz="0" w:space="0" w:color="auto"/>
      </w:divBdr>
    </w:div>
    <w:div w:id="632947092">
      <w:bodyDiv w:val="1"/>
      <w:marLeft w:val="0"/>
      <w:marRight w:val="0"/>
      <w:marTop w:val="0"/>
      <w:marBottom w:val="0"/>
      <w:divBdr>
        <w:top w:val="none" w:sz="0" w:space="0" w:color="auto"/>
        <w:left w:val="none" w:sz="0" w:space="0" w:color="auto"/>
        <w:bottom w:val="none" w:sz="0" w:space="0" w:color="auto"/>
        <w:right w:val="none" w:sz="0" w:space="0" w:color="auto"/>
      </w:divBdr>
    </w:div>
    <w:div w:id="683896565">
      <w:bodyDiv w:val="1"/>
      <w:marLeft w:val="0"/>
      <w:marRight w:val="0"/>
      <w:marTop w:val="0"/>
      <w:marBottom w:val="0"/>
      <w:divBdr>
        <w:top w:val="none" w:sz="0" w:space="0" w:color="auto"/>
        <w:left w:val="none" w:sz="0" w:space="0" w:color="auto"/>
        <w:bottom w:val="none" w:sz="0" w:space="0" w:color="auto"/>
        <w:right w:val="none" w:sz="0" w:space="0" w:color="auto"/>
      </w:divBdr>
    </w:div>
    <w:div w:id="720057209">
      <w:bodyDiv w:val="1"/>
      <w:marLeft w:val="0"/>
      <w:marRight w:val="0"/>
      <w:marTop w:val="0"/>
      <w:marBottom w:val="0"/>
      <w:divBdr>
        <w:top w:val="none" w:sz="0" w:space="0" w:color="auto"/>
        <w:left w:val="none" w:sz="0" w:space="0" w:color="auto"/>
        <w:bottom w:val="none" w:sz="0" w:space="0" w:color="auto"/>
        <w:right w:val="none" w:sz="0" w:space="0" w:color="auto"/>
      </w:divBdr>
    </w:div>
    <w:div w:id="738208909">
      <w:bodyDiv w:val="1"/>
      <w:marLeft w:val="0"/>
      <w:marRight w:val="0"/>
      <w:marTop w:val="0"/>
      <w:marBottom w:val="0"/>
      <w:divBdr>
        <w:top w:val="none" w:sz="0" w:space="0" w:color="auto"/>
        <w:left w:val="none" w:sz="0" w:space="0" w:color="auto"/>
        <w:bottom w:val="none" w:sz="0" w:space="0" w:color="auto"/>
        <w:right w:val="none" w:sz="0" w:space="0" w:color="auto"/>
      </w:divBdr>
    </w:div>
    <w:div w:id="800030324">
      <w:bodyDiv w:val="1"/>
      <w:marLeft w:val="0"/>
      <w:marRight w:val="0"/>
      <w:marTop w:val="0"/>
      <w:marBottom w:val="0"/>
      <w:divBdr>
        <w:top w:val="none" w:sz="0" w:space="0" w:color="auto"/>
        <w:left w:val="none" w:sz="0" w:space="0" w:color="auto"/>
        <w:bottom w:val="none" w:sz="0" w:space="0" w:color="auto"/>
        <w:right w:val="none" w:sz="0" w:space="0" w:color="auto"/>
      </w:divBdr>
    </w:div>
    <w:div w:id="803739158">
      <w:bodyDiv w:val="1"/>
      <w:marLeft w:val="0"/>
      <w:marRight w:val="0"/>
      <w:marTop w:val="0"/>
      <w:marBottom w:val="0"/>
      <w:divBdr>
        <w:top w:val="none" w:sz="0" w:space="0" w:color="auto"/>
        <w:left w:val="none" w:sz="0" w:space="0" w:color="auto"/>
        <w:bottom w:val="none" w:sz="0" w:space="0" w:color="auto"/>
        <w:right w:val="none" w:sz="0" w:space="0" w:color="auto"/>
      </w:divBdr>
    </w:div>
    <w:div w:id="844588935">
      <w:bodyDiv w:val="1"/>
      <w:marLeft w:val="0"/>
      <w:marRight w:val="0"/>
      <w:marTop w:val="0"/>
      <w:marBottom w:val="0"/>
      <w:divBdr>
        <w:top w:val="none" w:sz="0" w:space="0" w:color="auto"/>
        <w:left w:val="none" w:sz="0" w:space="0" w:color="auto"/>
        <w:bottom w:val="none" w:sz="0" w:space="0" w:color="auto"/>
        <w:right w:val="none" w:sz="0" w:space="0" w:color="auto"/>
      </w:divBdr>
    </w:div>
    <w:div w:id="880752862">
      <w:bodyDiv w:val="1"/>
      <w:marLeft w:val="0"/>
      <w:marRight w:val="0"/>
      <w:marTop w:val="0"/>
      <w:marBottom w:val="0"/>
      <w:divBdr>
        <w:top w:val="none" w:sz="0" w:space="0" w:color="auto"/>
        <w:left w:val="none" w:sz="0" w:space="0" w:color="auto"/>
        <w:bottom w:val="none" w:sz="0" w:space="0" w:color="auto"/>
        <w:right w:val="none" w:sz="0" w:space="0" w:color="auto"/>
      </w:divBdr>
    </w:div>
    <w:div w:id="950942352">
      <w:bodyDiv w:val="1"/>
      <w:marLeft w:val="0"/>
      <w:marRight w:val="0"/>
      <w:marTop w:val="0"/>
      <w:marBottom w:val="0"/>
      <w:divBdr>
        <w:top w:val="none" w:sz="0" w:space="0" w:color="auto"/>
        <w:left w:val="none" w:sz="0" w:space="0" w:color="auto"/>
        <w:bottom w:val="none" w:sz="0" w:space="0" w:color="auto"/>
        <w:right w:val="none" w:sz="0" w:space="0" w:color="auto"/>
      </w:divBdr>
    </w:div>
    <w:div w:id="982344815">
      <w:bodyDiv w:val="1"/>
      <w:marLeft w:val="0"/>
      <w:marRight w:val="0"/>
      <w:marTop w:val="0"/>
      <w:marBottom w:val="0"/>
      <w:divBdr>
        <w:top w:val="none" w:sz="0" w:space="0" w:color="auto"/>
        <w:left w:val="none" w:sz="0" w:space="0" w:color="auto"/>
        <w:bottom w:val="none" w:sz="0" w:space="0" w:color="auto"/>
        <w:right w:val="none" w:sz="0" w:space="0" w:color="auto"/>
      </w:divBdr>
    </w:div>
    <w:div w:id="1311865096">
      <w:bodyDiv w:val="1"/>
      <w:marLeft w:val="0"/>
      <w:marRight w:val="0"/>
      <w:marTop w:val="0"/>
      <w:marBottom w:val="0"/>
      <w:divBdr>
        <w:top w:val="none" w:sz="0" w:space="0" w:color="auto"/>
        <w:left w:val="none" w:sz="0" w:space="0" w:color="auto"/>
        <w:bottom w:val="none" w:sz="0" w:space="0" w:color="auto"/>
        <w:right w:val="none" w:sz="0" w:space="0" w:color="auto"/>
      </w:divBdr>
    </w:div>
    <w:div w:id="1415127875">
      <w:bodyDiv w:val="1"/>
      <w:marLeft w:val="0"/>
      <w:marRight w:val="0"/>
      <w:marTop w:val="0"/>
      <w:marBottom w:val="0"/>
      <w:divBdr>
        <w:top w:val="none" w:sz="0" w:space="0" w:color="auto"/>
        <w:left w:val="none" w:sz="0" w:space="0" w:color="auto"/>
        <w:bottom w:val="none" w:sz="0" w:space="0" w:color="auto"/>
        <w:right w:val="none" w:sz="0" w:space="0" w:color="auto"/>
      </w:divBdr>
    </w:div>
    <w:div w:id="1525439815">
      <w:bodyDiv w:val="1"/>
      <w:marLeft w:val="0"/>
      <w:marRight w:val="0"/>
      <w:marTop w:val="0"/>
      <w:marBottom w:val="0"/>
      <w:divBdr>
        <w:top w:val="none" w:sz="0" w:space="0" w:color="auto"/>
        <w:left w:val="none" w:sz="0" w:space="0" w:color="auto"/>
        <w:bottom w:val="none" w:sz="0" w:space="0" w:color="auto"/>
        <w:right w:val="none" w:sz="0" w:space="0" w:color="auto"/>
      </w:divBdr>
    </w:div>
    <w:div w:id="1773624768">
      <w:bodyDiv w:val="1"/>
      <w:marLeft w:val="0"/>
      <w:marRight w:val="0"/>
      <w:marTop w:val="0"/>
      <w:marBottom w:val="0"/>
      <w:divBdr>
        <w:top w:val="none" w:sz="0" w:space="0" w:color="auto"/>
        <w:left w:val="none" w:sz="0" w:space="0" w:color="auto"/>
        <w:bottom w:val="none" w:sz="0" w:space="0" w:color="auto"/>
        <w:right w:val="none" w:sz="0" w:space="0" w:color="auto"/>
      </w:divBdr>
    </w:div>
    <w:div w:id="1830171874">
      <w:bodyDiv w:val="1"/>
      <w:marLeft w:val="0"/>
      <w:marRight w:val="0"/>
      <w:marTop w:val="0"/>
      <w:marBottom w:val="0"/>
      <w:divBdr>
        <w:top w:val="none" w:sz="0" w:space="0" w:color="auto"/>
        <w:left w:val="none" w:sz="0" w:space="0" w:color="auto"/>
        <w:bottom w:val="none" w:sz="0" w:space="0" w:color="auto"/>
        <w:right w:val="none" w:sz="0" w:space="0" w:color="auto"/>
      </w:divBdr>
    </w:div>
    <w:div w:id="199637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To</dc:creator>
  <cp:keywords/>
  <dc:description/>
  <cp:lastModifiedBy>Long To</cp:lastModifiedBy>
  <cp:revision>3</cp:revision>
  <dcterms:created xsi:type="dcterms:W3CDTF">2018-02-28T18:26:00Z</dcterms:created>
  <dcterms:modified xsi:type="dcterms:W3CDTF">2018-02-28T23:56:00Z</dcterms:modified>
</cp:coreProperties>
</file>