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3A59"/>
          <w:sz w:val="30"/>
          <w:szCs w:val="30"/>
        </w:rPr>
        <w:t xml:space="preserve">DESIGN SYSTEM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3A59"/>
          <w:sz w:val="56"/>
          <w:szCs w:val="56"/>
        </w:rPr>
        <w:t xml:space="preserve">THE WITNESS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C6B8A"/>
          <w:sz w:val="26"/>
          <w:szCs w:val="26"/>
        </w:rPr>
        <w:t xml:space="preserve">Tokens &amp; Component Specifications</w:t>
      </w:r>
    </w:p>
    <w:p>
      <w:pPr>
        <w:spacing w:after="1600"/>
        <w:jc w:val="center"/>
      </w:pPr>
      <w:r>
        <w:rPr>
          <w:rFonts w:ascii="Calibri" w:cs="Calibri" w:eastAsia="Calibri" w:hAnsi="Calibri"/>
          <w:i/>
          <w:iCs/>
          <w:color w:val="8A6600"/>
          <w:sz w:val="22"/>
          <w:szCs w:val="22"/>
        </w:rPr>
        <w:t xml:space="preserve">Companion to the Solution Architecture, Implementation Plan, and Database Schema Design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Prepared for: Technical and Executive Stakeholders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Prepared by: Solution Architecture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Version 1.0 — July 2026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Status: Draft for Review — Contrast-Verified Against WCAG 2.1 AA</w:t>
      </w:r>
    </w:p>
    <w:p>
      <w:r>
        <w:br w:type="page"/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350" w:bottom="1440" w:left="1350" w:header="708" w:footer="708" w:gutter="0"/>
          <w:pgNumType/>
          <w:titlePg/>
          <w:docGrid w:linePitch="360"/>
        </w:sectPr>
      </w:pP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1. Introduction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specifies the complete design system for The Witness platform: color palette, typography, grid, spacing, icons, and component specifications for buttons, cards, tables, forms, modals, navigation, and dashboard layout, plus accessibility guidelines and a shadcn/ui component mapping.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system is grounded in the product identity already established in the Solution Architecture Design Document — navy for editorial authority, a single reserved gold accent for “signal” moments (AI-generated content, active navigation, required fields, the Wisdom Engine), and a design language positioned between an editorial publication (Financial Times, The Economist, MIT Technology Review) and a product (Notion, Linear, Apple HIG).</w:t>
      </w:r>
    </w:p>
    <w:p>
      <w:pPr>
        <w:pStyle w:val="Heading2"/>
        <w:spacing w:after="140" w:before="280"/>
      </w:pPr>
      <w:r>
        <w:t xml:space="preserve">1.1 Delivered Files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500"/>
      </w:tblGrid>
      <w:tr>
        <w:trPr>
          <w:tblHeader/>
        </w:trPr>
        <w:tc>
          <w:tcPr>
            <w:tcW w:type="dxa" w:w="30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6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5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tokens/design-tokens.css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CSS custom properties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Source of truth. Light + dark mode. Includes shadcn/ui variable aliases so shadcn components work unmodified.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tokens/tokens.json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Style Dictionary JSON</w:t>
            </w:r>
          </w:p>
        </w:tc>
        <w:tc>
          <w:tcPr>
            <w:tcW w:type="dxa" w:w="3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Cross-tool interchange (Figma Tokens plugin, design-tool sync).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tokens/tailwind.config.tokens.js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Tailwind theme extension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Bridges the CSS variables into Tailwind utility classes (bg-navy-800, text-gold-700, etc.).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style-guide.html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Self-contained interactive HTML</w:t>
            </w:r>
          </w:p>
        </w:tc>
        <w:tc>
          <w:tcPr>
            <w:tcW w:type="dxa" w:w="3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Live, working reference implementing every section of this document — open directly in a browser, includes a light/dark toggle.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This document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Word (.docx)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Written specification, rationale, and the accessibility/shadcn reference tables.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style-guide.html is the primary reference for visual verification — every token value in this document is pulled from the same CSS variables that file renders live, so the two cannot drift out of sync silently.</w:t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2. Color Palette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Three ramps (navy, gold, neutral) plus four semantic pairs. Gold is used more narrowly than a typical “accent color”: it is reserved for signal moments so it stays meaningful rather than becoming decorative wallpaper.</w:t>
      </w:r>
    </w:p>
    <w:p>
      <w:pPr>
        <w:pStyle w:val="Heading2"/>
        <w:spacing w:after="140" w:before="280"/>
      </w:pPr>
      <w:r>
        <w:t xml:space="preserve">2.1 Navy — brand primary, editorial authority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  <w:shd w:fill="F4F6F9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4171F"/>
                <w:sz w:val="16"/>
                <w:szCs w:val="16"/>
              </w:rPr>
              <w:t xml:space="preserve">50</w:t>
            </w:r>
          </w:p>
        </w:tc>
        <w:tc>
          <w:tcPr>
            <w:tcW w:type="dxa" w:w="900"/>
            <w:shd w:fill="E2E6ED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4171F"/>
                <w:sz w:val="16"/>
                <w:szCs w:val="16"/>
              </w:rPr>
              <w:t xml:space="preserve">100</w:t>
            </w:r>
          </w:p>
        </w:tc>
        <w:tc>
          <w:tcPr>
            <w:tcW w:type="dxa" w:w="900"/>
            <w:shd w:fill="C7CFDC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4171F"/>
                <w:sz w:val="16"/>
                <w:szCs w:val="16"/>
              </w:rPr>
              <w:t xml:space="preserve">200</w:t>
            </w:r>
          </w:p>
        </w:tc>
        <w:tc>
          <w:tcPr>
            <w:tcW w:type="dxa" w:w="900"/>
            <w:shd w:fill="97A3B8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300</w:t>
            </w:r>
          </w:p>
        </w:tc>
        <w:tc>
          <w:tcPr>
            <w:tcW w:type="dxa" w:w="900"/>
            <w:shd w:fill="6E7C97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400</w:t>
            </w:r>
          </w:p>
        </w:tc>
        <w:tc>
          <w:tcPr>
            <w:tcW w:type="dxa" w:w="900"/>
            <w:shd w:fill="5C6B8A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500</w:t>
            </w:r>
          </w:p>
        </w:tc>
        <w:tc>
          <w:tcPr>
            <w:tcW w:type="dxa" w:w="900"/>
            <w:shd w:fill="47567A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600</w:t>
            </w:r>
          </w:p>
        </w:tc>
        <w:tc>
          <w:tcPr>
            <w:tcW w:type="dxa" w:w="900"/>
            <w:shd w:fill="3D4B6E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700</w:t>
            </w:r>
          </w:p>
        </w:tc>
        <w:tc>
          <w:tcPr>
            <w:tcW w:type="dxa" w:w="900"/>
            <w:shd w:fill="2E3A59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800</w:t>
            </w:r>
          </w:p>
        </w:tc>
        <w:tc>
          <w:tcPr>
            <w:tcW w:type="dxa" w:w="900"/>
            <w:shd w:fill="1B2438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900</w:t>
            </w:r>
          </w:p>
        </w:tc>
      </w:tr>
    </w:tbl>
    <w:p>
      <w:pPr>
        <w:spacing w:after="280" w:before="120"/>
      </w:pPr>
    </w:p>
    <w:p>
      <w:pPr>
        <w:pStyle w:val="Heading2"/>
        <w:spacing w:after="140" w:before="280"/>
      </w:pPr>
      <w:r>
        <w:t xml:space="preserve">2.2 Gold — reserved signal accent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  <w:shd w:fill="FDF7E8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4171F"/>
                <w:sz w:val="16"/>
                <w:szCs w:val="16"/>
              </w:rPr>
              <w:t xml:space="preserve">50</w:t>
            </w:r>
          </w:p>
        </w:tc>
        <w:tc>
          <w:tcPr>
            <w:tcW w:type="dxa" w:w="900"/>
            <w:shd w:fill="F9EDCB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4171F"/>
                <w:sz w:val="16"/>
                <w:szCs w:val="16"/>
              </w:rPr>
              <w:t xml:space="preserve">100</w:t>
            </w:r>
          </w:p>
        </w:tc>
        <w:tc>
          <w:tcPr>
            <w:tcW w:type="dxa" w:w="900"/>
            <w:shd w:fill="F3DFA0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4171F"/>
                <w:sz w:val="16"/>
                <w:szCs w:val="16"/>
              </w:rPr>
              <w:t xml:space="preserve">200</w:t>
            </w:r>
          </w:p>
        </w:tc>
        <w:tc>
          <w:tcPr>
            <w:tcW w:type="dxa" w:w="900"/>
            <w:shd w:fill="E9CB6C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4171F"/>
                <w:sz w:val="16"/>
                <w:szCs w:val="16"/>
              </w:rPr>
              <w:t xml:space="preserve">300</w:t>
            </w:r>
          </w:p>
        </w:tc>
        <w:tc>
          <w:tcPr>
            <w:tcW w:type="dxa" w:w="900"/>
            <w:shd w:fill="E0B93D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4171F"/>
                <w:sz w:val="16"/>
                <w:szCs w:val="16"/>
              </w:rPr>
              <w:t xml:space="preserve">400</w:t>
            </w:r>
          </w:p>
        </w:tc>
        <w:tc>
          <w:tcPr>
            <w:tcW w:type="dxa" w:w="900"/>
            <w:shd w:fill="CDA112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500</w:t>
            </w:r>
          </w:p>
        </w:tc>
        <w:tc>
          <w:tcPr>
            <w:tcW w:type="dxa" w:w="900"/>
            <w:shd w:fill="BF8F00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600</w:t>
            </w:r>
          </w:p>
        </w:tc>
        <w:tc>
          <w:tcPr>
            <w:tcW w:type="dxa" w:w="900"/>
            <w:shd w:fill="8A6600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700</w:t>
            </w:r>
          </w:p>
        </w:tc>
        <w:tc>
          <w:tcPr>
            <w:tcW w:type="dxa" w:w="900"/>
            <w:shd w:fill="634900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800</w:t>
            </w:r>
          </w:p>
        </w:tc>
        <w:tc>
          <w:tcPr>
            <w:tcW w:type="dxa" w:w="900"/>
            <w:shd w:fill="4A3600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900</w:t>
            </w:r>
          </w:p>
        </w:tc>
      </w:tr>
    </w:tbl>
    <w:p>
      <w:pPr>
        <w:spacing w:after="280" w:before="120"/>
      </w:pPr>
    </w:p>
    <w:p>
      <w:pPr>
        <w:pStyle w:val="Heading2"/>
        <w:spacing w:after="140" w:before="280"/>
      </w:pPr>
      <w:r>
        <w:t xml:space="preserve">2.3 Neutral — cool paper, not warm cream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>
        <w:tc>
          <w:tcPr>
            <w:tcW w:type="dxa" w:w="692"/>
            <w:shd w:fill="FFFFFF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4171F"/>
                <w:sz w:val="16"/>
                <w:szCs w:val="16"/>
              </w:rPr>
              <w:t xml:space="preserve">0</w:t>
            </w:r>
          </w:p>
        </w:tc>
        <w:tc>
          <w:tcPr>
            <w:tcW w:type="dxa" w:w="692"/>
            <w:shd w:fill="FAFBFC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4171F"/>
                <w:sz w:val="16"/>
                <w:szCs w:val="16"/>
              </w:rPr>
              <w:t xml:space="preserve">25</w:t>
            </w:r>
          </w:p>
        </w:tc>
        <w:tc>
          <w:tcPr>
            <w:tcW w:type="dxa" w:w="692"/>
            <w:shd w:fill="F2F4F7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4171F"/>
                <w:sz w:val="16"/>
                <w:szCs w:val="16"/>
              </w:rPr>
              <w:t xml:space="preserve">50</w:t>
            </w:r>
          </w:p>
        </w:tc>
        <w:tc>
          <w:tcPr>
            <w:tcW w:type="dxa" w:w="692"/>
            <w:shd w:fill="E7EAEF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4171F"/>
                <w:sz w:val="16"/>
                <w:szCs w:val="16"/>
              </w:rPr>
              <w:t xml:space="preserve">100</w:t>
            </w:r>
          </w:p>
        </w:tc>
        <w:tc>
          <w:tcPr>
            <w:tcW w:type="dxa" w:w="692"/>
            <w:shd w:fill="D3D8E0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4171F"/>
                <w:sz w:val="16"/>
                <w:szCs w:val="16"/>
              </w:rPr>
              <w:t xml:space="preserve">200</w:t>
            </w:r>
          </w:p>
        </w:tc>
        <w:tc>
          <w:tcPr>
            <w:tcW w:type="dxa" w:w="692"/>
            <w:shd w:fill="B0B7C3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4171F"/>
                <w:sz w:val="16"/>
                <w:szCs w:val="16"/>
              </w:rPr>
              <w:t xml:space="preserve">300</w:t>
            </w:r>
          </w:p>
        </w:tc>
        <w:tc>
          <w:tcPr>
            <w:tcW w:type="dxa" w:w="692"/>
            <w:shd w:fill="8892A0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400</w:t>
            </w:r>
          </w:p>
        </w:tc>
        <w:tc>
          <w:tcPr>
            <w:tcW w:type="dxa" w:w="692"/>
            <w:shd w:fill="667085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500</w:t>
            </w:r>
          </w:p>
        </w:tc>
        <w:tc>
          <w:tcPr>
            <w:tcW w:type="dxa" w:w="692"/>
            <w:shd w:fill="4B5468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600</w:t>
            </w:r>
          </w:p>
        </w:tc>
        <w:tc>
          <w:tcPr>
            <w:tcW w:type="dxa" w:w="692"/>
            <w:shd w:fill="363E4E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700</w:t>
            </w:r>
          </w:p>
        </w:tc>
        <w:tc>
          <w:tcPr>
            <w:tcW w:type="dxa" w:w="692"/>
            <w:shd w:fill="232938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800</w:t>
            </w:r>
          </w:p>
        </w:tc>
        <w:tc>
          <w:tcPr>
            <w:tcW w:type="dxa" w:w="692"/>
            <w:shd w:fill="14171F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900</w:t>
            </w:r>
          </w:p>
        </w:tc>
        <w:tc>
          <w:tcPr>
            <w:tcW w:type="dxa" w:w="692"/>
            <w:shd w:fill="0B0D12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950</w:t>
            </w:r>
          </w:p>
        </w:tc>
      </w:tr>
    </w:tbl>
    <w:p>
      <w:pPr>
        <w:spacing w:after="280" w:before="120"/>
      </w:pPr>
    </w:p>
    <w:p>
      <w:pPr>
        <w:pStyle w:val="Heading2"/>
        <w:spacing w:after="140" w:before="280"/>
      </w:pPr>
      <w:r>
        <w:t xml:space="preserve">2.4 Semantic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E7F6EE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4171F"/>
                <w:sz w:val="16"/>
                <w:szCs w:val="16"/>
              </w:rPr>
              <w:t xml:space="preserve">Success</w:t>
            </w:r>
          </w:p>
        </w:tc>
        <w:tc>
          <w:tcPr>
            <w:tcW w:type="dxa" w:w="2250"/>
            <w:shd w:fill="FEF3E2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4171F"/>
                <w:sz w:val="16"/>
                <w:szCs w:val="16"/>
              </w:rPr>
              <w:t xml:space="preserve">Warning</w:t>
            </w:r>
          </w:p>
        </w:tc>
        <w:tc>
          <w:tcPr>
            <w:tcW w:type="dxa" w:w="2250"/>
            <w:shd w:fill="FEECEC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4171F"/>
                <w:sz w:val="16"/>
                <w:szCs w:val="16"/>
              </w:rPr>
              <w:t xml:space="preserve">Danger</w:t>
            </w:r>
          </w:p>
        </w:tc>
        <w:tc>
          <w:tcPr>
            <w:tcW w:type="dxa" w:w="2250"/>
            <w:shd w:fill="EAF1FE" w:val="clear"/>
            <w:tcMar>
              <w:top w:type="dxa" w:w="140"/>
              <w:left w:type="dxa" w:w="110"/>
              <w:bottom w:type="dxa" w:w="14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4171F"/>
                <w:sz w:val="16"/>
                <w:szCs w:val="16"/>
              </w:rPr>
              <w:t xml:space="preserve">Info</w:t>
            </w:r>
          </w:p>
        </w:tc>
      </w:tr>
    </w:tbl>
    <w:p>
      <w:pPr>
        <w:spacing w:after="0" w:before="280"/>
      </w:pPr>
    </w:p>
    <w:p>
      <w:pPr>
        <w:pStyle w:val="Heading2"/>
        <w:spacing w:after="140" w:before="280"/>
      </w:pPr>
      <w:r>
        <w:t xml:space="preserve">2.5 Contrast Verification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Every pair below was computed with the actual WCAG relative-luminance formula against the token hex values, not estimated. This process caught a real error: gold-600, the initial choice for the signal accent's text/border/focus use, fails contrast even at the large-text/UI threshold. The fix — gold-700 for any functional text/border/focus use on light surfaces, with gold-600 reserved for fills and dark-surface use — is reflected in every token file.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600"/>
        <w:gridCol w:w="1600"/>
      </w:tblGrid>
      <w:tr>
        <w:trPr>
          <w:tblHeader/>
        </w:trPr>
        <w:tc>
          <w:tcPr>
            <w:tcW w:type="dxa" w:w="4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Pair</w:t>
            </w:r>
          </w:p>
        </w:tc>
        <w:tc>
          <w:tcPr>
            <w:tcW w:type="dxa" w:w="16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</w:t>
            </w:r>
          </w:p>
        </w:tc>
        <w:tc>
          <w:tcPr>
            <w:tcW w:type="dxa" w:w="16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AA Normal (4.5:1)</w:t>
            </w:r>
          </w:p>
        </w:tc>
        <w:tc>
          <w:tcPr>
            <w:tcW w:type="dxa" w:w="16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AA Large/UI (3:1)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navy-800 on white — primary button, links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11.26:1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neutral-600 on white — text-secondary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7.59:1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white on navy-800 — button/sidebar text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11.26:1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gold-600 on white — initial choice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2.94:1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Fail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Fail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gold-700 on white — corrected signal text/border/focus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5.27:1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gold-900 on gold-100 — Today's Wisdom card text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9.90:1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success/warning/danger/info-700 on their -100 background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5.9–8.1:1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neutral-200/300 hairline borders on white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1.4–2.0:1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Fail*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Fail*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*Known, accepted trade-off — shadcn/Radix's own default theme carries the same characteristic. Mitigation: no control relies on its border alone; every field pairs a visible label, a background-fill step from the page, and a compliant focus ring (gold-700, 5.27:1) on interaction. See Section 10.</w:t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3. Typography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Three families, one job each. Source Serif 4 is the editorial voice — headlines, hero stories, Wisdom Engine quotes. IBM Plex Sans runs the interface. IBM Plex Mono carries data, timestamps, and code. Font weight stops at 600 — nothing heavier — to hold the “calm, minimal” reading experience the Solution Architecture's non-functional requirements call for.</w:t>
      </w:r>
    </w:p>
    <w:p>
      <w:pPr>
        <w:pStyle w:val="Heading2"/>
        <w:spacing w:after="140" w:before="280"/>
      </w:pPr>
      <w:r>
        <w:t xml:space="preserve">3.1 Families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rPr>
          <w:tblHeader/>
        </w:trPr>
        <w:tc>
          <w:tcPr>
            <w:tcW w:type="dxa" w:w="2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38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Family</w:t>
            </w:r>
          </w:p>
        </w:tc>
        <w:tc>
          <w:tcPr>
            <w:tcW w:type="dxa" w:w="30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--font-voice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Source Serif 4, Georgia, serif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Issue/article headlines, Hero Story block, Wisdom Engine quotes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--font-sans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IBM Plex Sans, -apple-system, sans-serif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UI chrome, body copy, forms, tables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--font-mono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IBM Plex Mono, ui-monospace, monospace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Timestamps, IDs, code, token values, numeric table columns</w:t>
            </w:r>
          </w:p>
        </w:tc>
      </w:tr>
    </w:tbl>
    <w:p>
      <w:pPr>
        <w:pStyle w:val="Heading2"/>
        <w:spacing w:after="140" w:before="280"/>
      </w:pPr>
      <w:r>
        <w:t xml:space="preserve">3.2 Type Scale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200"/>
        <w:gridCol w:w="3400"/>
      </w:tblGrid>
      <w:tr>
        <w:trPr>
          <w:tblHeader/>
        </w:trPr>
        <w:tc>
          <w:tcPr>
            <w:tcW w:type="dxa" w:w="18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6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Size / Line-height</w:t>
            </w:r>
          </w:p>
        </w:tc>
        <w:tc>
          <w:tcPr>
            <w:tcW w:type="dxa" w:w="1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34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Typical use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--text-5xl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48px / 56px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600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Hero headline (voice)</w:t>
            </w:r>
          </w:p>
        </w:tc>
      </w:tr>
      <w:t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--text-4xl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36px / 44px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600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Page title (voice)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--text-3xl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30px / 38px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600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Section title</w:t>
            </w:r>
          </w:p>
        </w:tc>
      </w:tr>
      <w:t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--text-2xl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24px / 32px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600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Card title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--text-xl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20px / 28px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Subsection</w:t>
            </w:r>
          </w:p>
        </w:tc>
      </w:tr>
      <w:t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--text-lg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18px / 28px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 paragraph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--text-base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16px / 26px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400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Body text</w:t>
            </w:r>
          </w:p>
        </w:tc>
      </w:tr>
      <w:t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--text-sm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14px / 20px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400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UI label / secondary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--text-xs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12px / 16px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Caption / eyebrow label</w:t>
            </w:r>
          </w:p>
        </w:tc>
      </w:tr>
    </w:tbl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4. Grid System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 conventional 12-column responsive grid for app surfaces, plus one deliberate addition: a 720px reading-width container for long-form issue and article body copy, tuned to a 65–75 character line length — the one place this system departs from generic app-grid defaults to serve the product's editorial half.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00"/>
      </w:tblGrid>
      <w:tr>
        <w:trPr>
          <w:tblHeader/>
        </w:trPr>
        <w:tc>
          <w:tcPr>
            <w:tcW w:type="dxa" w:w="18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4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sm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640px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Large phones, landscape</w:t>
            </w:r>
          </w:p>
        </w:tc>
      </w:tr>
      <w:t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md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768px</w:t>
            </w:r>
          </w:p>
        </w:tc>
        <w:tc>
          <w:tcPr>
            <w:tcW w:type="dxa" w:w="5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Tablets — sidebar collapses to drawer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lg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1024px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Small laptops — sidebar rail appears</w:t>
            </w:r>
          </w:p>
        </w:tc>
      </w:tr>
      <w:t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xl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1280px</w:t>
            </w:r>
          </w:p>
        </w:tc>
        <w:tc>
          <w:tcPr>
            <w:tcW w:type="dxa" w:w="5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 desktop — full sidebar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2xl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1536px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Wide desktop — dashboard grid gains a column</w:t>
            </w:r>
          </w:p>
        </w:tc>
      </w:tr>
      <w:t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reading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720px</w:t>
            </w:r>
          </w:p>
        </w:tc>
        <w:tc>
          <w:tcPr>
            <w:tcW w:type="dxa" w:w="5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Article / issue body copy max-width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Gutter: 24px desktop, 16px mobile. Sidebar: 240px expanded, 64px icon-only rail collapsed. Top bar: 56px fixed height.</w:t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5. Spacing Scale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4px base unit — identical to Tailwind's default scale, so design tokens and utility classes (p-4, gap-6, etc.) never disagree.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rPr>
          <w:tblHeader/>
        </w:trPr>
        <w:tc>
          <w:tcPr>
            <w:tcW w:type="dxa" w:w="25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5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space-1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4px</w:t>
            </w:r>
          </w:p>
        </w:tc>
      </w:tr>
      <w:tr>
        <w:tc>
          <w:tcPr>
            <w:tcW w:type="dxa" w:w="2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space-2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8px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space-3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12px</w:t>
            </w:r>
          </w:p>
        </w:tc>
      </w:tr>
      <w:tr>
        <w:tc>
          <w:tcPr>
            <w:tcW w:type="dxa" w:w="2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space-4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16px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space-5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20px</w:t>
            </w:r>
          </w:p>
        </w:tc>
      </w:tr>
      <w:tr>
        <w:tc>
          <w:tcPr>
            <w:tcW w:type="dxa" w:w="2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space-6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24px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space-8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32px</w:t>
            </w:r>
          </w:p>
        </w:tc>
      </w:tr>
      <w:tr>
        <w:tc>
          <w:tcPr>
            <w:tcW w:type="dxa" w:w="2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space-10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40px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space-12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48px</w:t>
            </w:r>
          </w:p>
        </w:tc>
      </w:tr>
      <w:tr>
        <w:tc>
          <w:tcPr>
            <w:tcW w:type="dxa" w:w="2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space-16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64px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space-20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80px</w:t>
            </w:r>
          </w:p>
        </w:tc>
      </w:tr>
      <w:tr>
        <w:tc>
          <w:tcPr>
            <w:tcW w:type="dxa" w:w="2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space-24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96px</w:t>
            </w:r>
          </w:p>
        </w:tc>
      </w:tr>
    </w:tbl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6. Icons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lucide-react — already the platform's available icon library per the Solution Architecture technology stack. Stroke width 1.75, slightly thinner than lucide's 2px default, for a more refined, editorial line weight.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00"/>
      </w:tblGrid>
      <w:tr>
        <w:trPr>
          <w:tblHeader/>
        </w:trPr>
        <w:tc>
          <w:tcPr>
            <w:tcW w:type="dxa" w:w="34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26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30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Inline with 14px UI text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16px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Table cells, badges, dense toolbars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 UI (buttons, nav, form fields)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20px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Default size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Empty states, feature callouts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24–32px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Paired with text-muted; never load-bearing alone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Icon-only buttons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20px icon in 40px hit target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Always carries an aria-label — never icon-only without one</w:t>
            </w:r>
          </w:p>
        </w:tc>
      </w:tr>
    </w:tbl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7. Buttons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Six variants. Signal (gold-700 on light surfaces) is reserved for AI-initiated actions — Generate Issue, Regenerate block — the same reservation principle applied everywhere else gold appears. At most one primary or signal button per view; everything else is secondary, ghost, or link.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00"/>
      </w:tblGrid>
      <w:tr>
        <w:trPr>
          <w:tblHeader/>
        </w:trPr>
        <w:tc>
          <w:tcPr>
            <w:tcW w:type="dxa" w:w="18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Variant</w:t>
            </w:r>
          </w:p>
        </w:tc>
        <w:tc>
          <w:tcPr>
            <w:tcW w:type="dxa" w:w="38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  <w:tc>
          <w:tcPr>
            <w:tcW w:type="dxa" w:w="34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Fill / Text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one main action on a view (Publish, Save)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navy-800 fill, white text</w:t>
            </w:r>
          </w:p>
        </w:tc>
      </w:tr>
      <w:t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Secondary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Alternative actions alongside primary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Transparent fill, navy-300 border, primary text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Ghost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Low-emphasis actions (Cancel, dismiss)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Transparent, no border</w:t>
            </w:r>
          </w:p>
        </w:tc>
      </w:tr>
      <w:t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Signal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AI-initiated actions only (Generate, Regenerate)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gold-700 fill, white text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Destructive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Irreversible actions (Delete, Archive)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danger-600 fill, white text</w:t>
            </w:r>
          </w:p>
        </w:tc>
      </w:tr>
      <w:t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Inline navigation-style action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fill, underlined text-link color</w:t>
            </w:r>
          </w:p>
        </w:tc>
      </w:tr>
    </w:tbl>
    <w:p>
      <w:pPr>
        <w:pStyle w:val="Heading3"/>
        <w:spacing w:after="100" w:before="200"/>
      </w:pPr>
      <w:r>
        <w:t xml:space="preserve">Sizes &amp; States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Sizes: sm (32px), default (40px), lg (48px), icon (40×40px, always with aria-label).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States: default, hover (one step darker), active (98% scale), focus-visible (2px offset + 4px gold-700 ring, 5.27:1), disabled (45% opacity, pointer-events removed but still legible), loading (spinner replaces leading icon, button stays visible and disabled).</w:t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8. Cards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One structural card primitive (shadcn Card), plus two editorial variants used by the Issue Builder's specialized blocks. Signal Card and Today's Wisdom deliberately use a squared, left-bordered treatment — closer to a print margin note than a soft SaaS card — so they read as distinct content, not just another rounded rectangle.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1200"/>
        <w:gridCol w:w="1800"/>
      </w:tblGrid>
      <w:tr>
        <w:trPr>
          <w:tblHeader/>
        </w:trPr>
        <w:tc>
          <w:tcPr>
            <w:tcW w:type="dxa" w:w="18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 type</w:t>
            </w:r>
          </w:p>
        </w:tc>
        <w:tc>
          <w:tcPr>
            <w:tcW w:type="dxa" w:w="18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Radius</w:t>
            </w:r>
          </w:p>
        </w:tc>
        <w:tc>
          <w:tcPr>
            <w:tcW w:type="dxa" w:w="24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Border</w:t>
            </w:r>
          </w:p>
        </w:tc>
        <w:tc>
          <w:tcPr>
            <w:tcW w:type="dxa" w:w="1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Padding</w:t>
            </w:r>
          </w:p>
        </w:tc>
        <w:tc>
          <w:tcPr>
            <w:tcW w:type="dxa" w:w="18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radius-lg (12px)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1px neutral-200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24px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Entity Library, generic content cards</w:t>
            </w:r>
          </w:p>
        </w:tc>
      </w:tr>
      <w:t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 card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radius-md (8px)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 (surface-2 fill)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16px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 KPI tiles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Signal Card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radius-sm (4px)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4px gold-700 left border only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18–20px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Editorial “signal” block in the Issue Builder</w:t>
            </w:r>
          </w:p>
        </w:tc>
      </w:tr>
      <w:t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Today's Wisdom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radius-sm (4px)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4px gold-600 left border only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20–22px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Wisdom Engine block — gold-50 background, serif quote</w:t>
            </w:r>
          </w:p>
        </w:tc>
      </w:tr>
    </w:tbl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9. Tables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Hairline row dividers rather than zebra striping (Linear-style flat density). Numeric columns are right-aligned in the monospace family for scannability. Header labels are uppercase and muted so they recede behind the data.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Header: surface-2 background, 11px uppercase text-muted labels, 600 weight.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Row: 1px top border (neutral-200), hover state surface-2 background, 12–16px cell padding.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Numeric/data columns: right-aligned, IBM Plex Mono, tabular-nums.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Status columns: badge component (Section 7 palette), never color-only.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Dense mode (Analytics, Entity Library): 8px vertical padding. Comfortable mode (Issue Pipeline list view): 12px.</w:t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10. Forms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40px controls, 4px radius, gold-700 focus ring at compliant 5.27:1 contrast. The required-field marker uses signal gold rather than red — red is reserved entirely for errors, so a field is never ambiguous between “required” and “invalid.”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6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Input / Select / height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40px, radius-sm, 1px neutral-300 border, 12px horizontal padding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Textarea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88px min-height, 10–12px padding, vertical resize only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Label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13px medium weight, 6px margin below, required marker in gold-700 (not red)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Helper text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12px text-muted, 6px margin above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state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danger-600 border, danger-700 message text with icon, danger-100 focus ring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Focus state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border becomes gold-700, 3px gold-100 outer ring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Checkbox / Radio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16px, navy-800 accent-color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Switch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36×20px track, navy-800 when on, neutral-300 when off</w:t>
            </w:r>
          </w:p>
        </w:tc>
      </w:tr>
    </w:tbl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11. Modals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Three patterns, chosen by task shape rather than by preference: Dialog for a focused single task, Sheet for side-panel context that benefits from keeping the page visible, AlertDialog for any destructive confirmation. The overlay uses the branded navy tint (60% opacity) rather than generic black, consistent with the rest of the palette.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600"/>
        <w:gridCol w:w="2000"/>
      </w:tblGrid>
      <w:tr>
        <w:trPr>
          <w:tblHeader/>
        </w:trPr>
        <w:tc>
          <w:tcPr>
            <w:tcW w:type="dxa" w:w="16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18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shadcn primitive</w:t>
            </w:r>
          </w:p>
        </w:tc>
        <w:tc>
          <w:tcPr>
            <w:tcW w:type="dxa" w:w="36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use</w:t>
            </w:r>
          </w:p>
        </w:tc>
        <w:tc>
          <w:tcPr>
            <w:tcW w:type="dxa" w:w="20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Max width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Dialog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Dialog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 Issue, Publish/Schedule, Invite member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480–640px by content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Sheet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Sheet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Entity linker, filter panel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360–420px, slides from right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AlertDialog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AlertDialog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Archive publication, delete issue, revoke access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420px, always requires explicit confirm text on high-severity actions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Radius: radius-xl (16px). Shadow: shadow-lg. Focus is trapped within the modal and returns to the triggering element on close, per standard dialog accessibility pattern (handled by Radix under shadcn's Dialog/AlertDialog/Sheet).</w:t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12. Navigation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gold signal tick reappears here as the active-nav-item indicator — the same device used for AI-generated content and required fields, so “this is where you are” reuses a mark the user already associates with “pay attention here.”</w:t>
      </w:r>
    </w:p>
    <w:p>
      <w:pPr>
        <w:pStyle w:val="Heading3"/>
        <w:spacing w:after="100" w:before="200"/>
      </w:pPr>
      <w:r>
        <w:t xml:space="preserve">Top bar (56px)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Wordmark + active publication switcher, left-aligned.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Global search / command palette trigger (⌘K), center-right.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Notifications, then user menu, far right.</w:t>
      </w:r>
    </w:p>
    <w:p>
      <w:pPr>
        <w:pStyle w:val="Heading3"/>
        <w:spacing w:after="100" w:before="200"/>
      </w:pPr>
      <w:r>
        <w:t xml:space="preserve">Sidebar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240px expanded, 64px icon-only rail collapsed (tooltips on hover in rail mode).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navy-900 background regardless of light/dark mode — the sidebar is a constant, not a themed surface.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Modules: Dashboard, Publications, Issue Builder, AI Workspace, Wisdom Engine, Knowledge Graph, Search, Analytics — matching the Solution Architecture's Application Modules list exactly.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Active item: subtle white-on-navy fill + 3px gold-500 left tick (gold-500, not gold-700, since this sits on a dark surface where gold-500 passes at 6.4:1 — see Section 13).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Breadcrumbs (Publication / Issue / Block) for drill-down context.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Tabs for settings sub-sections within a publication.</w:t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13. Dashboard Layout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editorial home screen, matching the Solution Architecture's Dashboard module specification: publishing calendar, issue pipeline, subscribers, analytics snapshot, recent AI jobs, research queue, knowledge graph summary, and quick actions.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Layout: sidebar (240px) + main content, 32px page padding, sticky 56px header.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Widget grid: 4-column at xl+ (1280px+), 2-column at md–lg, single column below md.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Issue Pipeline and Publishing Calendar widgets span 2 columns (wide); metric and list widgets span 1.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Every widget is a standard card (Section 8) — the dashboard introduces no new card variant, only a layout arrangement of existing ones.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alibri" w:cs="Calibri" w:eastAsia="Calibri" w:hAnsi="Calibri"/>
          <w:sz w:val="20"/>
          <w:szCs w:val="20"/>
        </w:rPr>
        <w:t xml:space="preserve">Quick Actions widget is the one place a Signal-variant button appears outside the Issue Builder itself — “Generate issue” as a one-click dashboard shortcut.</w:t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14. Accessibility Guidelines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Target: WCAG 2.1 AA, per the Solution Architecture non-functional requirements. Section 2.5 already covers color contrast in detail; this section covers everything else.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4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Focus visibility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Never removed. 2px offset + 4px gold-700 ring (5.27:1) on every interactive element, keyboard and pointer alike.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Touch targets</w:t>
            </w:r>
          </w:p>
        </w:tc>
        <w:tc>
          <w:tcPr>
            <w:tcW w:type="dxa" w:w="6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Minimum 44×44px hit area, including icon-only buttons (40px visual + padding to reach 44px).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Color independence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 is never color-only — every badge pairs color with a text label; every chart series pairs color with a direct label.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Keyboard operability</w:t>
            </w:r>
          </w:p>
        </w:tc>
        <w:tc>
          <w:tcPr>
            <w:tcW w:type="dxa" w:w="6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Issue Builder block reordering has an arrow-key alternative to drag-and-drop (flagged as an explicit risk in Implementation Plan Milestone 4).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Motion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prefers-reduced-motion respected; transitions capped at 240ms and disabled entirely when the user has that preference set.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 regions</w:t>
            </w:r>
          </w:p>
        </w:tc>
        <w:tc>
          <w:tcPr>
            <w:tcW w:type="dxa" w:w="6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job status changes (Realtime-driven, per Database Schema's ai_jobs table) announce via aria-live="polite", not color/animation alone.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Semantic structure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Landmark regions (nav, main, aside), one h1 per view, heading order never skipped purely for visual sizing.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 errors</w:t>
            </w:r>
          </w:p>
        </w:tc>
        <w:tc>
          <w:tcPr>
            <w:tcW w:type="dxa" w:w="6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Associated via aria-describedby, not conveyed by color/icon alone; focus moves to the first invalid field on submit.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one open trade-off — hairline borders on form controls falling under the strict 3:1 non-text contrast minimum — is documented in Section 2.5 rather than silently accepted; it mirrors shadcn/Radix's own default theme and is mitigated by never relying on the border as the sole boundary indicator.</w:t>
      </w:r>
    </w:p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15. shadcn/ui Component Mapping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Every component in this document maps to a shadcn/ui primitive. Customization happens through the token layer — Tailwind theme extension plus CSS variables — not by forking component internals, so a shadcn upstream update stays a safe upgrade rather than a merge conflict.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rPr>
          <w:tblHeader/>
        </w:trPr>
        <w:tc>
          <w:tcPr>
            <w:tcW w:type="dxa" w:w="28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Design system component</w:t>
            </w:r>
          </w:p>
        </w:tc>
        <w:tc>
          <w:tcPr>
            <w:tcW w:type="dxa" w:w="32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shadcn/ui primitive</w:t>
            </w:r>
          </w:p>
        </w:tc>
        <w:tc>
          <w:tcPr>
            <w:tcW w:type="dxa" w:w="3000"/>
            <w:shd w:fill="2E3A5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Customization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Buttons (6 variants)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Button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Extend buttonVariants with a signal variant (gold-700 fill/text).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Badges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Badge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Extend variants for success/warning/danger/info/signal/neutral.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Cards / Metric cards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Card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 card = Card with surface-2 background, no border.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Signal Card / Today's Wisdom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Card (custom variant)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a shadcn default — composed via border-l-4 + rounded-sm override.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Tables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Table + TanStack Table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Header/row styling via token classes; sorting/pagination via TanStack.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Forms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 (react-hook-form + zod), Input, Select, Textarea, Checkbox, RadioGroup, Switch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Required-marker and error-state colors overridden per Section 10.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Modals — focused task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Dialog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Overlay color overridden to the branded navy tint.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Modals — side panel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Sheet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Entity linker, filters.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Modals — destructive confirm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AlertDialog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Archive publication, delete issue.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Navigation — top bar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 composition of NavigationMenu + Command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⌘K global search.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Navigation — sidebar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 composition (no direct shadcn primitive)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Active-state left tick per Section 12.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Breadcrumbs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Breadcrumb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Tabs (settings sections)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Toasts / notifications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Sonner (shadcn's recommended toast)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Success/warning/danger/info variants map to Section 2.4 colors.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Dropdown / user menu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DropdownMenu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Command palette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Command (cmdk)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Global search, Implementation Plan Milestone 8.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Tooltips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Tooltip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Collapsed sidebar icon labels.</w:t>
            </w:r>
          </w:p>
        </w:tc>
      </w:tr>
      <w:t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Avatar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Avatar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Initials fallback: navy-100 background, navy-800 text.</w:t>
            </w:r>
          </w:p>
        </w:tc>
      </w:tr>
    </w:tbl>
    <w:p>
      <w:pPr>
        <w:pStyle w:val="Heading1"/>
        <w:pBdr>
          <w:bottom w:val="single" w:color="2E3A59" w:sz="6" w:space="4"/>
        </w:pBdr>
        <w:spacing w:after="200" w:before="400"/>
      </w:pPr>
      <w:r>
        <w:t xml:space="preserve">16. Summary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design system, the style-guide.html live reference, and the three token files (design-tokens.css, tokens.json, tailwind.config.tokens.js) together give the Implementation Plan's frontend milestones (4 — Issue Builder, 5 — AI Workspace, and onward) a single, already-validated source of truth to build against, rather than each milestone inventing its own color and spacing decisions as it goes.</w:t>
      </w:r>
    </w:p>
    <w:sectPr>
      <w:headerReference w:type="default" r:id="rId11"/>
      <w:footerReference w:type="default" r:id="rId12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B8A"/>
        <w:sz w:val="16"/>
        <w:szCs w:val="16"/>
      </w:rPr>
      <w:t xml:space="preserve">Page </w:t>
    </w:r>
    <w:r>
      <w:rPr>
        <w:rFonts w:ascii="Calibri" w:cs="Calibri" w:eastAsia="Calibri" w:hAnsi="Calibri"/>
        <w:color w:val="5C6B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8A"/>
        <w:sz w:val="16"/>
        <w:szCs w:val="16"/>
      </w:rPr>
      <w:t xml:space="preserve"> of </w:t>
    </w:r>
    <w:r>
      <w:rPr>
        <w:rFonts w:ascii="Calibri" w:cs="Calibri" w:eastAsia="Calibri" w:hAnsi="Calibri"/>
        <w:color w:val="5C6B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B8A"/>
        <w:sz w:val="16"/>
        <w:szCs w:val="16"/>
      </w:rPr>
      <w:t xml:space="preserve">Page </w:t>
    </w:r>
    <w:r>
      <w:rPr>
        <w:rFonts w:ascii="Calibri" w:cs="Calibri" w:eastAsia="Calibri" w:hAnsi="Calibri"/>
        <w:color w:val="5C6B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8A"/>
        <w:sz w:val="16"/>
        <w:szCs w:val="16"/>
      </w:rPr>
      <w:t xml:space="preserve"> of </w:t>
    </w:r>
    <w:r>
      <w:rPr>
        <w:rFonts w:ascii="Calibri" w:cs="Calibri" w:eastAsia="Calibri" w:hAnsi="Calibri"/>
        <w:color w:val="5C6B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C6B8A"/>
        <w:sz w:val="16"/>
        <w:szCs w:val="16"/>
      </w:rPr>
      <w:t xml:space="preserve">The Witness — Design System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C6B8A"/>
        <w:sz w:val="16"/>
        <w:szCs w:val="16"/>
      </w:rPr>
      <w:t xml:space="preserve">The Witness — Design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2E3A5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60"/>
    </w:pPr>
    <w:rPr>
      <w:rFonts w:ascii="Calibri" w:cs="Calibri" w:eastAsia="Calibri" w:hAnsi="Calibri"/>
      <w:b/>
      <w:bCs/>
      <w:color w:val="2E3A5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5C6B8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Witness — Design System</dc:title>
  <dc:creator>Solution Architecture</dc:creator>
  <cp:lastModifiedBy>Un-named</cp:lastModifiedBy>
  <cp:revision>1</cp:revision>
  <dcterms:created xsi:type="dcterms:W3CDTF">2026-07-25T06:13:01.363Z</dcterms:created>
  <dcterms:modified xsi:type="dcterms:W3CDTF">2026-07-25T06:13:01.364Z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