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Because but so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statement] because</w:t>
            </w:r>
          </w:p>
        </w:tc>
      </w:tr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statement] but</w:t>
            </w:r>
          </w:p>
        </w:tc>
      </w:tr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[Your statement] so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 w:line="240" w:lineRule="auto"/>
    </w:pPr>
    <w:r>
      <w:rPr>
        <w:rFonts w:ascii="Calibri" w:hAnsi="Calibri"/>
        <w:color w:val="566663"/>
        <w:sz w:val="16"/>
      </w:rPr>
      <w:t xml:space="preserve">Source: </w:t>
    </w:r>
    <w:hyperlink r:id="rId1">
      <w:r>
        <w:rPr>
          <w:rFonts w:ascii="Calibri" w:hAnsi="Calibri"/>
          <w:sz w:val="16"/>
          <w:color w:val="566663"/>
          <w:u w:val="single"/>
        </w:rPr>
        <w:t>Judith C. Hochman &amp; Natalie Wexler — The Writing Revolution; Bradford Research School adaptation</w:t>
      </w:r>
    </w:hyperlink>
  </w:p>
  <w:p>
    <w:pPr>
      <w:spacing w:after="0" w:line="240" w:lineRule="auto"/>
    </w:pPr>
    <w:r>
      <w:rPr>
        <w:rFonts w:ascii="Calibri" w:hAnsi="Calibri"/>
        <w:color w:val="566663"/>
        <w:sz w:val="16"/>
      </w:rPr>
      <w:t xml:space="preserve">Independent classroom adaptation. </w:t>
    </w:r>
    <w:hyperlink r:id="rId2">
      <w:r>
        <w:rPr>
          <w:rFonts w:ascii="Calibri" w:hAnsi="Calibri"/>
          <w:sz w:val="16"/>
          <w:color w:val="566663"/>
          <w:u w:val="single"/>
        </w:rPr>
        <w:t>Activity guide and full credit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researchschool.org.uk/bradford/news/retrieval-practice-higher-order-thinking" TargetMode="External"/><Relationship Id="rId2" Type="http://schemas.openxmlformats.org/officeDocument/2006/relationships/hyperlink" Target="https://tnt-teaching-tools.github.io/retrieval-toolkit/retrieval-because-but-so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Because, but, so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