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Frayer model from memory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Definition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Key characteristics</w:t>
            </w:r>
          </w:p>
        </w:tc>
      </w:tr>
      <w:tr>
        <w:trPr>
          <w:trHeight w:val="720" w:hRule="atLeast"/>
        </w:trPr>
        <w:tc>
          <w:tcPr>
            <w:tcW w:type="dxa" w:w="10368"/>
            <w:vAlign w:val="top"/>
            <w:gridSpan w:val="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  <w:shd w:fill="E7EEF0"/>
          </w:tcPr>
          <w:p>
            <w:pPr>
              <w:spacing w:after="160"/>
            </w:pPr>
            <w:r>
              <w:rPr>
                <w:b/>
                <w:sz w:val="26"/>
              </w:rPr>
              <w:t>Concept [Your concept]</w:t>
            </w:r>
          </w:p>
          <w:p>
            <w:pPr>
              <w:spacing w:after="160"/>
            </w:pPr>
            <w:r>
              <w:rPr>
                <w:b/>
                <w:sz w:val="26"/>
              </w:rPr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Examples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Non-examples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Frayer model from memory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