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东芯股份688110.sh抄底分析报告存储超级周期下的滞涨弹性标的"/>
    <w:p>
      <w:pPr>
        <w:pStyle w:val="Heading1"/>
      </w:pPr>
      <w:r>
        <w:t xml:space="preserve">东芯股份（688110.SH）抄底分析报告：存储超级周期下的滞涨弹性标的</w:t>
      </w:r>
    </w:p>
    <w:p>
      <w:pPr>
        <w:pStyle w:val="BlockText"/>
      </w:pPr>
      <w:r>
        <w:t xml:space="preserve">报告日期：2026-07-17 ｜ 基准价格：2026-07-16 收盘 136.50 元 ｜ 数据来源：iFinD、天眼查、TrendForce、财新、公司公告</w:t>
      </w:r>
    </w:p>
    <w:bookmarkStart w:id="25" w:name="executive-summary"/>
    <w:p>
      <w:pPr>
        <w:pStyle w:val="Heading2"/>
      </w:pPr>
      <w:r>
        <w:t xml:space="preserve">Executive Summary</w:t>
      </w:r>
    </w:p>
    <w:p>
      <w:pPr>
        <w:pStyle w:val="FirstParagraph"/>
      </w:pPr>
      <w:r>
        <w:t xml:space="preserve">东芯半导体（688110.SH）是 A 股存储设计公司中 SLC NAND 敞口最高的标的之一：NAND 占营收约 65%</w:t>
      </w:r>
      <w:r>
        <w:rPr>
          <w:vertAlign w:val="superscript"/>
        </w:rPr>
        <w:footnoteReference w:id="1"/>
      </w:r>
      <w:r>
        <w:t xml:space="preserve">，而 SLC NAND 恰是本轮涨价最猛的品类——TrendForce（集邦咨询）统计其 2026 年上半年合约价上涨 130%-150%，下半年预计再涨 120%-170%</w:t>
      </w:r>
      <w:r>
        <w:rPr>
          <w:vertAlign w:val="superscript"/>
        </w:rPr>
        <w:footnoteReference w:id="2"/>
      </w:r>
      <w:r>
        <w:t xml:space="preserve">。截至 7 月 16 日收盘，股价自 7 月 1 日盘中高点 209.55 元回撤 34.9% 至 136.50 元，市值约 604 亿元</w:t>
      </w:r>
      <w:r>
        <w:rPr>
          <w:vertAlign w:val="superscript"/>
        </w:rPr>
        <w:footnoteReference w:id="3"/>
      </w:r>
      <w:r>
        <w:t xml:space="preserve"> </w:t>
      </w:r>
      <w:r>
        <w:rPr>
          <w:vertAlign w:val="superscript"/>
        </w:rPr>
        <w:footnoteReference w:id="4"/>
      </w:r>
      <w:r>
        <w:t xml:space="preserve">。对持有 1600 股、成本 138.272 元、浮亏约 1.1% 的投资者而言，关键不是”跌了多少”，而是下跌的性质与后续节奏。</w:t>
      </w:r>
    </w:p>
    <w:bookmarkStart w:id="24" w:name="核心结论"/>
    <w:p>
      <w:pPr>
        <w:pStyle w:val="Heading3"/>
      </w:pPr>
      <w:r>
        <w:t xml:space="preserve">核心结论</w:t>
      </w:r>
    </w:p>
    <w:bookmarkStart w:id="20" w:name="东芯是本轮利基存储涨价周期中业绩弹性已兑现股价严重滞涨的错配标的"/>
    <w:p>
      <w:pPr>
        <w:pStyle w:val="Heading4"/>
      </w:pPr>
      <w:r>
        <w:t xml:space="preserve">东芯是本轮利基存储涨价周期中”业绩弹性已兑现、股价严重滞涨”的错配标的</w:t>
      </w:r>
    </w:p>
    <w:p>
      <w:pPr>
        <w:pStyle w:val="FirstParagraph"/>
      </w:pPr>
      <w:r>
        <w:t xml:space="preserve">涨价弹性已在报表端兑现：2026Q1 营收 4.79 亿元（同比 +236.95%）、毛利率 53.17%、归母净利润 1.38 亿元，为上市后首次单季扭亏</w:t>
      </w:r>
      <w:r>
        <w:rPr>
          <w:vertAlign w:val="superscript"/>
        </w:rPr>
        <w:footnoteReference w:id="5"/>
      </w:r>
      <w:r>
        <w:t xml:space="preserve">。但定价远未跟上：年初至今东芯仅 +3.9%，同期普冉股份 +313%、兆易创新 +140%</w:t>
      </w:r>
      <w:r>
        <w:rPr>
          <w:vertAlign w:val="superscript"/>
        </w:rPr>
        <w:footnoteReference w:id="6"/>
      </w:r>
      <w:r>
        <w:t xml:space="preserve">。滞涨既含补涨空间，也是市场对持续性与估值的折价——错配能否收敛取决于逐季验证，而非价位本身。</w:t>
      </w:r>
    </w:p>
    <w:bookmarkEnd w:id="20"/>
    <w:bookmarkStart w:id="21" w:name="X6b9c238a1a683c15a9efef11b7927e65d1f248a"/>
    <w:p>
      <w:pPr>
        <w:pStyle w:val="Heading4"/>
      </w:pPr>
      <w:r>
        <w:t xml:space="preserve">7 月回调系全球存储板块共振 + 主力获利了结，非基本面恶化；但筹码结构受损，抄底须分批 + 事件驱动</w:t>
      </w:r>
    </w:p>
    <w:p>
      <w:pPr>
        <w:pStyle w:val="FirstParagraph"/>
      </w:pPr>
      <w:r>
        <w:t xml:space="preserve">7 月 16 日大跌前夜，美光、西部数据跌超 8%，当日兆易创新、长电科技跌停，系板块共振而非个股利空</w:t>
      </w:r>
      <w:r>
        <w:rPr>
          <w:vertAlign w:val="superscript"/>
        </w:rPr>
        <w:footnoteReference w:id="7"/>
      </w:r>
      <w:r>
        <w:t xml:space="preserve">。但筹码已实质受损：7 月 1 日至 16 日主力净流出约 28 亿元，股东户数同比 +140%，融资余额 33.53 亿元处近一年 80% 分位未出清</w:t>
      </w:r>
      <w:r>
        <w:rPr>
          <w:vertAlign w:val="superscript"/>
        </w:rPr>
        <w:footnoteReference w:id="8"/>
      </w:r>
      <w:r>
        <w:t xml:space="preserve"> </w:t>
      </w:r>
      <w:r>
        <w:rPr>
          <w:vertAlign w:val="superscript"/>
        </w:rPr>
        <w:footnoteReference w:id="9"/>
      </w:r>
      <w:r>
        <w:t xml:space="preserve">。</w:t>
      </w:r>
      <w:r>
        <w:t xml:space="preserve">“</w:t>
      </w:r>
      <w:r>
        <w:t xml:space="preserve">底</w:t>
      </w:r>
      <w:r>
        <w:t xml:space="preserve">”</w:t>
      </w:r>
      <w:r>
        <w:t xml:space="preserve">无法靠猜价位捕捉，融资余额回落、缩量企稳等出清信号远比单日反弹可靠。</w:t>
      </w:r>
    </w:p>
    <w:bookmarkEnd w:id="21"/>
    <w:bookmarkStart w:id="22" w:name="X9e4086d0b9663446e75fdf3e1c3709b43b0626d"/>
    <w:p>
      <w:pPr>
        <w:pStyle w:val="Heading4"/>
      </w:pPr>
      <w:r>
        <w:t xml:space="preserve">估值约 99 倍动态 PE 不便宜——安全边际来自涨价持续与预期上修；本质是买”涨价持续至 2027 的期权 + 三重免费期权（砺算 GPU/Wi-Fi 7/车规）”</w:t>
      </w:r>
    </w:p>
    <w:p>
      <w:pPr>
        <w:pStyle w:val="FirstParagraph"/>
      </w:pPr>
      <w:r>
        <w:t xml:space="preserve">按 iFinD（同花顺）一致预期 2026 年归母净利润约 6.1 亿元计，当前市值对应动态市盈率约 99 倍，高于兆易创新 72 倍、普冉股份 73 倍</w:t>
      </w:r>
      <w:r>
        <w:rPr>
          <w:vertAlign w:val="superscript"/>
        </w:rPr>
        <w:footnoteReference w:id="10"/>
      </w:r>
      <w:r>
        <w:t xml:space="preserve"> </w:t>
      </w:r>
      <w:fldSimple w:instr="NOTEREF _Ref_Footnote_6 \h \f">
        <w:r>
          <w:rPr>
            <w:vertAlign w:val="superscript"/>
          </w:rPr>
          <w:t>6</w:t>
        </w:r>
      </w:fldSimple>
      <w:r>
        <w:t xml:space="preserve">。安全边际来自两条动量：海外机构判断存储紧缺至少持续至 2027 年</w:t>
      </w:r>
      <w:r>
        <w:rPr>
          <w:vertAlign w:val="superscript"/>
        </w:rPr>
        <w:footnoteReference w:id="11"/>
      </w:r>
      <w:r>
        <w:t xml:space="preserve">；卖方预期仍在上修，华龙证券已给出 6.73 亿元的 2026 年预测</w:t>
      </w:r>
      <w:r>
        <w:rPr>
          <w:vertAlign w:val="superscript"/>
        </w:rPr>
        <w:footnoteReference w:id="12"/>
      </w:r>
      <w:r>
        <w:t xml:space="preserve">。砺算 GPU（7G100 零售版 7 月 17 日以 2688 元开售）、Wi-Fi 7 与车规三项储备则近乎零定价，是附赠的向上期权</w:t>
      </w:r>
      <w:r>
        <w:rPr>
          <w:vertAlign w:val="superscript"/>
        </w:rPr>
        <w:footnoteReference w:id="13"/>
      </w:r>
      <w:r>
        <w:t xml:space="preserve">。</w:t>
      </w:r>
    </w:p>
    <w:bookmarkEnd w:id="22"/>
    <w:bookmarkStart w:id="23" w:name="Xcd7cc3ece06e314a4e919dc1e0eaa6546dd7523"/>
    <w:p>
      <w:pPr>
        <w:pStyle w:val="Heading4"/>
      </w:pPr>
      <w:r>
        <w:t xml:space="preserve">方案要点：四批建仓（120±3 / 110±3 / 100±3 / 右侧确认），围绕 8/22 半年报与 10/13 解禁两个日历锚点调整节奏</w:t>
      </w:r>
    </w:p>
    <w:p>
      <w:pPr>
        <w:pStyle w:val="FirstParagraph"/>
      </w:pPr>
      <w:r>
        <w:t xml:space="preserve">建仓分四批：120±3 元（6 月平台下沿）、110±3 元、100±3 元（对应控股股东询价受让成本与 4 月低点 104.01 元区域</w:t>
      </w:r>
      <w:fldSimple w:instr="NOTEREF _Ref_Footnote_3 \h \f">
        <w:r>
          <w:rPr>
            <w:vertAlign w:val="superscript"/>
          </w:rPr>
          <w:t>3</w:t>
        </w:r>
      </w:fldSimple>
      <w:r>
        <w:t xml:space="preserve"> </w:t>
      </w:r>
      <w:r>
        <w:rPr>
          <w:vertAlign w:val="superscript"/>
        </w:rPr>
        <w:footnoteReference w:id="14"/>
      </w:r>
      <w:r>
        <w:t xml:space="preserve">），第四批不预设价位，待融资余额回落、缩量企稳的右侧确认后介入。两个日历锚点决定节奏：8 月 22 日半年报验证 Q2 盈利成色与毛利率能否守住 50%</w:t>
      </w:r>
      <w:r>
        <w:rPr>
          <w:vertAlign w:val="superscript"/>
        </w:rPr>
        <w:footnoteReference w:id="15"/>
      </w:r>
      <w:r>
        <w:t xml:space="preserve">；10 月 13 日 442 万股询价受让股解禁（成本 100 元、浮盈约 36.5%），其前后或是更好的买点</w:t>
      </w:r>
      <w:fldSimple w:instr="NOTEREF _Ref_Footnote_14 \h \f">
        <w:r>
          <w:rPr>
            <w:vertAlign w:val="superscript"/>
          </w:rPr>
          <w:t>14</w:t>
        </w:r>
      </w:fldSimple>
      <w:r>
        <w:t xml:space="preserve">；中期另需计入 H 股发行（不超过总股本 10%）的摊薄变量</w:t>
      </w:r>
      <w:r>
        <w:rPr>
          <w:vertAlign w:val="superscript"/>
        </w:rPr>
        <w:footnoteReference w:id="16"/>
      </w:r>
      <w:r>
        <w:t xml:space="preserve">。若 Q4 合约价走平或半年报毛利率显著低于 50%，抄底逻辑应整体降级；反之，随涨价持续与盈利逐季兑现，高估值将被消化，错配收敛大概率在两个窗口之间完成定价。</w:t>
      </w:r>
    </w:p>
    <w:p>
      <w:pPr>
        <w:pStyle w:val="BlockText"/>
      </w:pPr>
      <w:r>
        <w:rPr>
          <w:bCs/>
          <w:b/>
        </w:rPr>
        <w:t xml:space="preserve">一句话结论</w:t>
      </w:r>
      <w:r>
        <w:t xml:space="preserve">：东芯是本轮利基存储涨价周期中”业绩弹性已兑现、股价严重滞涨”的错配标的，但约 99 倍动态 PE 与受损筹码决定抄底不能一次押注——以 120/110/100 元三档左侧分批加一批右侧确认，围绕 8 月 22 日半年报与 10 月 13 日解禁调整节奏，本质是买入”涨价持续至 2027 年的期权 + 砺算 GPU/Wi-Fi 7/车规三重免费期权”。</w:t>
      </w:r>
    </w:p>
    <w:bookmarkEnd w:id="23"/>
    <w:bookmarkEnd w:id="24"/>
    <w:bookmarkEnd w:id="25"/>
    <w:bookmarkStart w:id="33" w:name="投资标的与核心结论"/>
    <w:p>
      <w:pPr>
        <w:pStyle w:val="Heading2"/>
      </w:pPr>
      <w:r>
        <w:t xml:space="preserve">1. 投资标的与核心结论</w:t>
      </w:r>
    </w:p>
    <w:bookmarkStart w:id="28" w:name="公司速览"/>
    <w:p>
      <w:pPr>
        <w:pStyle w:val="Heading3"/>
      </w:pPr>
      <w:r>
        <w:t xml:space="preserve">1.1 公司速览</w:t>
      </w:r>
    </w:p>
    <w:bookmarkStart w:id="26" w:name="X8d65d3264821fd248659553150120129bd6ca9e"/>
    <w:p>
      <w:pPr>
        <w:pStyle w:val="Heading4"/>
      </w:pPr>
      <w:r>
        <w:t xml:space="preserve">1.1.1 东芯半导体：利基存储 Fabless，主营 NOR/SLC NAND/利基 DRAM/MCP，2025 营收 9.21 亿（+43.76%），2026Q1 营收 4.79 亿（+237%）、归母净利 1.38 亿扭亏</w:t>
      </w:r>
    </w:p>
    <w:p>
      <w:pPr>
        <w:pStyle w:val="FirstParagraph"/>
      </w:pPr>
      <w:r>
        <w:t xml:space="preserve">东芯半导体股份有限公司（688110.SH）2021 年 12 月于科创板上市（发行价 30.18 元）</w:t>
      </w:r>
      <w:fldSimple w:instr="NOTEREF _Ref_Footnote_4 \h \f">
        <w:r>
          <w:rPr>
            <w:vertAlign w:val="superscript"/>
          </w:rPr>
          <w:t>4</w:t>
        </w:r>
      </w:fldSimple>
      <w:r>
        <w:t xml:space="preserve">，是一家聚焦中小容量通用型存储芯片的 Fabless（无晶圆厂设计公司），产品覆盖 NAND/NOR Flash、利基 DRAM 与 MCP（多芯片封装）</w:t>
      </w:r>
      <w:r>
        <w:rPr>
          <w:vertAlign w:val="superscript"/>
        </w:rPr>
        <w:footnoteReference w:id="17"/>
      </w:r>
      <w:r>
        <w:t xml:space="preserve">。2025 年公司实现营业收入 9.21 亿元（同比 +43.76%），归母净利润 -1.95 亿元，亏损主因高研发投入（2.16 亿元、占营收 23.43%）与联营企业上海砺算的权益法亏损约 1.66 亿元</w:t>
      </w:r>
      <w:r>
        <w:rPr>
          <w:vertAlign w:val="superscript"/>
        </w:rPr>
        <w:footnoteReference w:id="18"/>
      </w:r>
      <w:r>
        <w:t xml:space="preserve">；收入结构中 NAND 以 65.2% 为绝对主力，MCP/DRAM/NOR 分别占 25.0%/5.8%/3.6%</w:t>
      </w:r>
      <w:fldSimple w:instr="NOTEREF _Ref_Footnote_1 \h \f">
        <w:r>
          <w:rPr>
            <w:vertAlign w:val="superscript"/>
          </w:rPr>
          <w:t>1</w:t>
        </w:r>
      </w:fldSimple>
      <w:r>
        <w:t xml:space="preserve">。2026 年一季度出现决定性拐点：营收 4.79 亿元（同比 +236.95%）、毛利率 53.17%（同比 +39 个百分点）、归母净利润 1.38 亿元，为上市后首次单季扭亏且经营现金流转正</w:t>
      </w:r>
      <w:fldSimple w:instr="NOTEREF _Ref_Footnote_5 \h \f">
        <w:r>
          <w:rPr>
            <w:vertAlign w:val="superscript"/>
          </w:rPr>
          <w:t>5</w:t>
        </w:r>
      </w:fldSimple>
      <w:r>
        <w:t xml:space="preserve">。截至 2026 年 7 月 16 日收盘，公司股价 136.50 元（单日 -7.35%），总市值约 604 亿元</w:t>
      </w:r>
      <w:fldSimple w:instr="NOTEREF _Ref_Footnote_4 \h \f">
        <w:r>
          <w:rPr>
            <w:vertAlign w:val="superscript"/>
          </w:rPr>
          <w:t>4</w:t>
        </w:r>
      </w:fldSimple>
      <w:r>
        <w:t xml:space="preserve">，对应 PB（市净率）16.80 倍、PS（市销率）65.53 倍</w:t>
      </w:r>
      <w:r>
        <w:rPr>
          <w:vertAlign w:val="superscript"/>
        </w:rPr>
        <w:footnoteReference w:id="19"/>
      </w:r>
      <w:r>
        <w:t xml:space="preserve">。</w:t>
      </w:r>
    </w:p>
    <w:bookmarkEnd w:id="26"/>
    <w:bookmarkStart w:id="27" w:name="Xc8a9ef2d0a6192e4da05da8ded9a735182ecc1b"/>
    <w:p>
      <w:pPr>
        <w:pStyle w:val="Heading4"/>
      </w:pPr>
      <w:r>
        <w:t xml:space="preserve">1.1.2 股权与治理：控股股东东方恒信 34.47%，董事长蒋学明；工商核查无重大诉讼/处罚/失信；持上海砺算 35.87%</w:t>
      </w:r>
    </w:p>
    <w:p>
      <w:pPr>
        <w:pStyle w:val="FirstParagraph"/>
      </w:pPr>
      <w:r>
        <w:t xml:space="preserve">截至 2026Q1 末，控股股东东方恒信集团持股 30.88%，与一致行动人东芯科创（员工持股平台，3.59%）合计控制 34.47%</w:t>
      </w:r>
      <w:r>
        <w:rPr>
          <w:vertAlign w:val="superscript"/>
        </w:rPr>
        <w:footnoteReference w:id="20"/>
      </w:r>
      <w:r>
        <w:t xml:space="preserve">；董事长蒋学明为实际控制人之一，实控人蒋学明、蒋雨舟合计控制约 20.64%</w:t>
      </w:r>
      <w:fldSimple w:instr="NOTEREF _Ref_Footnote_17 \h \f">
        <w:r>
          <w:rPr>
            <w:vertAlign w:val="superscript"/>
          </w:rPr>
          <w:t>17</w:t>
        </w:r>
      </w:fldSimple>
      <w:r>
        <w:t xml:space="preserve"> </w:t>
      </w:r>
      <w:r>
        <w:rPr>
          <w:vertAlign w:val="superscript"/>
        </w:rPr>
        <w:footnoteReference w:id="21"/>
      </w:r>
      <w:r>
        <w:t xml:space="preserve">。工商与司法核查显示：公司无行政处罚、经营异常、被执行/失信及股权出质记录，仅存 2015/2019 年数起已结历史案件，合规面干净</w:t>
      </w:r>
      <w:r>
        <w:rPr>
          <w:vertAlign w:val="superscript"/>
        </w:rPr>
        <w:footnoteReference w:id="22"/>
      </w:r>
      <w:r>
        <w:t xml:space="preserve">。治理瑕疵主要来自股东行为：控股股东及一致行动人持股自 2025 年 8 月的 39.37% 持续降至 34.47%</w:t>
      </w:r>
      <w:r>
        <w:rPr>
          <w:vertAlign w:val="superscript"/>
        </w:rPr>
        <w:footnoteReference w:id="23"/>
      </w:r>
      <w:r>
        <w:t xml:space="preserve">。对外投资方面，公司持有砺算科技（上海）35.87% 股权（权益法核算），切入国产图形渲染 GPU 赛道</w:t>
      </w:r>
      <w:r>
        <w:rPr>
          <w:vertAlign w:val="superscript"/>
        </w:rPr>
        <w:footnoteReference w:id="24"/>
      </w:r>
      <w:r>
        <w:t xml:space="preserve">，2025 年因此确认投资亏损约 1.66 亿元</w:t>
      </w:r>
      <w:fldSimple w:instr="NOTEREF _Ref_Footnote_18 \h \f">
        <w:r>
          <w:rPr>
            <w:vertAlign w:val="superscript"/>
          </w:rPr>
          <w:t>18</w:t>
        </w:r>
      </w:fldSimple>
      <w:r>
        <w:t xml:space="preserve">。</w:t>
      </w:r>
    </w:p>
    <w:bookmarkEnd w:id="27"/>
    <w:bookmarkEnd w:id="28"/>
    <w:bookmarkStart w:id="32" w:name="核心投资逻辑与反方观点"/>
    <w:p>
      <w:pPr>
        <w:pStyle w:val="Heading3"/>
      </w:pPr>
      <w:r>
        <w:t xml:space="preserve">1.2 核心投资逻辑与反方观点</w:t>
      </w:r>
    </w:p>
    <w:bookmarkStart w:id="29" w:name="多方逻辑链涨价最猛品类-最高营收占比-滞涨股价-弹性错配"/>
    <w:p>
      <w:pPr>
        <w:pStyle w:val="Heading4"/>
      </w:pPr>
      <w:r>
        <w:t xml:space="preserve">1.2.1 多方逻辑链：涨价最猛品类 × 最高营收占比 × 滞涨股价 = 弹性错配</w:t>
      </w:r>
    </w:p>
    <w:p>
      <w:pPr>
        <w:pStyle w:val="FirstParagraph"/>
      </w:pPr>
      <w:r>
        <w:t xml:space="preserve">多方逻辑可概括为一个三重乘数。</w:t>
      </w:r>
      <w:r>
        <w:rPr>
          <w:bCs/>
          <w:b/>
        </w:rPr>
        <w:t xml:space="preserve">其一，品类最猛</w:t>
      </w:r>
      <w:r>
        <w:t xml:space="preserve">：SLC NAND 是本轮涨价弹性最大的品类，TrendForce（集邦咨询）统计其 2026 年上半年合约价累计上涨 130%-150%，并预计下半年较上半年再涨 120%-170%</w:t>
      </w:r>
      <w:fldSimple w:instr="NOTEREF _Ref_Footnote_2 \h \f">
        <w:r>
          <w:rPr>
            <w:vertAlign w:val="superscript"/>
          </w:rPr>
          <w:t>2</w:t>
        </w:r>
      </w:fldSimple>
      <w:r>
        <w:t xml:space="preserve">；海外机构判断全球存储紧缺至少持续至 2027 年</w:t>
      </w:r>
      <w:fldSimple w:instr="NOTEREF _Ref_Footnote_11 \h \f">
        <w:r>
          <w:rPr>
            <w:vertAlign w:val="superscript"/>
          </w:rPr>
          <w:t>11</w:t>
        </w:r>
      </w:fldSimple>
      <w:r>
        <w:t xml:space="preserve">。</w:t>
      </w:r>
      <w:r>
        <w:rPr>
          <w:bCs/>
          <w:b/>
        </w:rPr>
        <w:t xml:space="preserve">其二，敞口最高</w:t>
      </w:r>
      <w:r>
        <w:t xml:space="preserve">：NAND 占东芯营收约 65%，为 A 股设计公司中 SLC NAND 敞口最高的标的之一</w:t>
      </w:r>
      <w:fldSimple w:instr="NOTEREF _Ref_Footnote_1 \h \f">
        <w:r>
          <w:rPr>
            <w:vertAlign w:val="superscript"/>
          </w:rPr>
          <w:t>1</w:t>
        </w:r>
      </w:fldSimple>
      <w:r>
        <w:t xml:space="preserve">，涨价弹性已在 2026Q1 兑现为 +237% 营收增速与 53.17% 毛利率</w:t>
      </w:r>
      <w:fldSimple w:instr="NOTEREF _Ref_Footnote_5 \h \f">
        <w:r>
          <w:rPr>
            <w:vertAlign w:val="superscript"/>
          </w:rPr>
          <w:t>5</w:t>
        </w:r>
      </w:fldSimple>
      <w:r>
        <w:t xml:space="preserve">。</w:t>
      </w:r>
      <w:r>
        <w:rPr>
          <w:bCs/>
          <w:b/>
        </w:rPr>
        <w:t xml:space="preserve">其三，股价滞涨</w:t>
      </w:r>
      <w:r>
        <w:t xml:space="preserve">：年初至今（YTD）东芯仅 +3.9%，远落后普冉股份 +313%、兆易创新 +140%</w:t>
      </w:r>
      <w:fldSimple w:instr="NOTEREF _Ref_Footnote_6 \h \f">
        <w:r>
          <w:rPr>
            <w:vertAlign w:val="superscript"/>
          </w:rPr>
          <w:t>6</w:t>
        </w:r>
      </w:fldSimple>
      <w:r>
        <w:t xml:space="preserve">；7 月 16 日大跌系美光、西部数据前夜跌超 8% 引发的板块共振，而非个股利空</w:t>
      </w:r>
      <w:fldSimple w:instr="NOTEREF _Ref_Footnote_7 \h \f">
        <w:r>
          <w:rPr>
            <w:vertAlign w:val="superscript"/>
          </w:rPr>
          <w:t>7</w:t>
        </w:r>
      </w:fldSimple>
      <w:r>
        <w:t xml:space="preserve">。此外，公司调研指引下半年利基存储价格仍将上行</w:t>
      </w:r>
      <w:r>
        <w:rPr>
          <w:vertAlign w:val="superscript"/>
        </w:rPr>
        <w:footnoteReference w:id="25"/>
      </w:r>
      <w:r>
        <w:t xml:space="preserve">；砺算 LX 7G100 零售版（2688 元）7 月 17 日京东开售，</w:t>
      </w:r>
      <w:r>
        <w:t xml:space="preserve">“</w:t>
      </w:r>
      <w:r>
        <w:t xml:space="preserve">存储+GPU</w:t>
      </w:r>
      <w:r>
        <w:t xml:space="preserve">”</w:t>
      </w:r>
      <w:r>
        <w:t xml:space="preserve">期权价值当前近乎免费</w:t>
      </w:r>
      <w:fldSimple w:instr="NOTEREF _Ref_Footnote_13 \h \f">
        <w:r>
          <w:rPr>
            <w:vertAlign w:val="superscript"/>
          </w:rPr>
          <w:t>13</w:t>
        </w:r>
      </w:fldSimple>
      <w:r>
        <w:t xml:space="preserve">。</w:t>
      </w:r>
    </w:p>
    <w:bookmarkEnd w:id="29"/>
    <w:bookmarkStart w:id="30" w:name="X362f5f643c5791150b29d9b6047681f50133c19"/>
    <w:p>
      <w:pPr>
        <w:pStyle w:val="Heading4"/>
      </w:pPr>
      <w:r>
        <w:t xml:space="preserve">1.2.2 空方逻辑链：99 倍动态 PE 不便宜、Q3 合约价涨幅收窄、供给端压力（H 股摊薄 + 减持 + 解禁）</w:t>
      </w:r>
    </w:p>
    <w:p>
      <w:pPr>
        <w:pStyle w:val="FirstParagraph"/>
      </w:pPr>
      <w:r>
        <w:t xml:space="preserve">空方论据同样坚实。</w:t>
      </w:r>
      <w:r>
        <w:rPr>
          <w:bCs/>
          <w:b/>
        </w:rPr>
        <w:t xml:space="preserve">估值不便宜</w:t>
      </w:r>
      <w:r>
        <w:t xml:space="preserve">：按 iFinD（同花顺）一致预期 2026E 归母净利约 6.1 亿元，当前市值对应动态 PE 约 99 倍</w:t>
      </w:r>
      <w:fldSimple w:instr="NOTEREF _Ref_Footnote_10 \h \f">
        <w:r>
          <w:rPr>
            <w:vertAlign w:val="superscript"/>
          </w:rPr>
          <w:t>10</w:t>
        </w:r>
      </w:fldSimple>
      <w:r>
        <w:t xml:space="preserve">，高于兆易 72.2 倍、普冉 72.8 倍</w:t>
      </w:r>
      <w:fldSimple w:instr="NOTEREF _Ref_Footnote_6 \h \f">
        <w:r>
          <w:rPr>
            <w:vertAlign w:val="superscript"/>
          </w:rPr>
          <w:t>6</w:t>
        </w:r>
      </w:fldSimple>
      <w:r>
        <w:t xml:space="preserve">——其实质是买入”涨价持续到 2027 年”的期权，向上空间依赖一致预期继续上修（华龙证券已给到 6.73 亿元）</w:t>
      </w:r>
      <w:fldSimple w:instr="NOTEREF _Ref_Footnote_12 \h \f">
        <w:r>
          <w:rPr>
            <w:vertAlign w:val="superscript"/>
          </w:rPr>
          <w:t>12</w:t>
        </w:r>
      </w:fldSimple>
      <w:r>
        <w:t xml:space="preserve">。</w:t>
      </w:r>
      <w:r>
        <w:rPr>
          <w:bCs/>
          <w:b/>
        </w:rPr>
        <w:t xml:space="preserve">涨价斜率放缓</w:t>
      </w:r>
      <w:r>
        <w:t xml:space="preserve">：TrendForce 预计 2026Q3 主流 DRAM/NAND 合约价环比涨幅收窄至 13%-18%/10%-15%</w:t>
      </w:r>
      <w:r>
        <w:rPr>
          <w:vertAlign w:val="superscript"/>
        </w:rPr>
        <w:footnoteReference w:id="26"/>
      </w:r>
      <w:r>
        <w:t xml:space="preserve">，对标龙头兆易创新 6 月末官方提示”产品价格已处于历史高位”</w:t>
      </w:r>
      <w:r>
        <w:rPr>
          <w:vertAlign w:val="superscript"/>
        </w:rPr>
        <w:footnoteReference w:id="27"/>
      </w:r>
      <w:r>
        <w:t xml:space="preserve">。</w:t>
      </w:r>
      <w:r>
        <w:rPr>
          <w:bCs/>
          <w:b/>
        </w:rPr>
        <w:t xml:space="preserve">供给端三重压力</w:t>
      </w:r>
      <w:r>
        <w:t xml:space="preserve">：公司拟发行 H 股（不超过总股本 10%，另附 15% 超额配售权），摊薄与定价未定</w:t>
      </w:r>
      <w:fldSimple w:instr="NOTEREF _Ref_Footnote_16 \h \f">
        <w:r>
          <w:rPr>
            <w:vertAlign w:val="superscript"/>
          </w:rPr>
          <w:t>16</w:t>
        </w:r>
      </w:fldSimple>
      <w:r>
        <w:t xml:space="preserve">；控股股东持股一年内由 39.37% 降至 34.47%</w:t>
      </w:r>
      <w:fldSimple w:instr="NOTEREF _Ref_Footnote_23 \h \f">
        <w:r>
          <w:rPr>
            <w:vertAlign w:val="superscript"/>
          </w:rPr>
          <w:t>23</w:t>
        </w:r>
      </w:fldSimple>
      <w:r>
        <w:t xml:space="preserve">；4 月询价转让的 442 万股（受让成本 100 元/股，浮盈 36.5%）将于 10 月 13 日解禁</w:t>
      </w:r>
      <w:fldSimple w:instr="NOTEREF _Ref_Footnote_14 \h \f">
        <w:r>
          <w:rPr>
            <w:vertAlign w:val="superscript"/>
          </w:rPr>
          <w:t>14</w:t>
        </w:r>
      </w:fldSimple>
      <w:r>
        <w:t xml:space="preserve">。</w:t>
      </w:r>
      <w:r>
        <w:rPr>
          <w:bCs/>
          <w:b/>
        </w:rPr>
        <w:t xml:space="preserve">筹码受损</w:t>
      </w:r>
      <w:r>
        <w:t xml:space="preserve">：7 月 1 日-16 日主力净流出约 28 亿元</w:t>
      </w:r>
      <w:fldSimple w:instr="NOTEREF _Ref_Footnote_8 \h \f">
        <w:r>
          <w:rPr>
            <w:vertAlign w:val="superscript"/>
          </w:rPr>
          <w:t>8</w:t>
        </w:r>
      </w:fldSimple>
      <w:r>
        <w:t xml:space="preserve">，股东户数同比 +140%，融资余额 33.5 亿元处近一年 80% 分位，杠杆盘尚未出清</w:t>
      </w:r>
      <w:fldSimple w:instr="NOTEREF _Ref_Footnote_9 \h \f">
        <w:r>
          <w:rPr>
            <w:vertAlign w:val="superscript"/>
          </w:rPr>
          <w:t>9</w:t>
        </w:r>
      </w:fldSimple>
      <w:r>
        <w:t xml:space="preserve">。</w:t>
      </w:r>
    </w:p>
    <w:bookmarkEnd w:id="30"/>
    <w:bookmarkStart w:id="31" w:name="结论裁决抄底评级有条件执行条件与触发器定义"/>
    <w:p>
      <w:pPr>
        <w:pStyle w:val="Heading4"/>
      </w:pPr>
      <w:r>
        <w:t xml:space="preserve">1.2.3 结论裁决：抄底评级”有条件执行”，条件与触发器定义</w:t>
      </w:r>
    </w:p>
    <w:p>
      <w:pPr>
        <w:pStyle w:val="FirstParagraph"/>
      </w:pPr>
      <w:r>
        <w:t xml:space="preserve">综合多空证据，本报告对”抄底东芯”的裁决为</w:t>
      </w:r>
      <w:r>
        <w:rPr>
          <w:bCs/>
          <w:b/>
        </w:rPr>
        <w:t xml:space="preserve">有条件执行</w:t>
      </w:r>
      <w:r>
        <w:t xml:space="preserve">：基本面拐点是真实的，但约 99 倍动态 PE 决定安全边际不来自估值便宜，而来自涨价持续性与业绩逐季兑现；当前回调本质是资金行为而非基本面恶化，</w:t>
      </w:r>
      <w:r>
        <w:t xml:space="preserve">“</w:t>
      </w:r>
      <w:r>
        <w:t xml:space="preserve">底</w:t>
      </w:r>
      <w:r>
        <w:t xml:space="preserve">”</w:t>
      </w:r>
      <w:r>
        <w:t xml:space="preserve">应由筹码出清与事件验证确认，而非由价位主观猜测。多空因素对照与触发器定义如下表。</w:t>
      </w:r>
    </w:p>
    <w:p>
      <w:pPr>
        <w:pStyle w:val="BodyText"/>
      </w:pPr>
      <w:r>
        <w:rPr>
          <w:bCs/>
          <w:b/>
        </w:rPr>
        <w:t xml:space="preserve">表 1-1 多空因素对照与裁决触发器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多方论据</w:t>
            </w:r>
          </w:p>
        </w:tc>
        <w:tc>
          <w:tcPr/>
          <w:p>
            <w:pPr>
              <w:pStyle w:val="Compact"/>
              <w:jc w:val="left"/>
            </w:pPr>
            <w:r>
              <w:t xml:space="preserve">空方论据</w:t>
            </w:r>
          </w:p>
        </w:tc>
        <w:tc>
          <w:tcPr/>
          <w:p>
            <w:pPr>
              <w:pStyle w:val="Compact"/>
              <w:jc w:val="left"/>
            </w:pPr>
            <w:r>
              <w:t xml:space="preserve">关键验证触发器</w:t>
            </w:r>
          </w:p>
        </w:tc>
      </w:tr>
      <w:tr>
        <w:tc>
          <w:tcPr/>
          <w:p>
            <w:pPr>
              <w:pStyle w:val="Compact"/>
              <w:jc w:val="left"/>
            </w:pPr>
            <w:r>
              <w:t xml:space="preserve">行业价格</w:t>
            </w:r>
          </w:p>
        </w:tc>
        <w:tc>
          <w:tcPr/>
          <w:p>
            <w:pPr>
              <w:pStyle w:val="Compact"/>
              <w:jc w:val="left"/>
            </w:pPr>
            <w:r>
              <w:t xml:space="preserve">SLC NAND 2026H1 合约价 +130%~150%，2H26 预计 +120%~170%</w:t>
            </w:r>
            <w:r>
              <w:t xml:space="preserve"> </w:t>
            </w:r>
            <w:fldSimple w:instr="NOTEREF _Ref_Footnote_2 \h \f">
              <w:r>
                <w:rPr>
                  <w:vertAlign w:val="superscript"/>
                </w:rPr>
                <w:t>2</w:t>
              </w:r>
            </w:fldSimple>
          </w:p>
        </w:tc>
        <w:tc>
          <w:tcPr/>
          <w:p>
            <w:pPr>
              <w:pStyle w:val="Compact"/>
              <w:jc w:val="left"/>
            </w:pPr>
            <w:r>
              <w:t xml:space="preserve">Q3 主流合约价涨幅收窄至 10%~18%；兆易自警”历史高位”</w:t>
            </w:r>
            <w:r>
              <w:t xml:space="preserve"> </w:t>
            </w:r>
            <w:fldSimple w:instr="NOTEREF _Ref_Footnote_26 \h \f">
              <w:r>
                <w:rPr>
                  <w:vertAlign w:val="superscript"/>
                </w:rPr>
                <w:t>26</w:t>
              </w:r>
            </w:fldSimple>
            <w:r>
              <w:t xml:space="preserve"> </w:t>
            </w:r>
            <w:fldSimple w:instr="NOTEREF _Ref_Footnote_27 \h \f">
              <w:r>
                <w:rPr>
                  <w:vertAlign w:val="superscript"/>
                </w:rPr>
                <w:t>27</w:t>
              </w:r>
            </w:fldSimple>
          </w:p>
        </w:tc>
        <w:tc>
          <w:tcPr/>
          <w:p>
            <w:pPr>
              <w:pStyle w:val="Compact"/>
              <w:jc w:val="left"/>
            </w:pPr>
            <w:r>
              <w:t xml:space="preserve">Q3/Q4 合约价谈判；TrendForce 月度价格跟踪</w:t>
            </w:r>
          </w:p>
        </w:tc>
      </w:tr>
      <w:tr>
        <w:tc>
          <w:tcPr/>
          <w:p>
            <w:pPr>
              <w:pStyle w:val="Compact"/>
              <w:jc w:val="left"/>
            </w:pPr>
            <w:r>
              <w:t xml:space="preserve">业绩兑现</w:t>
            </w:r>
          </w:p>
        </w:tc>
        <w:tc>
          <w:tcPr/>
          <w:p>
            <w:pPr>
              <w:pStyle w:val="Compact"/>
              <w:jc w:val="left"/>
            </w:pPr>
            <w:r>
              <w:t xml:space="preserve">2026Q1 营收 +237%、毛利率 53.17%、归母扭亏</w:t>
            </w:r>
            <w:r>
              <w:t xml:space="preserve"> </w:t>
            </w:r>
            <w:fldSimple w:instr="NOTEREF _Ref_Footnote_5 \h \f">
              <w:r>
                <w:rPr>
                  <w:vertAlign w:val="superscript"/>
                </w:rPr>
                <w:t>5</w:t>
              </w:r>
            </w:fldSimple>
          </w:p>
        </w:tc>
        <w:tc>
          <w:tcPr/>
          <w:p>
            <w:pPr>
              <w:pStyle w:val="Compact"/>
              <w:jc w:val="left"/>
            </w:pPr>
            <w:r>
              <w:t xml:space="preserve">Q2 起低价库存红利与新采购成本上行的净效应待验证</w:t>
            </w:r>
          </w:p>
        </w:tc>
        <w:tc>
          <w:tcPr/>
          <w:p>
            <w:pPr>
              <w:pStyle w:val="Compact"/>
              <w:jc w:val="left"/>
            </w:pPr>
            <w:r>
              <w:t xml:space="preserve">8 月 22 日半年报（毛利率、存货去化）</w:t>
            </w:r>
            <w:fldSimple w:instr="NOTEREF _Ref_Footnote_15 \h \f">
              <w:r>
                <w:rPr>
                  <w:vertAlign w:val="superscript"/>
                </w:rPr>
                <w:t>15</w:t>
              </w:r>
            </w:fldSimple>
          </w:p>
        </w:tc>
      </w:tr>
      <w:tr>
        <w:tc>
          <w:tcPr/>
          <w:p>
            <w:pPr>
              <w:pStyle w:val="Compact"/>
              <w:jc w:val="left"/>
            </w:pPr>
            <w:r>
              <w:t xml:space="preserve">估值</w:t>
            </w:r>
          </w:p>
        </w:tc>
        <w:tc>
          <w:tcPr/>
          <w:p>
            <w:pPr>
              <w:pStyle w:val="Compact"/>
              <w:jc w:val="left"/>
            </w:pPr>
            <w:r>
              <w:t xml:space="preserve">卖方预测持续上修，周期上行期 Forward PE（远期市盈率）有消化空间</w:t>
            </w:r>
            <w:r>
              <w:t xml:space="preserve"> </w:t>
            </w:r>
            <w:fldSimple w:instr="NOTEREF _Ref_Footnote_12 \h \f">
              <w:r>
                <w:rPr>
                  <w:vertAlign w:val="superscript"/>
                </w:rPr>
                <w:t>12</w:t>
              </w:r>
            </w:fldSimple>
          </w:p>
        </w:tc>
        <w:tc>
          <w:tcPr/>
          <w:p>
            <w:pPr>
              <w:pStyle w:val="Compact"/>
              <w:jc w:val="left"/>
            </w:pPr>
            <w:r>
              <w:t xml:space="preserve">动态 PE 约 99 倍，高于兆易 72 倍、普冉 73 倍</w:t>
            </w:r>
            <w:r>
              <w:t xml:space="preserve"> </w:t>
            </w:r>
            <w:fldSimple w:instr="NOTEREF _Ref_Footnote_6 \h \f">
              <w:r>
                <w:rPr>
                  <w:vertAlign w:val="superscript"/>
                </w:rPr>
                <w:t>6</w:t>
              </w:r>
            </w:fldSimple>
            <w:r>
              <w:t xml:space="preserve"> </w:t>
            </w:r>
            <w:fldSimple w:instr="NOTEREF _Ref_Footnote_10 \h \f">
              <w:r>
                <w:rPr>
                  <w:vertAlign w:val="superscript"/>
                </w:rPr>
                <w:t>10</w:t>
              </w:r>
            </w:fldSimple>
          </w:p>
        </w:tc>
        <w:tc>
          <w:tcPr/>
          <w:p>
            <w:pPr>
              <w:pStyle w:val="Compact"/>
              <w:jc w:val="left"/>
            </w:pPr>
            <w:r>
              <w:t xml:space="preserve">2026E 一致预期是否继续上修；若 Q4 价格走平，估值有系统性下修风险</w:t>
            </w:r>
          </w:p>
        </w:tc>
      </w:tr>
      <w:tr>
        <w:tc>
          <w:tcPr/>
          <w:p>
            <w:pPr>
              <w:pStyle w:val="Compact"/>
              <w:jc w:val="left"/>
            </w:pPr>
            <w:r>
              <w:t xml:space="preserve">股价与筹码</w:t>
            </w:r>
          </w:p>
        </w:tc>
        <w:tc>
          <w:tcPr/>
          <w:p>
            <w:pPr>
              <w:pStyle w:val="Compact"/>
              <w:jc w:val="left"/>
            </w:pPr>
            <w:r>
              <w:t xml:space="preserve">YTD +3.9% 显著滞涨，前期涨幅兑现少</w:t>
            </w:r>
            <w:r>
              <w:t xml:space="preserve"> </w:t>
            </w:r>
            <w:fldSimple w:instr="NOTEREF _Ref_Footnote_6 \h \f">
              <w:r>
                <w:rPr>
                  <w:vertAlign w:val="superscript"/>
                </w:rPr>
                <w:t>6</w:t>
              </w:r>
            </w:fldSimple>
          </w:p>
        </w:tc>
        <w:tc>
          <w:tcPr/>
          <w:p>
            <w:pPr>
              <w:pStyle w:val="Compact"/>
              <w:jc w:val="left"/>
            </w:pPr>
            <w:r>
              <w:t xml:space="preserve">7 月主力净流出约 28 亿；股东户数 +140%；融资盘 80% 分位未出清</w:t>
            </w:r>
            <w:r>
              <w:t xml:space="preserve"> </w:t>
            </w:r>
            <w:fldSimple w:instr="NOTEREF _Ref_Footnote_8 \h \f">
              <w:r>
                <w:rPr>
                  <w:vertAlign w:val="superscript"/>
                </w:rPr>
                <w:t>8</w:t>
              </w:r>
            </w:fldSimple>
            <w:r>
              <w:t xml:space="preserve"> </w:t>
            </w:r>
            <w:fldSimple w:instr="NOTEREF _Ref_Footnote_9 \h \f">
              <w:r>
                <w:rPr>
                  <w:vertAlign w:val="superscript"/>
                </w:rPr>
                <w:t>9</w:t>
              </w:r>
            </w:fldSimple>
          </w:p>
        </w:tc>
        <w:tc>
          <w:tcPr/>
          <w:p>
            <w:pPr>
              <w:pStyle w:val="Compact"/>
              <w:jc w:val="left"/>
            </w:pPr>
            <w:r>
              <w:t xml:space="preserve">融资余额回落、缩量企稳为右侧确认信号</w:t>
            </w:r>
          </w:p>
        </w:tc>
      </w:tr>
      <w:tr>
        <w:tc>
          <w:tcPr/>
          <w:p>
            <w:pPr>
              <w:pStyle w:val="Compact"/>
              <w:jc w:val="left"/>
            </w:pPr>
            <w:r>
              <w:t xml:space="preserve">股本供给</w:t>
            </w:r>
          </w:p>
        </w:tc>
        <w:tc>
          <w:tcPr/>
          <w:p>
            <w:pPr>
              <w:pStyle w:val="Compact"/>
              <w:jc w:val="left"/>
            </w:pPr>
            <w:r>
              <w:t xml:space="preserve">首发大解禁已于 2024 年 12 月完成，后续单次解禁仅占总股本 1%</w:t>
            </w:r>
            <w:r>
              <w:t xml:space="preserve"> </w:t>
            </w:r>
            <w:r>
              <w:rPr>
                <w:vertAlign w:val="superscript"/>
              </w:rPr>
              <w:footnoteReference w:id="28"/>
            </w:r>
          </w:p>
        </w:tc>
        <w:tc>
          <w:tcPr/>
          <w:p>
            <w:pPr>
              <w:pStyle w:val="Compact"/>
              <w:jc w:val="left"/>
            </w:pPr>
            <w:r>
              <w:t xml:space="preserve">H 股发行摊薄 ≤10%+15% 绿鞋；控股股东 39.37%→34.47%；442 万股 10/13 解禁</w:t>
            </w:r>
            <w:r>
              <w:t xml:space="preserve"> </w:t>
            </w:r>
            <w:fldSimple w:instr="NOTEREF _Ref_Footnote_23 \h \f">
              <w:r>
                <w:rPr>
                  <w:vertAlign w:val="superscript"/>
                </w:rPr>
                <w:t>23</w:t>
              </w:r>
            </w:fldSimple>
            <w:r>
              <w:t xml:space="preserve"> </w:t>
            </w:r>
            <w:fldSimple w:instr="NOTEREF _Ref_Footnote_16 \h \f">
              <w:r>
                <w:rPr>
                  <w:vertAlign w:val="superscript"/>
                </w:rPr>
                <w:t>16</w:t>
              </w:r>
            </w:fldSimple>
            <w:r>
              <w:t xml:space="preserve"> </w:t>
            </w:r>
            <w:fldSimple w:instr="NOTEREF _Ref_Footnote_14 \h \f">
              <w:r>
                <w:rPr>
                  <w:vertAlign w:val="superscript"/>
                </w:rPr>
                <w:t>14</w:t>
              </w:r>
            </w:fldSimple>
          </w:p>
        </w:tc>
        <w:tc>
          <w:tcPr/>
          <w:p>
            <w:pPr>
              <w:pStyle w:val="Compact"/>
              <w:jc w:val="left"/>
            </w:pPr>
            <w:r>
              <w:t xml:space="preserve">10 月中旬解禁窗口或提供更好的买点；H 股发行定价</w:t>
            </w:r>
          </w:p>
        </w:tc>
      </w:tr>
      <w:tr>
        <w:tc>
          <w:tcPr/>
          <w:p>
            <w:pPr>
              <w:pStyle w:val="Compact"/>
              <w:jc w:val="left"/>
            </w:pPr>
            <w:r>
              <w:t xml:space="preserve">期权价值</w:t>
            </w:r>
          </w:p>
        </w:tc>
        <w:tc>
          <w:tcPr/>
          <w:p>
            <w:pPr>
              <w:pStyle w:val="Compact"/>
              <w:jc w:val="left"/>
            </w:pPr>
            <w:r>
              <w:t xml:space="preserve">砺算 7G100 零售开售、Wi-Fi 7 与车规储备近乎免费</w:t>
            </w:r>
            <w:r>
              <w:t xml:space="preserve"> </w:t>
            </w:r>
            <w:fldSimple w:instr="NOTEREF _Ref_Footnote_13 \h \f">
              <w:r>
                <w:rPr>
                  <w:vertAlign w:val="superscript"/>
                </w:rPr>
                <w:t>13</w:t>
              </w:r>
            </w:fldSimple>
          </w:p>
        </w:tc>
        <w:tc>
          <w:tcPr/>
          <w:p>
            <w:pPr>
              <w:pStyle w:val="Compact"/>
              <w:jc w:val="left"/>
            </w:pPr>
            <w:r>
              <w:t xml:space="preserve">砺算 2025 年净亏 4.45 亿元，短期仍是利润表拖累项</w:t>
            </w:r>
            <w:r>
              <w:t xml:space="preserve"> </w:t>
            </w:r>
            <w:fldSimple w:instr="NOTEREF _Ref_Footnote_18 \h \f">
              <w:r>
                <w:rPr>
                  <w:vertAlign w:val="superscript"/>
                </w:rPr>
                <w:t>18</w:t>
              </w:r>
            </w:fldSimple>
          </w:p>
        </w:tc>
        <w:tc>
          <w:tcPr/>
          <w:p>
            <w:pPr>
              <w:pStyle w:val="Compact"/>
              <w:jc w:val="left"/>
            </w:pPr>
            <w:r>
              <w:t xml:space="preserve">砺算零售销量与权益法亏损收窄节奏</w:t>
            </w:r>
          </w:p>
        </w:tc>
      </w:tr>
    </w:tbl>
    <w:p>
      <w:pPr>
        <w:pStyle w:val="BodyText"/>
      </w:pPr>
      <w:r>
        <w:t xml:space="preserve">表 1-1 显示，多空双方对事实本身分歧有限，真正分歧在于</w:t>
      </w:r>
      <w:r>
        <w:rPr>
          <w:bCs/>
          <w:b/>
        </w:rPr>
        <w:t xml:space="preserve">对持续性的定价</w:t>
      </w:r>
      <w:r>
        <w:t xml:space="preserve">：多方将滞涨解读为弹性尚未定价，空方则视其为市场对涨价持续性与高估值的理性折价。裁决的关键在于时间锚点而非价位锚点——8 月 22 日半年报验证 Q2 盈利成色，10 月 13 日解禁释放供给压力，两者之间构成”验证后分批介入”的窗口；若融资余额明显回落且成交缩量企稳，则右侧信号成立。反之，若 Q4 合约价走平或半年报毛利率显著低于 50%，抄底逻辑应整体降级。后续章节将沿行业景气、产业链验证、财务拆解、估值测算、资金面、催化与风险的路径逐项核实上述假设，并在第八章给出分批建仓的具体方案。</w:t>
      </w:r>
    </w:p>
    <w:bookmarkEnd w:id="31"/>
    <w:bookmarkEnd w:id="32"/>
    <w:bookmarkEnd w:id="33"/>
    <w:bookmarkStart w:id="46" w:name="行业分析存储涨价周期的位置与持续性"/>
    <w:p>
      <w:pPr>
        <w:pStyle w:val="Heading2"/>
      </w:pPr>
      <w:r>
        <w:t xml:space="preserve">2. 行业分析：存储涨价周期的位置与持续性</w:t>
      </w:r>
    </w:p>
    <w:p>
      <w:pPr>
        <w:pStyle w:val="FirstParagraph"/>
      </w:pPr>
      <w:r>
        <w:t xml:space="preserve">抄底时点的成立与否，首先取决于行业前提：本轮存储涨价从何而来、行至何处、还能持续多久。本章的结论是：本轮周期的本质并非传统的库存周期往复，而是 AI 需求对全球存储产能的结构性挤出，利基存储因供给收缩不可逆而呈现显著强于主流 DRAM/NAND 的涨价弹性；机构共识为上行至少延续至 2027 年中至下半年，但 2026Q3 起涨幅收窄、终端需求走弱与板块高估值构成三大分歧点。7 月 16 日的板块回调属全球资金与情绪共振，而非涨价逻辑的证伪——这一性质判定直接决定了”抄底”讨论的有效性边界。</w:t>
      </w:r>
    </w:p>
    <w:bookmarkStart w:id="39" w:name="本轮周期的驱动结构"/>
    <w:p>
      <w:pPr>
        <w:pStyle w:val="Heading3"/>
      </w:pPr>
      <w:r>
        <w:t xml:space="preserve">2.1 本轮周期的驱动结构</w:t>
      </w:r>
    </w:p>
    <w:bookmarkStart w:id="34" w:name="X141fd386c9799008c89e699792980b8ef490812"/>
    <w:p>
      <w:pPr>
        <w:pStyle w:val="Heading4"/>
      </w:pPr>
      <w:r>
        <w:t xml:space="preserve">2.1.1 AI 需求挤出效应：HBM/DDR5 抢占产能，三星停 2D NAND、美光退 DDR4，利基供给收缩不可逆</w:t>
      </w:r>
    </w:p>
    <w:p>
      <w:pPr>
        <w:pStyle w:val="FirstParagraph"/>
      </w:pPr>
      <w:r>
        <w:t xml:space="preserve">本轮涨价的第一驱动力是 AI 服务器对存储用量的量级式抬升：单台 AI 服务器的 DRAM 用量为传统服务器的 8 至 10 倍、NAND 用量为 3 倍以上，三星、SK 海力士、美光三大原厂已将 70% 以上先进晶圆产能转产 HBM 与服务器 DDR5，主动压缩通用消费级颗粒供给，2026 年上半年 DRAM 累计涨幅超 340%、NAND 超 320%</w:t>
      </w:r>
      <w:r>
        <w:rPr>
          <w:vertAlign w:val="superscript"/>
        </w:rPr>
        <w:footnoteReference w:id="29"/>
      </w:r>
      <w:r>
        <w:t xml:space="preserve">。挤出的量化程度可观：2026 年 HBM 投片已占全球 DRAM 晶圆总产能约 12% 至 15%，数据中心与 AI 服务器合计消耗全球约一半的 DRAM 产能</w:t>
      </w:r>
      <w:r>
        <w:rPr>
          <w:vertAlign w:val="superscript"/>
        </w:rPr>
        <w:footnoteReference w:id="30"/>
      </w:r>
      <w:r>
        <w:t xml:space="preserve">。WSTS（世界半导体贸易统计组织）据此预测 2026 年全球存储芯片市场规模同比增长 249.5% 至约 8039 亿美元</w:t>
      </w:r>
      <w:r>
        <w:rPr>
          <w:vertAlign w:val="superscript"/>
        </w:rPr>
        <w:footnoteReference w:id="31"/>
      </w:r>
      <w:r>
        <w:t xml:space="preserve">。</w:t>
      </w:r>
    </w:p>
    <w:p>
      <w:pPr>
        <w:pStyle w:val="BodyText"/>
      </w:pPr>
      <w:r>
        <w:t xml:space="preserve">对利基存储而言，供给收缩带有更强的不可逆性。三星自 2024Q2 起停止 DDR3 生产并持续削减 DDR4；美光 2025 年中宣布 6 至 9 个月内停供 DDR4/LPDDR4，并于 2026Q1 彻底终止 DDR4 发货；三星 2025Q1 宣布永久关停 2D NAND 产线，铠侠 2025 年 9 月起停止 SLC/MLC 新订单</w:t>
      </w:r>
      <w:r>
        <w:rPr>
          <w:vertAlign w:val="superscript"/>
        </w:rPr>
        <w:footnoteReference w:id="32"/>
      </w:r>
      <w:r>
        <w:t xml:space="preserve">。退出的经济学逻辑在于利基存储的晶圆投入产出比仅为 HBM 的约五分之一，且 8 英寸产线改造与设备备件均难以逆转，属于永久性供给重构而非产能的周期性腾挪</w:t>
      </w:r>
      <w:r>
        <w:rPr>
          <w:vertAlign w:val="superscript"/>
        </w:rPr>
        <w:footnoteReference w:id="33"/>
      </w:r>
      <w:r>
        <w:t xml:space="preserve">。这意味着即便未来价格回落，利基品类的供给也难以恢复到本轮周期之前的水平，这是本轮周期区别于 2017—2018 年、2021 年两轮涨价的关键结构差异。</w:t>
      </w:r>
    </w:p>
    <w:bookmarkEnd w:id="34"/>
    <w:bookmarkStart w:id="38" w:name="价格数据主流合约价单季涨约六成利基品类半年度涨幅翻倍以上"/>
    <w:p>
      <w:pPr>
        <w:pStyle w:val="Heading4"/>
      </w:pPr>
      <w:r>
        <w:t xml:space="preserve">2.1.2 价格数据：主流合约价单季涨约六成，利基品类半年度涨幅翻倍以上</w:t>
      </w:r>
    </w:p>
    <w:p>
      <w:pPr>
        <w:pStyle w:val="FirstParagraph"/>
      </w:pPr>
      <w:r>
        <w:t xml:space="preserve">TrendForce 数据显示，2026Q2 主流 DRAM 合约价环比上涨 58% 至 63%、NAND 上涨 55% 至 60%</w:t>
      </w:r>
      <w:fldSimple w:instr="NOTEREF _Ref_Footnote_7 \h \f">
        <w:r>
          <w:rPr>
            <w:vertAlign w:val="superscript"/>
          </w:rPr>
          <w:t>7</w:t>
        </w:r>
      </w:fldSimple>
      <w:r>
        <w:t xml:space="preserve">；利基品类涨幅更陡，2026 上半年 SLC NAND 合约价累计上涨 130% 至 150%、NOR Flash 上涨 100% 至 120%，且 7 月调查将 SLC NAND 下半年涨幅预估由 6 月的 70% 至 75% 大幅上修至 120% 至 170%，</w:t>
      </w:r>
      <w:r>
        <w:t xml:space="preserve">“</w:t>
      </w:r>
      <w:r>
        <w:t xml:space="preserve">不排除有上修空间</w:t>
      </w:r>
      <w:r>
        <w:t xml:space="preserve">”</w:t>
      </w:r>
      <w:r>
        <w:rPr>
          <w:vertAlign w:val="superscript"/>
        </w:rPr>
        <w:footnoteReference w:id="34"/>
      </w:r>
      <w:r>
        <w:t xml:space="preserve"> </w:t>
      </w:r>
      <w:r>
        <w:rPr>
          <w:vertAlign w:val="superscript"/>
        </w:rPr>
        <w:footnoteReference w:id="35"/>
      </w:r>
      <w:r>
        <w:t xml:space="preserve">。</w:t>
      </w:r>
    </w:p>
    <w:p>
      <w:pPr>
        <w:pStyle w:val="BodyText"/>
      </w:pPr>
      <w:r>
        <w:rPr>
          <w:bCs/>
          <w:b/>
        </w:rPr>
        <w:t xml:space="preserve">表 2-1 2026 年存储合约价涨幅：主流品类 vs 利基品类（分时段）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品类</w:t>
            </w:r>
          </w:p>
        </w:tc>
        <w:tc>
          <w:tcPr/>
          <w:p>
            <w:pPr>
              <w:pStyle w:val="Compact"/>
              <w:jc w:val="left"/>
            </w:pPr>
            <w:r>
              <w:t xml:space="preserve">时段口径</w:t>
            </w:r>
          </w:p>
        </w:tc>
        <w:tc>
          <w:tcPr/>
          <w:p>
            <w:pPr>
              <w:pStyle w:val="Compact"/>
              <w:jc w:val="left"/>
            </w:pPr>
            <w:r>
              <w:t xml:space="preserve">涨幅</w:t>
            </w:r>
          </w:p>
        </w:tc>
        <w:tc>
          <w:tcPr/>
          <w:p>
            <w:pPr>
              <w:pStyle w:val="Compact"/>
              <w:jc w:val="left"/>
            </w:pPr>
            <w:r>
              <w:t xml:space="preserve">数据来源</w:t>
            </w:r>
          </w:p>
        </w:tc>
      </w:tr>
      <w:tr>
        <w:tc>
          <w:tcPr/>
          <w:p>
            <w:pPr>
              <w:pStyle w:val="Compact"/>
              <w:jc w:val="left"/>
            </w:pPr>
            <w:r>
              <w:t xml:space="preserve">主流 DRAM 合约价</w:t>
            </w:r>
          </w:p>
        </w:tc>
        <w:tc>
          <w:tcPr/>
          <w:p>
            <w:pPr>
              <w:pStyle w:val="Compact"/>
              <w:jc w:val="left"/>
            </w:pPr>
            <w:r>
              <w:t xml:space="preserve">2026Q2 单季环比</w:t>
            </w:r>
          </w:p>
        </w:tc>
        <w:tc>
          <w:tcPr/>
          <w:p>
            <w:pPr>
              <w:pStyle w:val="Compact"/>
              <w:jc w:val="left"/>
            </w:pPr>
            <w:r>
              <w:t xml:space="preserve">+58~63%</w:t>
            </w:r>
            <w:r>
              <w:t xml:space="preserve"> </w:t>
            </w:r>
            <w:fldSimple w:instr="NOTEREF _Ref_Footnote_7 \h \f">
              <w:r>
                <w:rPr>
                  <w:vertAlign w:val="superscript"/>
                </w:rPr>
                <w:t>7</w:t>
              </w:r>
            </w:fldSimple>
          </w:p>
        </w:tc>
        <w:tc>
          <w:tcPr/>
          <w:p>
            <w:pPr>
              <w:pStyle w:val="Compact"/>
              <w:jc w:val="left"/>
            </w:pPr>
            <w:r>
              <w:t xml:space="preserve">TrendForce（财新转引）</w:t>
            </w:r>
          </w:p>
        </w:tc>
      </w:tr>
      <w:tr>
        <w:tc>
          <w:tcPr/>
          <w:p>
            <w:pPr>
              <w:pStyle w:val="Compact"/>
              <w:jc w:val="left"/>
            </w:pPr>
            <w:r>
              <w:t xml:space="preserve">主流 NAND 合约价</w:t>
            </w:r>
          </w:p>
        </w:tc>
        <w:tc>
          <w:tcPr/>
          <w:p>
            <w:pPr>
              <w:pStyle w:val="Compact"/>
              <w:jc w:val="left"/>
            </w:pPr>
            <w:r>
              <w:t xml:space="preserve">2026Q2 单季环比</w:t>
            </w:r>
          </w:p>
        </w:tc>
        <w:tc>
          <w:tcPr/>
          <w:p>
            <w:pPr>
              <w:pStyle w:val="Compact"/>
              <w:jc w:val="left"/>
            </w:pPr>
            <w:r>
              <w:t xml:space="preserve">+55~60%</w:t>
            </w:r>
            <w:r>
              <w:t xml:space="preserve"> </w:t>
            </w:r>
            <w:fldSimple w:instr="NOTEREF _Ref_Footnote_7 \h \f">
              <w:r>
                <w:rPr>
                  <w:vertAlign w:val="superscript"/>
                </w:rPr>
                <w:t>7</w:t>
              </w:r>
            </w:fldSimple>
          </w:p>
        </w:tc>
        <w:tc>
          <w:tcPr/>
          <w:p>
            <w:pPr>
              <w:pStyle w:val="Compact"/>
              <w:jc w:val="left"/>
            </w:pPr>
            <w:r>
              <w:t xml:space="preserve">TrendForce（财新转引）</w:t>
            </w:r>
          </w:p>
        </w:tc>
      </w:tr>
      <w:tr>
        <w:tc>
          <w:tcPr/>
          <w:p>
            <w:pPr>
              <w:pStyle w:val="Compact"/>
              <w:jc w:val="left"/>
            </w:pPr>
            <w:r>
              <w:t xml:space="preserve">NOR Flash 合约价</w:t>
            </w:r>
          </w:p>
        </w:tc>
        <w:tc>
          <w:tcPr/>
          <w:p>
            <w:pPr>
              <w:pStyle w:val="Compact"/>
              <w:jc w:val="left"/>
            </w:pPr>
            <w:r>
              <w:t xml:space="preserve">2026H1 累计</w:t>
            </w:r>
          </w:p>
        </w:tc>
        <w:tc>
          <w:tcPr/>
          <w:p>
            <w:pPr>
              <w:pStyle w:val="Compact"/>
              <w:jc w:val="left"/>
            </w:pPr>
            <w:r>
              <w:t xml:space="preserve">+100~120%</w:t>
            </w:r>
            <w:r>
              <w:t xml:space="preserve"> </w:t>
            </w:r>
            <w:fldSimple w:instr="NOTEREF _Ref_Footnote_34 \h \f">
              <w:r>
                <w:rPr>
                  <w:vertAlign w:val="superscript"/>
                </w:rPr>
                <w:t>34</w:t>
              </w:r>
            </w:fldSimple>
          </w:p>
        </w:tc>
        <w:tc>
          <w:tcPr/>
          <w:p>
            <w:pPr>
              <w:pStyle w:val="Compact"/>
              <w:jc w:val="left"/>
            </w:pPr>
            <w:r>
              <w:t xml:space="preserve">TrendForce</w:t>
            </w:r>
          </w:p>
        </w:tc>
      </w:tr>
      <w:tr>
        <w:tc>
          <w:tcPr/>
          <w:p>
            <w:pPr>
              <w:pStyle w:val="Compact"/>
              <w:jc w:val="left"/>
            </w:pPr>
            <w:r>
              <w:t xml:space="preserve">高容量 NOR 合约价</w:t>
            </w:r>
          </w:p>
        </w:tc>
        <w:tc>
          <w:tcPr/>
          <w:p>
            <w:pPr>
              <w:pStyle w:val="Compact"/>
              <w:jc w:val="left"/>
            </w:pPr>
            <w:r>
              <w:t xml:space="preserve">2026H2E 累计</w:t>
            </w:r>
          </w:p>
        </w:tc>
        <w:tc>
          <w:tcPr/>
          <w:p>
            <w:pPr>
              <w:pStyle w:val="Compact"/>
              <w:jc w:val="left"/>
            </w:pPr>
            <w:r>
              <w:t xml:space="preserve">+60~65%</w:t>
            </w:r>
            <w:r>
              <w:t xml:space="preserve"> </w:t>
            </w:r>
            <w:fldSimple w:instr="NOTEREF _Ref_Footnote_34 \h \f">
              <w:r>
                <w:rPr>
                  <w:vertAlign w:val="superscript"/>
                </w:rPr>
                <w:t>34</w:t>
              </w:r>
            </w:fldSimple>
          </w:p>
        </w:tc>
        <w:tc>
          <w:tcPr/>
          <w:p>
            <w:pPr>
              <w:pStyle w:val="Compact"/>
              <w:jc w:val="left"/>
            </w:pPr>
            <w:r>
              <w:t xml:space="preserve">TrendForce</w:t>
            </w:r>
          </w:p>
        </w:tc>
      </w:tr>
      <w:tr>
        <w:tc>
          <w:tcPr/>
          <w:p>
            <w:pPr>
              <w:pStyle w:val="Compact"/>
              <w:jc w:val="left"/>
            </w:pPr>
            <w:r>
              <w:t xml:space="preserve">SLC NAND 合约价</w:t>
            </w:r>
          </w:p>
        </w:tc>
        <w:tc>
          <w:tcPr/>
          <w:p>
            <w:pPr>
              <w:pStyle w:val="Compact"/>
              <w:jc w:val="left"/>
            </w:pPr>
            <w:r>
              <w:t xml:space="preserve">2026H1 累计</w:t>
            </w:r>
          </w:p>
        </w:tc>
        <w:tc>
          <w:tcPr/>
          <w:p>
            <w:pPr>
              <w:pStyle w:val="Compact"/>
              <w:jc w:val="left"/>
            </w:pPr>
            <w:r>
              <w:t xml:space="preserve">+130~150%</w:t>
            </w:r>
            <w:r>
              <w:t xml:space="preserve"> </w:t>
            </w:r>
            <w:fldSimple w:instr="NOTEREF _Ref_Footnote_34 \h \f">
              <w:r>
                <w:rPr>
                  <w:vertAlign w:val="superscript"/>
                </w:rPr>
                <w:t>34</w:t>
              </w:r>
            </w:fldSimple>
          </w:p>
        </w:tc>
        <w:tc>
          <w:tcPr/>
          <w:p>
            <w:pPr>
              <w:pStyle w:val="Compact"/>
              <w:jc w:val="left"/>
            </w:pPr>
            <w:r>
              <w:t xml:space="preserve">TrendForce</w:t>
            </w:r>
          </w:p>
        </w:tc>
      </w:tr>
      <w:tr>
        <w:tc>
          <w:tcPr/>
          <w:p>
            <w:pPr>
              <w:pStyle w:val="Compact"/>
              <w:jc w:val="left"/>
            </w:pPr>
            <w:r>
              <w:t xml:space="preserve">SLC NAND 合约价</w:t>
            </w:r>
          </w:p>
        </w:tc>
        <w:tc>
          <w:tcPr/>
          <w:p>
            <w:pPr>
              <w:pStyle w:val="Compact"/>
              <w:jc w:val="left"/>
            </w:pPr>
            <w:r>
              <w:t xml:space="preserve">2026H2E 累计</w:t>
            </w:r>
          </w:p>
        </w:tc>
        <w:tc>
          <w:tcPr/>
          <w:p>
            <w:pPr>
              <w:pStyle w:val="Compact"/>
              <w:jc w:val="left"/>
            </w:pPr>
            <w:r>
              <w:t xml:space="preserve">+120~170%</w:t>
            </w:r>
            <w:r>
              <w:t xml:space="preserve"> </w:t>
            </w:r>
            <w:fldSimple w:instr="NOTEREF _Ref_Footnote_35 \h \f">
              <w:r>
                <w:rPr>
                  <w:vertAlign w:val="superscript"/>
                </w:rPr>
                <w:t>35</w:t>
              </w:r>
            </w:fldSimple>
          </w:p>
        </w:tc>
        <w:tc>
          <w:tcPr/>
          <w:p>
            <w:pPr>
              <w:pStyle w:val="Compact"/>
              <w:jc w:val="left"/>
            </w:pPr>
            <w:r>
              <w:t xml:space="preserve">TrendForce 7 月调查</w:t>
            </w:r>
          </w:p>
        </w:tc>
      </w:tr>
      <w:tr>
        <w:tc>
          <w:tcPr/>
          <w:p>
            <w:pPr>
              <w:pStyle w:val="Compact"/>
              <w:jc w:val="left"/>
            </w:pPr>
            <w:r>
              <w:t xml:space="preserve">利基 DDR4 合约价</w:t>
            </w:r>
          </w:p>
        </w:tc>
        <w:tc>
          <w:tcPr/>
          <w:p>
            <w:pPr>
              <w:pStyle w:val="Compact"/>
              <w:jc w:val="left"/>
            </w:pPr>
            <w:r>
              <w:t xml:space="preserve">2026Q3E 单季环比</w:t>
            </w:r>
          </w:p>
        </w:tc>
        <w:tc>
          <w:tcPr/>
          <w:p>
            <w:pPr>
              <w:pStyle w:val="Compact"/>
              <w:jc w:val="left"/>
            </w:pPr>
            <w:r>
              <w:t xml:space="preserve">约 +20%</w:t>
            </w:r>
            <w:r>
              <w:t xml:space="preserve"> </w:t>
            </w:r>
            <w:r>
              <w:rPr>
                <w:vertAlign w:val="superscript"/>
              </w:rPr>
              <w:footnoteReference w:id="36"/>
            </w:r>
          </w:p>
        </w:tc>
        <w:tc>
          <w:tcPr/>
          <w:p>
            <w:pPr>
              <w:pStyle w:val="Compact"/>
              <w:jc w:val="left"/>
            </w:pPr>
            <w:r>
              <w:t xml:space="preserve">摩根士丹利</w:t>
            </w:r>
          </w:p>
        </w:tc>
      </w:tr>
      <w:tr>
        <w:tc>
          <w:tcPr/>
          <w:p>
            <w:pPr>
              <w:pStyle w:val="Compact"/>
              <w:jc w:val="left"/>
            </w:pPr>
            <w:r>
              <w:t xml:space="preserve">DRAM（财新累计口径）</w:t>
            </w:r>
          </w:p>
        </w:tc>
        <w:tc>
          <w:tcPr/>
          <w:p>
            <w:pPr>
              <w:pStyle w:val="Compact"/>
              <w:jc w:val="left"/>
            </w:pPr>
            <w:r>
              <w:t xml:space="preserve">2026H1 累计</w:t>
            </w:r>
          </w:p>
        </w:tc>
        <w:tc>
          <w:tcPr/>
          <w:p>
            <w:pPr>
              <w:pStyle w:val="Compact"/>
              <w:jc w:val="left"/>
            </w:pPr>
            <w:r>
              <w:t xml:space="preserve">超 +340%</w:t>
            </w:r>
            <w:r>
              <w:t xml:space="preserve"> </w:t>
            </w:r>
            <w:fldSimple w:instr="NOTEREF _Ref_Footnote_29 \h \f">
              <w:r>
                <w:rPr>
                  <w:vertAlign w:val="superscript"/>
                </w:rPr>
                <w:t>29</w:t>
              </w:r>
            </w:fldSimple>
          </w:p>
        </w:tc>
        <w:tc>
          <w:tcPr/>
          <w:p>
            <w:pPr>
              <w:pStyle w:val="Compact"/>
              <w:jc w:val="left"/>
            </w:pPr>
            <w:r>
              <w:t xml:space="preserve">财新数据</w:t>
            </w:r>
          </w:p>
        </w:tc>
      </w:tr>
      <w:tr>
        <w:tc>
          <w:tcPr/>
          <w:p>
            <w:pPr>
              <w:pStyle w:val="Compact"/>
              <w:jc w:val="left"/>
            </w:pPr>
            <w:r>
              <w:t xml:space="preserve">NAND（财新累计口径）</w:t>
            </w:r>
          </w:p>
        </w:tc>
        <w:tc>
          <w:tcPr/>
          <w:p>
            <w:pPr>
              <w:pStyle w:val="Compact"/>
              <w:jc w:val="left"/>
            </w:pPr>
            <w:r>
              <w:t xml:space="preserve">2026H1 累计</w:t>
            </w:r>
          </w:p>
        </w:tc>
        <w:tc>
          <w:tcPr/>
          <w:p>
            <w:pPr>
              <w:pStyle w:val="Compact"/>
              <w:jc w:val="left"/>
            </w:pPr>
            <w:r>
              <w:t xml:space="preserve">超 +320%</w:t>
            </w:r>
            <w:r>
              <w:t xml:space="preserve"> </w:t>
            </w:r>
            <w:fldSimple w:instr="NOTEREF _Ref_Footnote_29 \h \f">
              <w:r>
                <w:rPr>
                  <w:vertAlign w:val="superscript"/>
                </w:rPr>
                <w:t>29</w:t>
              </w:r>
            </w:fldSimple>
          </w:p>
        </w:tc>
        <w:tc>
          <w:tcPr/>
          <w:p>
            <w:pPr>
              <w:pStyle w:val="Compact"/>
              <w:jc w:val="left"/>
            </w:pPr>
            <w:r>
              <w:t xml:space="preserve">财新数据</w:t>
            </w:r>
          </w:p>
        </w:tc>
      </w:tr>
    </w:tbl>
    <w:p>
      <w:pPr>
        <w:pStyle w:val="BodyText"/>
      </w:pPr>
      <w:r>
        <w:t xml:space="preserve">注：财新累计口径含现货与合约价格的综合涨幅，与 TrendForce 合约价口径不可直接相加比较。</w:t>
      </w:r>
    </w:p>
    <w:p>
      <w:pPr>
        <w:pStyle w:val="BodyText"/>
      </w:pPr>
      <w:r>
        <w:t xml:space="preserve">从表中可以读出三层含义。其一，涨价弹性排序为 SLC NAND＞NOR＞主流 DRAM/NAND，利基品类的斜率约为主流品类的两倍以上，这直接解释了以 SLC NAND 为主力产品的东芯股份一季度的业绩弹性。其二，SLC NAND 下半年预估在一个月内由 +70~75% 上修至 +120~170%，上修的驱动是 MLC 供给极度短缺迫使工控、车用、网通客户转单 SLC，叠加 AI 边缘运算需求</w:t>
      </w:r>
      <w:fldSimple w:instr="NOTEREF _Ref_Footnote_35 \h \f">
        <w:r>
          <w:rPr>
            <w:vertAlign w:val="superscript"/>
          </w:rPr>
          <w:t>35</w:t>
        </w:r>
      </w:fldSimple>
      <w:r>
        <w:t xml:space="preserve">，说明涨价正在沿”主流→利基→利基内部品类轮动”的路径传导，而非单点脉冲。其三，涨价已从现货市场进入订单与报表层面：聚辰半导体 7 月 6 日起对全系列 NOR 提价 25%，部分下游客户从 DDR4 切回 DDR3 形成回流需求</w:t>
      </w:r>
      <w:r>
        <w:rPr>
          <w:vertAlign w:val="superscript"/>
        </w:rPr>
        <w:footnoteReference w:id="37"/>
      </w:r>
      <w:r>
        <w:t xml:space="preserve">；产业侧华邦 2026 及 2027 年产能已全数售罄</w:t>
      </w:r>
      <w:r>
        <w:rPr>
          <w:vertAlign w:val="superscript"/>
        </w:rPr>
        <w:footnoteReference w:id="38"/>
      </w:r>
      <w:r>
        <w:t xml:space="preserve">。需要提示的是，弗若斯特沙利文估计 2025 年全球专用型存储市场规模仅约 157 亿美元（利基 DRAM 99 亿、NOR 31 亿、SLC NAND 27 亿），属”小而美”赛道，价格弹性大但绝对容量有限</w:t>
      </w:r>
      <w:r>
        <w:rPr>
          <w:vertAlign w:val="superscript"/>
        </w:rPr>
        <w:footnoteReference w:id="39"/>
      </w:r>
      <w:r>
        <w:t xml:space="preserve">。</w:t>
      </w:r>
    </w:p>
    <w:p>
      <w:pPr>
        <w:pStyle w:val="BodyText"/>
      </w:pPr>
      <w:r>
        <w:rPr>
          <w:bCs/>
          <w:b/>
        </w:rPr>
        <w:t xml:space="preserve">图 2-1 主流 vs 利基存储合约价涨幅对比（分时段，2026 年）</w:t>
      </w:r>
    </w:p>
    <w:p>
      <w:pPr>
        <w:pStyle w:val="CaptionedFigure"/>
      </w:pPr>
      <w:r>
        <w:drawing>
          <wp:inline>
            <wp:extent cx="5334000" cy="3276599"/>
            <wp:effectExtent b="0" l="0" r="0" t="0"/>
            <wp:docPr descr="主流 vs 利基存储合约价涨幅对比" title="" id="36" name="Picture"/>
            <a:graphic>
              <a:graphicData uri="http://schemas.openxmlformats.org/drawingml/2006/picture">
                <pic:pic>
                  <pic:nvPicPr>
                    <pic:cNvPr descr="sec02_memory_price_surge.png" id="37" name="Picture"/>
                    <pic:cNvPicPr>
                      <a:picLocks noChangeArrowheads="1" noChangeAspect="1"/>
                    </pic:cNvPicPr>
                  </pic:nvPicPr>
                  <pic:blipFill>
                    <a:blip r:embed="rId35"/>
                    <a:stretch>
                      <a:fillRect/>
                    </a:stretch>
                  </pic:blipFill>
                  <pic:spPr bwMode="auto">
                    <a:xfrm>
                      <a:off x="0" y="0"/>
                      <a:ext cx="5334000" cy="3276599"/>
                    </a:xfrm>
                    <a:prstGeom prst="rect">
                      <a:avLst/>
                    </a:prstGeom>
                    <a:noFill/>
                    <a:ln w="9525">
                      <a:noFill/>
                      <a:headEnd/>
                      <a:tailEnd/>
                    </a:ln>
                  </pic:spPr>
                </pic:pic>
              </a:graphicData>
            </a:graphic>
          </wp:inline>
        </w:drawing>
      </w:r>
    </w:p>
    <w:p>
      <w:pPr>
        <w:pStyle w:val="ImageCaption"/>
      </w:pPr>
      <w:r>
        <w:t xml:space="preserve">主流 vs 利基存储合约价涨幅对比</w:t>
      </w:r>
    </w:p>
    <w:p>
      <w:pPr>
        <w:pStyle w:val="BodyText"/>
      </w:pPr>
      <w:r>
        <w:t xml:space="preserve">图 2-1 直观呈现了涨幅的分层结构：主流 DRAM/NAND 单季涨幅约 55% 至 63%，而利基 SLC NAND 两个半年度累计涨幅均在 120% 以上；即便考虑口径差异（单季环比与半年度累计不可直接比较），利基品类的涨价强度与持续性预期均系统性高于主流品类。摩根士丹利预计利基 DDR4 2026Q3 单季环比再涨约 20%，是图表中唯一涨幅温和的数据点，反映利基 DRAM 的供给收缩烈度弱于 NAND/NOR</w:t>
      </w:r>
      <w:fldSimple w:instr="NOTEREF _Ref_Footnote_36 \h \f">
        <w:r>
          <w:rPr>
            <w:vertAlign w:val="superscript"/>
          </w:rPr>
          <w:t>36</w:t>
        </w:r>
      </w:fldSimple>
      <w:r>
        <w:t xml:space="preserve">。</w:t>
      </w:r>
    </w:p>
    <w:bookmarkEnd w:id="38"/>
    <w:bookmarkEnd w:id="39"/>
    <w:bookmarkStart w:id="42" w:name="周期位置判断"/>
    <w:p>
      <w:pPr>
        <w:pStyle w:val="Heading3"/>
      </w:pPr>
      <w:r>
        <w:t xml:space="preserve">2.2 周期位置判断</w:t>
      </w:r>
    </w:p>
    <w:bookmarkStart w:id="40" w:name="机构共识上行持续至-2027h2-前后利基景气长尾或至-2028"/>
    <w:p>
      <w:pPr>
        <w:pStyle w:val="Heading4"/>
      </w:pPr>
      <w:r>
        <w:t xml:space="preserve">2.2.1 机构共识：上行持续至 2027H2 前后，利基景气长尾或至 2028</w:t>
      </w:r>
    </w:p>
    <w:p>
      <w:pPr>
        <w:pStyle w:val="FirstParagraph"/>
      </w:pPr>
      <w:r>
        <w:t xml:space="preserve">主流机构对周期顶部的判断高度集中于 2027 年。TrendForce 预计服务器 DRAM 合约价上行将持续至 2027H2（涨幅逐步收敛），依据是 2027 年服务器 RDIMM 供给按容量计仅增长 15% 至 20%，远落后于 CPU 出货增速</w:t>
      </w:r>
      <w:r>
        <w:rPr>
          <w:vertAlign w:val="superscript"/>
        </w:rPr>
        <w:footnoteReference w:id="40"/>
      </w:r>
      <w:r>
        <w:t xml:space="preserve">；华泰证券梳理的市场一致预期为 DRAM 平均售价（ASP）增长至少延续至 2027Q3、NAND ASP 至少延续至 2027Q2</w:t>
      </w:r>
      <w:r>
        <w:rPr>
          <w:vertAlign w:val="superscript"/>
        </w:rPr>
        <w:footnoteReference w:id="41"/>
      </w:r>
      <w:r>
        <w:t xml:space="preserve">；IDC 预计内存供应紧张贯穿 2026 年并持续至 2027 年年中，预测期内价格几乎无望回落至 2025 年水平</w:t>
      </w:r>
      <w:r>
        <w:rPr>
          <w:vertAlign w:val="superscript"/>
        </w:rPr>
        <w:footnoteReference w:id="42"/>
      </w:r>
      <w:r>
        <w:t xml:space="preserve">。利基品类的景气长尾更长：摩根士丹利测算 DDR4 在 2026H2 的供需缺口为 19% 至 20%，2027 至 2028 年缺口仍维持 18% 至 20%</w:t>
      </w:r>
      <w:fldSimple w:instr="NOTEREF _Ref_Footnote_36 \h \f">
        <w:r>
          <w:rPr>
            <w:vertAlign w:val="superscript"/>
          </w:rPr>
          <w:t>36</w:t>
        </w:r>
      </w:fldSimple>
      <w:r>
        <w:t xml:space="preserve">。</w:t>
      </w:r>
    </w:p>
    <w:p>
      <w:pPr>
        <w:pStyle w:val="BodyText"/>
      </w:pPr>
      <w:r>
        <w:t xml:space="preserve">与共识并存的是产业链内部的第一声警报。兆易创新在 6 月 18 日公告中自警”存储行业历史上呈现显著周期性波动，供给与需求终将走向再平衡”，预计 2027 年后随利基 DRAM 产能边际增加，价格可能进入高位震荡</w:t>
      </w:r>
      <w:r>
        <w:rPr>
          <w:vertAlign w:val="superscript"/>
        </w:rPr>
        <w:footnoteReference w:id="43"/>
      </w:r>
      <w:r>
        <w:t xml:space="preserve">。这一表述的含义在于：即便是本轮周期最大的受益者之一，也已在公开文件中为 2027 年后的价格回落预设叙事。综合而言，共识与自警可以统一为一句话——本轮上行大概率延续至 2027 年中至下半年，但 2027 年是价格由”上行”切换为”高位震荡或回落”的高风险窗口。</w:t>
      </w:r>
    </w:p>
    <w:bookmarkEnd w:id="40"/>
    <w:bookmarkStart w:id="41" w:name="分歧点涨幅收窄的性质终端需求隐忧与模组厂库存红利耗尽"/>
    <w:p>
      <w:pPr>
        <w:pStyle w:val="Heading4"/>
      </w:pPr>
      <w:r>
        <w:t xml:space="preserve">2.2.2 分歧点：涨幅收窄的性质、终端需求隐忧与模组厂库存红利耗尽</w:t>
      </w:r>
    </w:p>
    <w:p>
      <w:pPr>
        <w:pStyle w:val="FirstParagraph"/>
      </w:pPr>
      <w:r>
        <w:t xml:space="preserve">当前市场的分歧不在于”涨不涨”，而在于”以什么斜率涨到何时”。第一个分歧点是 2026Q3 涨幅收窄的性质：TrendForce 明确指出，Q3 涨幅收敛的主因是买方支付意愿下降——存储价格已高到 PC、手机与消费类厂商无法全部接受，市场正”缓慢接近痛苦阈值”，而非供给改善</w:t>
      </w:r>
      <w:r>
        <w:rPr>
          <w:vertAlign w:val="superscript"/>
        </w:rPr>
        <w:footnoteReference w:id="44"/>
      </w:r>
      <w:r>
        <w:t xml:space="preserve">。乐观方据此认为收窄仅是高价抑制需求的降温信号；谨慎方则认为买方抵制正是每一轮周期见顶前的标准前兆，两种解读目前均无证伪对方的证据。</w:t>
      </w:r>
    </w:p>
    <w:p>
      <w:pPr>
        <w:pStyle w:val="BodyText"/>
      </w:pPr>
      <w:r>
        <w:t xml:space="preserve">第二个分歧点是终端需求的破坏已经发生。2026Q2 全球智能手机出货 2.775 亿部、同比下降 6.7%，三家调研机构一致将主因归于存储短缺与成本抬升；IDC 预计 2026 全年手机出货下降 12.9%，为十余年最低</w:t>
      </w:r>
      <w:r>
        <w:rPr>
          <w:vertAlign w:val="superscript"/>
        </w:rPr>
        <w:footnoteReference w:id="45"/>
      </w:r>
      <w:r>
        <w:t xml:space="preserve"> </w:t>
      </w:r>
      <w:fldSimple w:instr="NOTEREF _Ref_Footnote_42 \h \f">
        <w:r>
          <w:rPr>
            <w:vertAlign w:val="superscript"/>
          </w:rPr>
          <w:t>42</w:t>
        </w:r>
      </w:fldSimple>
      <w:r>
        <w:t xml:space="preserve">。对利基存储而言，手机与消费类恰是 NOR 与中小容量 NAND 的基本盘，需求的量减会否最终压过供给的收缩，是 2027 年景气假设的最大软肋。第三个分歧点是中游利润池的变化：模组厂的低价库存红利正在耗尽，德明利因 Q2 毛利率预期放缓遭遇两日跌停，财新报道确认”随着低价库存逐步消化及新采购成本上行，毛利率预期将逐步放缓”</w:t>
      </w:r>
      <w:fldSimple w:instr="NOTEREF _Ref_Footnote_7 \h \f">
        <w:r>
          <w:rPr>
            <w:vertAlign w:val="superscript"/>
          </w:rPr>
          <w:t>7</w:t>
        </w:r>
      </w:fldSimple>
      <w:r>
        <w:t xml:space="preserve">——涨价红利正从渠道与模组环节向上游原厂与设计公司集中，这对东芯等 fabless 设计公司反而是相对有利的结构。此外，2027 年云厂商资本开支一致预期已小幅下修，申万宏源提示若 AI 利润兑现不及预期，上游基建将面临”严重的周期洗礼”</w:t>
      </w:r>
      <w:fldSimple w:instr="NOTEREF _Ref_Footnote_41 \h \f">
        <w:r>
          <w:rPr>
            <w:vertAlign w:val="superscript"/>
          </w:rPr>
          <w:t>41</w:t>
        </w:r>
      </w:fldSimple>
      <w:r>
        <w:t xml:space="preserve">，构成共识之外的系统性尾部风险。</w:t>
      </w:r>
    </w:p>
    <w:bookmarkEnd w:id="41"/>
    <w:bookmarkEnd w:id="42"/>
    <w:bookmarkStart w:id="45" w:name="资本市场映射"/>
    <w:p>
      <w:pPr>
        <w:pStyle w:val="Heading3"/>
      </w:pPr>
      <w:r>
        <w:t xml:space="preserve">2.3 资本市场映射</w:t>
      </w:r>
    </w:p>
    <w:bookmarkStart w:id="43" w:name="长鑫科技-ipo-与长江存储拟上市板块估值体系的重塑"/>
    <w:p>
      <w:pPr>
        <w:pStyle w:val="Heading4"/>
      </w:pPr>
      <w:r>
        <w:t xml:space="preserve">2.3.1 长鑫科技 IPO 与长江存储拟上市：板块估值体系的重塑</w:t>
      </w:r>
    </w:p>
    <w:p>
      <w:pPr>
        <w:pStyle w:val="FirstParagraph"/>
      </w:pPr>
      <w:r>
        <w:t xml:space="preserve">本轮周期在资本市场最重要的映射事件是国产存储龙头的集中证券化。长鑫科技 7 月 14 日以 8.66 元/股定价、7 月 16 日申购，预计募资约 579 亿元（绿鞋全额行使后达 666 亿元），发行市值约 5792 亿元，创科创板开板以来第二大 IPO 纪录，对应发行市盈率约 278 倍；该市值明显低于市场此前 1 万亿至 3 万亿元的预期</w:t>
      </w:r>
      <w:r>
        <w:rPr>
          <w:vertAlign w:val="superscript"/>
        </w:rPr>
        <w:footnoteReference w:id="46"/>
      </w:r>
      <w:r>
        <w:t xml:space="preserve">。基本面支撑同样罕见：长鑫 2026Q1 营收 508 亿元、同比增长 719%，归母净利润 247.62 亿元</w:t>
      </w:r>
      <w:r>
        <w:rPr>
          <w:vertAlign w:val="superscript"/>
        </w:rPr>
        <w:footnoteReference w:id="47"/>
      </w:r>
      <w:r>
        <w:t xml:space="preserve">。长江存储母公司长存集团已于 2026 年 5 月 19 日完成 IPO 辅导备案，市场预期发行估值约 2000 亿至 3000 亿元，最快于 2026Q4 至 2027H1 上市</w:t>
      </w:r>
      <w:r>
        <w:rPr>
          <w:vertAlign w:val="superscript"/>
        </w:rPr>
        <w:footnoteReference w:id="48"/>
      </w:r>
      <w:r>
        <w:t xml:space="preserve">。</w:t>
      </w:r>
    </w:p>
    <w:p>
      <w:pPr>
        <w:pStyle w:val="BodyText"/>
      </w:pPr>
      <w:r>
        <w:t xml:space="preserve">两存上市对板块估值体系的重塑体现在两个方向。正向看，龙头以高盈利、高增速登陆公开市场，为整个板块提供了可交易的估值锚：财新引 iFinD 数据显示 A 股存储芯片行业 2026 年预测市盈率中枢为 55.2 至 59.8 倍</w:t>
      </w:r>
      <w:r>
        <w:rPr>
          <w:vertAlign w:val="superscript"/>
        </w:rPr>
        <w:footnoteReference w:id="49"/>
      </w:r>
      <w:r>
        <w:t xml:space="preserve">；国泰海通进一步指出，长协锁单使周期波动边际收敛，板块估值逻辑正从周期性博弈转向基于盈利确定性的重新定价</w:t>
      </w:r>
      <w:r>
        <w:rPr>
          <w:vertAlign w:val="superscript"/>
        </w:rPr>
        <w:footnoteReference w:id="50"/>
      </w:r>
      <w:r>
        <w:t xml:space="preserve">。反向看，</w:t>
      </w:r>
      <w:r>
        <w:t xml:space="preserve">“</w:t>
      </w:r>
      <w:r>
        <w:t xml:space="preserve">周期股在顶部附近巨型 IPO</w:t>
      </w:r>
      <w:r>
        <w:t xml:space="preserve">”</w:t>
      </w:r>
      <w:r>
        <w:t xml:space="preserve">的历史经验令部分资金警觉，5792 亿元的发行市值较预期折半本身即被解读为发行方对周期位置的谨慎定价，且长鑫挂牌后的资金分流与”资金向龙头集中、中小存储概念股估值回调”的压力已在卖方提示之列</w:t>
      </w:r>
      <w:r>
        <w:rPr>
          <w:vertAlign w:val="superscript"/>
        </w:rPr>
        <w:footnoteReference w:id="51"/>
      </w:r>
      <w:r>
        <w:t xml:space="preserve">。</w:t>
      </w:r>
    </w:p>
    <w:bookmarkEnd w:id="43"/>
    <w:bookmarkStart w:id="44" w:name="a-股存储板块-2026-年表现与-716-全球共振回调的性质判定"/>
    <w:p>
      <w:pPr>
        <w:pStyle w:val="Heading4"/>
      </w:pPr>
      <w:r>
        <w:t xml:space="preserve">2.3.2 A 股存储板块 2026 年表现与 7/16 全球共振回调的性质判定</w:t>
      </w:r>
    </w:p>
    <w:p>
      <w:pPr>
        <w:pStyle w:val="FirstParagraph"/>
      </w:pPr>
      <w:r>
        <w:t xml:space="preserve">2026 年以来 A 股存储板块经历了剧烈的重估与回撤。7 月 16 日板块全线重挫，存储芯片板块指数一度下跌 5%，澜起科技收跌 17.2% 领跌</w:t>
      </w:r>
      <w:r>
        <w:rPr>
          <w:vertAlign w:val="superscript"/>
        </w:rPr>
        <w:footnoteReference w:id="52"/>
      </w:r>
      <w:r>
        <w:t xml:space="preserve">，主要个股表现如下表所示。</w:t>
      </w:r>
    </w:p>
    <w:p>
      <w:pPr>
        <w:pStyle w:val="BodyText"/>
      </w:pPr>
      <w:r>
        <w:rPr>
          <w:bCs/>
          <w:b/>
        </w:rPr>
        <w:t xml:space="preserve">表 2-2 A 股存储板块主要个股 7/16 表现与 2026 年以来涨幅（7/16 收盘）</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公司</w:t>
            </w:r>
          </w:p>
        </w:tc>
        <w:tc>
          <w:tcPr/>
          <w:p>
            <w:pPr>
              <w:pStyle w:val="Compact"/>
              <w:jc w:val="left"/>
            </w:pPr>
            <w:r>
              <w:t xml:space="preserve">代码</w:t>
            </w:r>
          </w:p>
        </w:tc>
        <w:tc>
          <w:tcPr/>
          <w:p>
            <w:pPr>
              <w:pStyle w:val="Compact"/>
              <w:jc w:val="left"/>
            </w:pPr>
            <w:r>
              <w:t xml:space="preserve">7/16 涨跌幅</w:t>
            </w:r>
          </w:p>
        </w:tc>
        <w:tc>
          <w:tcPr/>
          <w:p>
            <w:pPr>
              <w:pStyle w:val="Compact"/>
              <w:jc w:val="left"/>
            </w:pPr>
            <w:r>
              <w:t xml:space="preserve">2026 YTD</w:t>
            </w:r>
          </w:p>
        </w:tc>
        <w:tc>
          <w:tcPr/>
          <w:p>
            <w:pPr>
              <w:pStyle w:val="Compact"/>
              <w:jc w:val="left"/>
            </w:pPr>
            <w:r>
              <w:t xml:space="preserve">总市值（亿元）</w:t>
            </w:r>
          </w:p>
        </w:tc>
        <w:tc>
          <w:tcPr/>
          <w:p>
            <w:pPr>
              <w:pStyle w:val="Compact"/>
              <w:jc w:val="left"/>
            </w:pPr>
            <w:r>
              <w:t xml:space="preserve">2026E PE（倍）</w:t>
            </w:r>
          </w:p>
        </w:tc>
      </w:tr>
      <w:tr>
        <w:tc>
          <w:tcPr/>
          <w:p>
            <w:pPr>
              <w:pStyle w:val="Compact"/>
              <w:jc w:val="left"/>
            </w:pPr>
            <w:r>
              <w:t xml:space="preserve">普冉股份</w:t>
            </w:r>
          </w:p>
        </w:tc>
        <w:tc>
          <w:tcPr/>
          <w:p>
            <w:pPr>
              <w:pStyle w:val="Compact"/>
              <w:jc w:val="left"/>
            </w:pPr>
            <w:r>
              <w:t xml:space="preserve">688766.SH</w:t>
            </w:r>
          </w:p>
        </w:tc>
        <w:tc>
          <w:tcPr/>
          <w:p>
            <w:pPr>
              <w:pStyle w:val="Compact"/>
              <w:jc w:val="left"/>
            </w:pPr>
            <w:r>
              <w:t xml:space="preserve">-9.00%</w:t>
            </w:r>
            <w:r>
              <w:t xml:space="preserve"> </w:t>
            </w:r>
            <w:r>
              <w:rPr>
                <w:vertAlign w:val="superscript"/>
              </w:rPr>
              <w:footnoteReference w:id="53"/>
            </w:r>
          </w:p>
        </w:tc>
        <w:tc>
          <w:tcPr/>
          <w:p>
            <w:pPr>
              <w:pStyle w:val="Compact"/>
              <w:jc w:val="left"/>
            </w:pPr>
            <w:r>
              <w:t xml:space="preserve">+313.5%</w:t>
            </w:r>
            <w:r>
              <w:t xml:space="preserve"> </w:t>
            </w:r>
            <w:fldSimple w:instr="NOTEREF _Ref_Footnote_53 \h \f">
              <w:r>
                <w:rPr>
                  <w:vertAlign w:val="superscript"/>
                </w:rPr>
                <w:t>53</w:t>
              </w:r>
            </w:fldSimple>
          </w:p>
        </w:tc>
        <w:tc>
          <w:tcPr/>
          <w:p>
            <w:pPr>
              <w:pStyle w:val="Compact"/>
              <w:jc w:val="left"/>
            </w:pPr>
            <w:r>
              <w:t xml:space="preserve">782</w:t>
            </w:r>
          </w:p>
        </w:tc>
        <w:tc>
          <w:tcPr/>
          <w:p>
            <w:pPr>
              <w:pStyle w:val="Compact"/>
              <w:jc w:val="left"/>
            </w:pPr>
            <w:r>
              <w:t xml:space="preserve">72.8</w:t>
            </w:r>
          </w:p>
        </w:tc>
      </w:tr>
      <w:tr>
        <w:tc>
          <w:tcPr/>
          <w:p>
            <w:pPr>
              <w:pStyle w:val="Compact"/>
              <w:jc w:val="left"/>
            </w:pPr>
            <w:r>
              <w:t xml:space="preserve">德明利</w:t>
            </w:r>
          </w:p>
        </w:tc>
        <w:tc>
          <w:tcPr/>
          <w:p>
            <w:pPr>
              <w:pStyle w:val="Compact"/>
              <w:jc w:val="left"/>
            </w:pPr>
            <w:r>
              <w:t xml:space="preserve">001309.SZ</w:t>
            </w:r>
          </w:p>
        </w:tc>
        <w:tc>
          <w:tcPr/>
          <w:p>
            <w:pPr>
              <w:pStyle w:val="Compact"/>
              <w:jc w:val="left"/>
            </w:pPr>
            <w:r>
              <w:t xml:space="preserve">-10.00%（跌停）</w:t>
            </w:r>
            <w:fldSimple w:instr="NOTEREF _Ref_Footnote_7 \h \f">
              <w:r>
                <w:rPr>
                  <w:vertAlign w:val="superscript"/>
                </w:rPr>
                <w:t>7</w:t>
              </w:r>
            </w:fldSimple>
          </w:p>
        </w:tc>
        <w:tc>
          <w:tcPr/>
          <w:p>
            <w:pPr>
              <w:pStyle w:val="Compact"/>
              <w:jc w:val="left"/>
            </w:pPr>
            <w:r>
              <w:t xml:space="preserve">+157.1%</w:t>
            </w:r>
            <w:r>
              <w:t xml:space="preserve"> </w:t>
            </w:r>
            <w:fldSimple w:instr="NOTEREF _Ref_Footnote_53 \h \f">
              <w:r>
                <w:rPr>
                  <w:vertAlign w:val="superscript"/>
                </w:rPr>
                <w:t>53</w:t>
              </w:r>
            </w:fldSimple>
          </w:p>
        </w:tc>
        <w:tc>
          <w:tcPr/>
          <w:p>
            <w:pPr>
              <w:pStyle w:val="Compact"/>
              <w:jc w:val="left"/>
            </w:pPr>
            <w:r>
              <w:t xml:space="preserve">1,352</w:t>
            </w:r>
          </w:p>
        </w:tc>
        <w:tc>
          <w:tcPr/>
          <w:p>
            <w:pPr>
              <w:pStyle w:val="Compact"/>
              <w:jc w:val="left"/>
            </w:pPr>
            <w:r>
              <w:t xml:space="preserve">16.8</w:t>
            </w:r>
          </w:p>
        </w:tc>
      </w:tr>
      <w:tr>
        <w:tc>
          <w:tcPr/>
          <w:p>
            <w:pPr>
              <w:pStyle w:val="Compact"/>
              <w:jc w:val="left"/>
            </w:pPr>
            <w:r>
              <w:t xml:space="preserve">兆易创新</w:t>
            </w:r>
          </w:p>
        </w:tc>
        <w:tc>
          <w:tcPr/>
          <w:p>
            <w:pPr>
              <w:pStyle w:val="Compact"/>
              <w:jc w:val="left"/>
            </w:pPr>
            <w:r>
              <w:t xml:space="preserve">603986.SH</w:t>
            </w:r>
          </w:p>
        </w:tc>
        <w:tc>
          <w:tcPr/>
          <w:p>
            <w:pPr>
              <w:pStyle w:val="Compact"/>
              <w:jc w:val="left"/>
            </w:pPr>
            <w:r>
              <w:t xml:space="preserve">-10.00%（跌停）</w:t>
            </w:r>
            <w:fldSimple w:instr="NOTEREF _Ref_Footnote_7 \h \f">
              <w:r>
                <w:rPr>
                  <w:vertAlign w:val="superscript"/>
                </w:rPr>
                <w:t>7</w:t>
              </w:r>
            </w:fldSimple>
          </w:p>
        </w:tc>
        <w:tc>
          <w:tcPr/>
          <w:p>
            <w:pPr>
              <w:pStyle w:val="Compact"/>
              <w:jc w:val="left"/>
            </w:pPr>
            <w:r>
              <w:t xml:space="preserve">+140.2%</w:t>
            </w:r>
            <w:r>
              <w:t xml:space="preserve"> </w:t>
            </w:r>
            <w:fldSimple w:instr="NOTEREF _Ref_Footnote_53 \h \f">
              <w:r>
                <w:rPr>
                  <w:vertAlign w:val="superscript"/>
                </w:rPr>
                <w:t>53</w:t>
              </w:r>
            </w:fldSimple>
          </w:p>
        </w:tc>
        <w:tc>
          <w:tcPr/>
          <w:p>
            <w:pPr>
              <w:pStyle w:val="Compact"/>
              <w:jc w:val="left"/>
            </w:pPr>
            <w:r>
              <w:t xml:space="preserve">3,611</w:t>
            </w:r>
          </w:p>
        </w:tc>
        <w:tc>
          <w:tcPr/>
          <w:p>
            <w:pPr>
              <w:pStyle w:val="Compact"/>
              <w:jc w:val="left"/>
            </w:pPr>
            <w:r>
              <w:t xml:space="preserve">72.2</w:t>
            </w:r>
          </w:p>
        </w:tc>
      </w:tr>
      <w:tr>
        <w:tc>
          <w:tcPr/>
          <w:p>
            <w:pPr>
              <w:pStyle w:val="Compact"/>
              <w:jc w:val="left"/>
            </w:pPr>
            <w:r>
              <w:t xml:space="preserve">江波龙</w:t>
            </w:r>
          </w:p>
        </w:tc>
        <w:tc>
          <w:tcPr/>
          <w:p>
            <w:pPr>
              <w:pStyle w:val="Compact"/>
              <w:jc w:val="left"/>
            </w:pPr>
            <w:r>
              <w:t xml:space="preserve">301308.SZ</w:t>
            </w:r>
          </w:p>
        </w:tc>
        <w:tc>
          <w:tcPr/>
          <w:p>
            <w:pPr>
              <w:pStyle w:val="Compact"/>
              <w:jc w:val="left"/>
            </w:pPr>
            <w:r>
              <w:t xml:space="preserve">-5.00%</w:t>
            </w:r>
            <w:r>
              <w:t xml:space="preserve"> </w:t>
            </w:r>
            <w:fldSimple w:instr="NOTEREF _Ref_Footnote_7 \h \f">
              <w:r>
                <w:rPr>
                  <w:vertAlign w:val="superscript"/>
                </w:rPr>
                <w:t>7</w:t>
              </w:r>
            </w:fldSimple>
          </w:p>
        </w:tc>
        <w:tc>
          <w:tcPr/>
          <w:p>
            <w:pPr>
              <w:pStyle w:val="Compact"/>
              <w:jc w:val="left"/>
            </w:pPr>
            <w:r>
              <w:t xml:space="preserve">+89.3%</w:t>
            </w:r>
            <w:r>
              <w:t xml:space="preserve"> </w:t>
            </w:r>
            <w:fldSimple w:instr="NOTEREF _Ref_Footnote_53 \h \f">
              <w:r>
                <w:rPr>
                  <w:vertAlign w:val="superscript"/>
                </w:rPr>
                <w:t>53</w:t>
              </w:r>
            </w:fldSimple>
          </w:p>
        </w:tc>
        <w:tc>
          <w:tcPr/>
          <w:p>
            <w:pPr>
              <w:pStyle w:val="Compact"/>
              <w:jc w:val="left"/>
            </w:pPr>
            <w:r>
              <w:t xml:space="preserve">1,961</w:t>
            </w:r>
          </w:p>
        </w:tc>
        <w:tc>
          <w:tcPr/>
          <w:p>
            <w:pPr>
              <w:pStyle w:val="Compact"/>
              <w:jc w:val="left"/>
            </w:pPr>
            <w:r>
              <w:t xml:space="preserve">14.3</w:t>
            </w:r>
          </w:p>
        </w:tc>
      </w:tr>
      <w:tr>
        <w:tc>
          <w:tcPr/>
          <w:p>
            <w:pPr>
              <w:pStyle w:val="Compact"/>
              <w:jc w:val="left"/>
            </w:pPr>
            <w:r>
              <w:t xml:space="preserve">北京君正</w:t>
            </w:r>
          </w:p>
        </w:tc>
        <w:tc>
          <w:tcPr/>
          <w:p>
            <w:pPr>
              <w:pStyle w:val="Compact"/>
              <w:jc w:val="left"/>
            </w:pPr>
            <w:r>
              <w:t xml:space="preserve">300223.SZ</w:t>
            </w:r>
          </w:p>
        </w:tc>
        <w:tc>
          <w:tcPr/>
          <w:p>
            <w:pPr>
              <w:pStyle w:val="Compact"/>
              <w:jc w:val="left"/>
            </w:pPr>
            <w:r>
              <w:t xml:space="preserve">-8.19%</w:t>
            </w:r>
            <w:r>
              <w:t xml:space="preserve"> </w:t>
            </w:r>
            <w:fldSimple w:instr="NOTEREF _Ref_Footnote_53 \h \f">
              <w:r>
                <w:rPr>
                  <w:vertAlign w:val="superscript"/>
                </w:rPr>
                <w:t>53</w:t>
              </w:r>
            </w:fldSimple>
          </w:p>
        </w:tc>
        <w:tc>
          <w:tcPr/>
          <w:p>
            <w:pPr>
              <w:pStyle w:val="Compact"/>
              <w:jc w:val="left"/>
            </w:pPr>
            <w:r>
              <w:t xml:space="preserve">+64.7%</w:t>
            </w:r>
            <w:r>
              <w:t xml:space="preserve"> </w:t>
            </w:r>
            <w:fldSimple w:instr="NOTEREF _Ref_Footnote_53 \h \f">
              <w:r>
                <w:rPr>
                  <w:vertAlign w:val="superscript"/>
                </w:rPr>
                <w:t>53</w:t>
              </w:r>
            </w:fldSimple>
          </w:p>
        </w:tc>
        <w:tc>
          <w:tcPr/>
          <w:p>
            <w:pPr>
              <w:pStyle w:val="Compact"/>
              <w:jc w:val="left"/>
            </w:pPr>
            <w:r>
              <w:t xml:space="preserve">844</w:t>
            </w:r>
          </w:p>
        </w:tc>
        <w:tc>
          <w:tcPr/>
          <w:p>
            <w:pPr>
              <w:pStyle w:val="Compact"/>
              <w:jc w:val="left"/>
            </w:pPr>
            <w:r>
              <w:t xml:space="preserve">71.2</w:t>
            </w:r>
          </w:p>
        </w:tc>
      </w:tr>
      <w:tr>
        <w:tc>
          <w:tcPr/>
          <w:p>
            <w:pPr>
              <w:pStyle w:val="Compact"/>
              <w:jc w:val="left"/>
            </w:pPr>
            <w:r>
              <w:t xml:space="preserve">恒烁股份</w:t>
            </w:r>
          </w:p>
        </w:tc>
        <w:tc>
          <w:tcPr/>
          <w:p>
            <w:pPr>
              <w:pStyle w:val="Compact"/>
              <w:jc w:val="left"/>
            </w:pPr>
            <w:r>
              <w:t xml:space="preserve">688416.SH</w:t>
            </w:r>
          </w:p>
        </w:tc>
        <w:tc>
          <w:tcPr/>
          <w:p>
            <w:pPr>
              <w:pStyle w:val="Compact"/>
              <w:jc w:val="left"/>
            </w:pPr>
            <w:r>
              <w:t xml:space="preserve">-10.60%</w:t>
            </w:r>
            <w:r>
              <w:t xml:space="preserve"> </w:t>
            </w:r>
            <w:fldSimple w:instr="NOTEREF _Ref_Footnote_53 \h \f">
              <w:r>
                <w:rPr>
                  <w:vertAlign w:val="superscript"/>
                </w:rPr>
                <w:t>53</w:t>
              </w:r>
            </w:fldSimple>
          </w:p>
        </w:tc>
        <w:tc>
          <w:tcPr/>
          <w:p>
            <w:pPr>
              <w:pStyle w:val="Compact"/>
              <w:jc w:val="left"/>
            </w:pPr>
            <w:r>
              <w:t xml:space="preserve">+59.9%</w:t>
            </w:r>
            <w:r>
              <w:t xml:space="preserve"> </w:t>
            </w:r>
            <w:fldSimple w:instr="NOTEREF _Ref_Footnote_53 \h \f">
              <w:r>
                <w:rPr>
                  <w:vertAlign w:val="superscript"/>
                </w:rPr>
                <w:t>53</w:t>
              </w:r>
            </w:fldSimple>
          </w:p>
        </w:tc>
        <w:tc>
          <w:tcPr/>
          <w:p>
            <w:pPr>
              <w:pStyle w:val="Compact"/>
              <w:jc w:val="left"/>
            </w:pPr>
            <w:r>
              <w:t xml:space="preserve">95</w:t>
            </w:r>
          </w:p>
        </w:tc>
        <w:tc>
          <w:tcPr/>
          <w:p>
            <w:pPr>
              <w:pStyle w:val="Compact"/>
              <w:jc w:val="left"/>
            </w:pPr>
            <w:r>
              <w:t xml:space="preserve">48.3</w:t>
            </w:r>
          </w:p>
        </w:tc>
      </w:tr>
      <w:tr>
        <w:tc>
          <w:tcPr/>
          <w:p>
            <w:pPr>
              <w:pStyle w:val="Compact"/>
              <w:jc w:val="left"/>
            </w:pPr>
            <w:r>
              <w:t xml:space="preserve">聚辰股份</w:t>
            </w:r>
          </w:p>
        </w:tc>
        <w:tc>
          <w:tcPr/>
          <w:p>
            <w:pPr>
              <w:pStyle w:val="Compact"/>
              <w:jc w:val="left"/>
            </w:pPr>
            <w:r>
              <w:t xml:space="preserve">688123.SH</w:t>
            </w:r>
          </w:p>
        </w:tc>
        <w:tc>
          <w:tcPr/>
          <w:p>
            <w:pPr>
              <w:pStyle w:val="Compact"/>
              <w:jc w:val="left"/>
            </w:pPr>
            <w:r>
              <w:t xml:space="preserve">-8.67%</w:t>
            </w:r>
            <w:r>
              <w:t xml:space="preserve"> </w:t>
            </w:r>
            <w:fldSimple w:instr="NOTEREF _Ref_Footnote_53 \h \f">
              <w:r>
                <w:rPr>
                  <w:vertAlign w:val="superscript"/>
                </w:rPr>
                <w:t>53</w:t>
              </w:r>
            </w:fldSimple>
          </w:p>
        </w:tc>
        <w:tc>
          <w:tcPr/>
          <w:p>
            <w:pPr>
              <w:pStyle w:val="Compact"/>
              <w:jc w:val="left"/>
            </w:pPr>
            <w:r>
              <w:t xml:space="preserve">+26.1%</w:t>
            </w:r>
            <w:r>
              <w:t xml:space="preserve"> </w:t>
            </w:r>
            <w:fldSimple w:instr="NOTEREF _Ref_Footnote_53 \h \f">
              <w:r>
                <w:rPr>
                  <w:vertAlign w:val="superscript"/>
                </w:rPr>
                <w:t>53</w:t>
              </w:r>
            </w:fldSimple>
          </w:p>
        </w:tc>
        <w:tc>
          <w:tcPr/>
          <w:p>
            <w:pPr>
              <w:pStyle w:val="Compact"/>
              <w:jc w:val="left"/>
            </w:pPr>
            <w:r>
              <w:t xml:space="preserve">252</w:t>
            </w:r>
          </w:p>
        </w:tc>
        <w:tc>
          <w:tcPr/>
          <w:p>
            <w:pPr>
              <w:pStyle w:val="Compact"/>
              <w:jc w:val="left"/>
            </w:pPr>
            <w:r>
              <w:t xml:space="preserve">49.3</w:t>
            </w:r>
          </w:p>
        </w:tc>
      </w:tr>
      <w:tr>
        <w:tc>
          <w:tcPr/>
          <w:p>
            <w:pPr>
              <w:pStyle w:val="Compact"/>
              <w:jc w:val="left"/>
            </w:pPr>
            <w:r>
              <w:t xml:space="preserve">东芯股份</w:t>
            </w:r>
          </w:p>
        </w:tc>
        <w:tc>
          <w:tcPr/>
          <w:p>
            <w:pPr>
              <w:pStyle w:val="Compact"/>
              <w:jc w:val="left"/>
            </w:pPr>
            <w:r>
              <w:t xml:space="preserve">688110.SH</w:t>
            </w:r>
          </w:p>
        </w:tc>
        <w:tc>
          <w:tcPr/>
          <w:p>
            <w:pPr>
              <w:pStyle w:val="Compact"/>
              <w:jc w:val="left"/>
            </w:pPr>
            <w:r>
              <w:t xml:space="preserve">-7.35%</w:t>
            </w:r>
            <w:r>
              <w:t xml:space="preserve"> </w:t>
            </w:r>
            <w:fldSimple w:instr="NOTEREF _Ref_Footnote_7 \h \f">
              <w:r>
                <w:rPr>
                  <w:vertAlign w:val="superscript"/>
                </w:rPr>
                <w:t>7</w:t>
              </w:r>
            </w:fldSimple>
          </w:p>
        </w:tc>
        <w:tc>
          <w:tcPr/>
          <w:p>
            <w:pPr>
              <w:pStyle w:val="Compact"/>
              <w:jc w:val="left"/>
            </w:pPr>
            <w:r>
              <w:t xml:space="preserve">+3.9%</w:t>
            </w:r>
            <w:r>
              <w:t xml:space="preserve"> </w:t>
            </w:r>
            <w:fldSimple w:instr="NOTEREF _Ref_Footnote_53 \h \f">
              <w:r>
                <w:rPr>
                  <w:vertAlign w:val="superscript"/>
                </w:rPr>
                <w:t>53</w:t>
              </w:r>
            </w:fldSimple>
          </w:p>
        </w:tc>
        <w:tc>
          <w:tcPr/>
          <w:p>
            <w:pPr>
              <w:pStyle w:val="Compact"/>
              <w:jc w:val="left"/>
            </w:pPr>
            <w:r>
              <w:t xml:space="preserve">604</w:t>
            </w:r>
          </w:p>
        </w:tc>
        <w:tc>
          <w:tcPr/>
          <w:p>
            <w:pPr>
              <w:pStyle w:val="Compact"/>
              <w:jc w:val="left"/>
            </w:pPr>
            <w:r>
              <w:t xml:space="preserve">98.8</w:t>
            </w:r>
          </w:p>
        </w:tc>
      </w:tr>
      <w:tr>
        <w:tc>
          <w:tcPr/>
          <w:p>
            <w:pPr>
              <w:pStyle w:val="Compact"/>
              <w:jc w:val="left"/>
            </w:pPr>
            <w:r>
              <w:t xml:space="preserve">复旦微电</w:t>
            </w:r>
          </w:p>
        </w:tc>
        <w:tc>
          <w:tcPr/>
          <w:p>
            <w:pPr>
              <w:pStyle w:val="Compact"/>
              <w:jc w:val="left"/>
            </w:pPr>
            <w:r>
              <w:t xml:space="preserve">688385.SH</w:t>
            </w:r>
          </w:p>
        </w:tc>
        <w:tc>
          <w:tcPr/>
          <w:p>
            <w:pPr>
              <w:pStyle w:val="Compact"/>
              <w:jc w:val="left"/>
            </w:pPr>
            <w:r>
              <w:t xml:space="preserve">-3.80%</w:t>
            </w:r>
            <w:r>
              <w:t xml:space="preserve"> </w:t>
            </w:r>
            <w:fldSimple w:instr="NOTEREF _Ref_Footnote_53 \h \f">
              <w:r>
                <w:rPr>
                  <w:vertAlign w:val="superscript"/>
                </w:rPr>
                <w:t>53</w:t>
              </w:r>
            </w:fldSimple>
          </w:p>
        </w:tc>
        <w:tc>
          <w:tcPr/>
          <w:p>
            <w:pPr>
              <w:pStyle w:val="Compact"/>
              <w:jc w:val="left"/>
            </w:pPr>
            <w:r>
              <w:t xml:space="preserve">-20.3%</w:t>
            </w:r>
            <w:r>
              <w:t xml:space="preserve"> </w:t>
            </w:r>
            <w:fldSimple w:instr="NOTEREF _Ref_Footnote_53 \h \f">
              <w:r>
                <w:rPr>
                  <w:vertAlign w:val="superscript"/>
                </w:rPr>
                <w:t>53</w:t>
              </w:r>
            </w:fldSimple>
          </w:p>
        </w:tc>
        <w:tc>
          <w:tcPr/>
          <w:p>
            <w:pPr>
              <w:pStyle w:val="Compact"/>
              <w:jc w:val="left"/>
            </w:pPr>
            <w:r>
              <w:t xml:space="preserve">484</w:t>
            </w:r>
          </w:p>
        </w:tc>
        <w:tc>
          <w:tcPr/>
          <w:p>
            <w:pPr>
              <w:pStyle w:val="Compact"/>
              <w:jc w:val="left"/>
            </w:pPr>
            <w:r>
              <w:t xml:space="preserve">54.1</w:t>
            </w:r>
          </w:p>
        </w:tc>
      </w:tr>
    </w:tbl>
    <w:p>
      <w:pPr>
        <w:pStyle w:val="BodyText"/>
      </w:pPr>
      <w:r>
        <w:t xml:space="preserve">注：YTD 为未复权口径；2026E PE 按 7/16 收盘市值除以 iFinD 一致预期 2026 年归母净利润计算。</w:t>
      </w:r>
    </w:p>
    <w:p>
      <w:pPr>
        <w:pStyle w:val="BodyText"/>
      </w:pPr>
      <w:r>
        <w:t xml:space="preserve">对 7/16 回调的性质判定为”全球共振下的资金行为”，依据有三。其一，触发因素均来自外部与情绪面：前一交易日美光、西部数据跌超 8% 形成全球映射，德明利两日跌停引爆板块情绪，叠加长鑫科技当日申购分流约 579 亿元资金，当日并无任何关于合约价转跌或需求崩塌的新增产业证据</w:t>
      </w:r>
      <w:fldSimple w:instr="NOTEREF _Ref_Footnote_7 \h \f">
        <w:r>
          <w:rPr>
            <w:vertAlign w:val="superscript"/>
          </w:rPr>
          <w:t>7</w:t>
        </w:r>
      </w:fldSimple>
      <w:r>
        <w:t xml:space="preserve"> </w:t>
      </w:r>
      <w:fldSimple w:instr="NOTEREF _Ref_Footnote_52 \h \f">
        <w:r>
          <w:rPr>
            <w:vertAlign w:val="superscript"/>
          </w:rPr>
          <w:t>52</w:t>
        </w:r>
      </w:fldSimple>
      <w:r>
        <w:t xml:space="preserve">。其二，下跌的内部结构验证了”涨得多、跌得重”的获利了结逻辑：年内涨幅最大的普冉（+313.5%）、德明利（+157.1%）、兆易（+140.2%）跌幅居前，而 YTD 仅 +3.9% 的东芯与 -20.3% 的复旦微电跌幅相对温和，说明抛售压力与前期涨幅高度相关，属筹码出清而非基本面重估</w:t>
      </w:r>
      <w:fldSimple w:instr="NOTEREF _Ref_Footnote_53 \h \f">
        <w:r>
          <w:rPr>
            <w:vertAlign w:val="superscript"/>
          </w:rPr>
          <w:t>53</w:t>
        </w:r>
      </w:fldSimple>
      <w:r>
        <w:t xml:space="preserve">。其三，估值分层在回调中纹丝未动：设计公司 2026E PE 仍在 48 至 99 倍区间，模组厂仅 14 至 17 倍，市场按”强周期顶部盈利”为模组厂定价、按”涨价持续性”为设计公司定价的框架没有因单日暴跌而改变</w:t>
      </w:r>
      <w:fldSimple w:instr="NOTEREF _Ref_Footnote_53 \h \f">
        <w:r>
          <w:rPr>
            <w:vertAlign w:val="superscript"/>
          </w:rPr>
          <w:t>53</w:t>
        </w:r>
      </w:fldSimple>
      <w:r>
        <w:t xml:space="preserve">。</w:t>
      </w:r>
    </w:p>
    <w:p>
      <w:pPr>
        <w:pStyle w:val="BodyText"/>
      </w:pPr>
      <w:r>
        <w:t xml:space="preserve">综合本章，行业层面对抄底决策给出的前提是：周期未走完（共识指向 2027H2 前后见顶，利基景气或延续至 2028），利基强于主流的涨价结构仍在强化，但涨幅收窄、手机需求走弱与高位拥挤的筹码意味着 2026 下半年起板块波动率将系统性放大。对东芯而言，行业贝塔依然向上，但”涨价持续”的验证窗口将落在 Q3/Q4 合约价谈判与公司 8 月 22 日半年报——这一传导机制的具体路径，将在第 3 章展开。</w:t>
      </w:r>
    </w:p>
    <w:bookmarkEnd w:id="44"/>
    <w:bookmarkEnd w:id="45"/>
    <w:bookmarkEnd w:id="46"/>
    <w:bookmarkStart w:id="58" w:name="产业链图谱与上下游传导"/>
    <w:p>
      <w:pPr>
        <w:pStyle w:val="Heading2"/>
      </w:pPr>
      <w:r>
        <w:t xml:space="preserve">3. 产业链图谱与上下游传导</w:t>
      </w:r>
    </w:p>
    <w:p>
      <w:pPr>
        <w:pStyle w:val="FirstParagraph"/>
      </w:pPr>
      <w:r>
        <w:t xml:space="preserve">东芯股份处于存储产业链的芯片设计环节：上游以晶圆代工与封测产能为成本主体，下游面向网络通信、工业控制、安防、汽车电子等利基市场。本轮周期中，产业链传导呈”</w:t>
      </w:r>
      <w:r>
        <w:rPr>
          <w:bCs/>
          <w:b/>
        </w:rPr>
        <w:t xml:space="preserve">代工端先行提价—设计端售价上调—成本滞后兑现毛利</w:t>
      </w:r>
      <w:r>
        <w:t xml:space="preserve">”的时滞结构，东芯凭借纯设计（Fabless）模式与 SLC NAND 约 65% 的收入占比，成为链条中毛利修复斜率最陡的环节之一；代价是规模最小、客户集中度处历史高位，上下游两端的传导风险对称放大。</w:t>
      </w:r>
    </w:p>
    <w:bookmarkStart w:id="49" w:name="上游晶圆代工与封测"/>
    <w:p>
      <w:pPr>
        <w:pStyle w:val="Heading3"/>
      </w:pPr>
      <w:r>
        <w:t xml:space="preserve">3.1 上游：晶圆代工与封测</w:t>
      </w:r>
    </w:p>
    <w:bookmarkStart w:id="47" w:name="X42d45f9c20c22340803a03a1b36724d74ccd202"/>
    <w:p>
      <w:pPr>
        <w:pStyle w:val="Heading4"/>
      </w:pPr>
      <w:r>
        <w:t xml:space="preserve">3.1.1 东芯双代工体系：中芯国际（1xnm SLC NAND 已量产销售）+ 力积电；封测：紫光宏茂/华润安盛/南茂/盛合晶微</w:t>
      </w:r>
    </w:p>
    <w:p>
      <w:pPr>
        <w:pStyle w:val="FirstParagraph"/>
      </w:pPr>
      <w:r>
        <w:t xml:space="preserve">东芯的晶圆代工集中于”中芯国际 + 力积电”双代工体系，封测由紫光宏茂、华润安盛、南茂科技、AT Semicon 等承担，公开资料未显示公司与华虹存在直接代工合作</w:t>
      </w:r>
      <w:r>
        <w:rPr>
          <w:vertAlign w:val="superscript"/>
        </w:rPr>
        <w:footnoteReference w:id="54"/>
      </w:r>
      <w:r>
        <w:t xml:space="preserve">。SLC NAND 与中芯深度绑定：2015 年在中芯 38nm 平台流片国内首颗 1Gb SLC SPI NAND，制程推进至 24nm，2019 年在力积电 28nm 平台量产</w:t>
      </w:r>
      <w:r>
        <w:rPr>
          <w:vertAlign w:val="superscript"/>
        </w:rPr>
        <w:footnoteReference w:id="55"/>
      </w:r>
      <w:r>
        <w:t xml:space="preserve">；利基 DRAM（DDR3/LPDDR）由力积电代工，NOR 分布于中芯 65nm→55nm 与力积电 48nm 平台</w:t>
      </w:r>
      <w:r>
        <w:rPr>
          <w:vertAlign w:val="superscript"/>
        </w:rPr>
        <w:footnoteReference w:id="56"/>
      </w:r>
      <w:r>
        <w:t xml:space="preserve">。1xnm SLC NAND 基于中芯平台开发，按 2025 年中报口径已实现量产并基于 2xnm 制程扩充料号，公司 2025 年 12 月确认其进入风险量产阶段</w:t>
      </w:r>
      <w:fldSimple w:instr="NOTEREF _Ref_Footnote_54 \h \f">
        <w:r>
          <w:rPr>
            <w:vertAlign w:val="superscript"/>
          </w:rPr>
          <w:t>54</w:t>
        </w:r>
      </w:fldSimple>
      <w:r>
        <w:t xml:space="preserve"> </w:t>
      </w:r>
      <w:r>
        <w:rPr>
          <w:vertAlign w:val="superscript"/>
        </w:rPr>
        <w:footnoteReference w:id="57"/>
      </w:r>
      <w:r>
        <w:t xml:space="preserve">，2026 年 5 月进一步表述为”已实现量产并销售”</w:t>
      </w:r>
      <w:r>
        <w:rPr>
          <w:vertAlign w:val="superscript"/>
        </w:rPr>
        <w:footnoteReference w:id="58"/>
      </w:r>
      <w:r>
        <w:t xml:space="preserve">。双方合作超出一般采购层面：东芯与中芯曾共同开发大陆第一条 NAND Flash 工艺产线</w:t>
      </w:r>
      <w:r>
        <w:rPr>
          <w:vertAlign w:val="superscript"/>
        </w:rPr>
        <w:footnoteReference w:id="59"/>
      </w:r>
      <w:r>
        <w:t xml:space="preserve">。封测端，2026 年 2 月媒体梳理显示，公司已将盛合晶微（大陆 2.5D 封装市占约 85% 的晶圆级封测企业）作为主要封测供应商</w:t>
      </w:r>
      <w:r>
        <w:rPr>
          <w:vertAlign w:val="superscript"/>
        </w:rPr>
        <w:footnoteReference w:id="60"/>
      </w:r>
      <w:r>
        <w:t xml:space="preserve">。</w:t>
      </w:r>
    </w:p>
    <w:p>
      <w:pPr>
        <w:pStyle w:val="BodyText"/>
      </w:pPr>
      <w:r>
        <w:t xml:space="preserve">公司未披露长协锁量条款，采取”本土深度、全球广度”的多供应商策略，并在调研中承认国内产能仍相对紧缺、正加大生产与备货力度</w:t>
      </w:r>
      <w:fldSimple w:instr="NOTEREF _Ref_Footnote_58 \h \f">
        <w:r>
          <w:rPr>
            <w:vertAlign w:val="superscript"/>
          </w:rPr>
          <w:t>58</w:t>
        </w:r>
      </w:fldSimple>
      <w:r>
        <w:t xml:space="preserve">。行业专家纪要则认为，利基设计公司通过与代工厂协商价格仍可获产能保障，主要矛盾在成本上升而非产能短缺</w:t>
      </w:r>
      <w:r>
        <w:rPr>
          <w:vertAlign w:val="superscript"/>
        </w:rPr>
        <w:footnoteReference w:id="61"/>
      </w:r>
      <w:r>
        <w:t xml:space="preserve">——东芯上游风险的本质是”价”而非”量”。</w:t>
      </w:r>
    </w:p>
    <w:bookmarkEnd w:id="47"/>
    <w:bookmarkStart w:id="48" w:name="X50714d6174fcc51ead92056176889fbcd9a9eea"/>
    <w:p>
      <w:pPr>
        <w:pStyle w:val="Heading4"/>
      </w:pPr>
      <w:r>
        <w:t xml:space="preserve">3.1.2 代工涨价传导：中芯 2025-12 起提价约 10%、力积电 +5~10%，成熟制程涨价料至 2027；成本传导时滞保护短期毛利</w:t>
      </w:r>
    </w:p>
    <w:p>
      <w:pPr>
        <w:pStyle w:val="FirstParagraph"/>
      </w:pPr>
      <w:r>
        <w:t xml:space="preserve">代工提价已是确定趋势，且预计延续至 2027 年。据财联社报道，中芯国际 2025 年 12 月已对部分产能提价约 10%</w:t>
      </w:r>
      <w:r>
        <w:rPr>
          <w:vertAlign w:val="superscript"/>
        </w:rPr>
        <w:footnoteReference w:id="62"/>
      </w:r>
      <w:r>
        <w:t xml:space="preserve">；行业信息汇总显示，该轮调价主要覆盖 8 英寸 BCD 工艺平台，2026 年初以来联电、世界先进、力积电、华虹、晶合集成等已确认或计划提价，涨幅普遍在 5% 至 20%</w:t>
      </w:r>
      <w:r>
        <w:rPr>
          <w:vertAlign w:val="superscript"/>
        </w:rPr>
        <w:footnoteReference w:id="63"/>
      </w:r>
      <w:r>
        <w:t xml:space="preserve">。2026Q1 中芯平均销售单价环比再升 2.5%、产能利用率达 93.1%，管理层明确持续协商提价，效应自二季度起明显体现</w:t>
      </w:r>
      <w:r>
        <w:rPr>
          <w:vertAlign w:val="superscript"/>
        </w:rPr>
        <w:footnoteReference w:id="64"/>
      </w:r>
      <w:r>
        <w:t xml:space="preserve">；力积电自 2026 年 3 月起上调成熟制程代工价 5% 至 10%，产能利用率 96%，订单排产至 2026Q3</w:t>
      </w:r>
      <w:r>
        <w:rPr>
          <w:vertAlign w:val="superscript"/>
        </w:rPr>
        <w:footnoteReference w:id="65"/>
      </w:r>
      <w:r>
        <w:t xml:space="preserve">。供给收缩是涨价的底层支撑：TrendForce（集邦咨询）数据显示，截至 2026Q2，全球可用于 NOR、SLC NAND 代工的成熟晶圆产能较 2024 年末收缩 18%，且主要供应商均无新增成熟制程建厂计划</w:t>
      </w:r>
      <w:r>
        <w:rPr>
          <w:vertAlign w:val="superscript"/>
        </w:rPr>
        <w:footnoteReference w:id="66"/>
      </w:r>
      <w:r>
        <w:t xml:space="preserve">，涨价效应预计延伸至 2027 年</w:t>
      </w:r>
      <w:r>
        <w:rPr>
          <w:vertAlign w:val="superscript"/>
        </w:rPr>
        <w:footnoteReference w:id="67"/>
      </w:r>
      <w:r>
        <w:t xml:space="preserve">。</w:t>
      </w:r>
    </w:p>
    <w:p>
      <w:pPr>
        <w:pStyle w:val="BodyText"/>
      </w:pPr>
      <w:r>
        <w:t xml:space="preserve">成本传导的时滞构成设计公司涨价前半段的毛利保护垫。兆易创新明确表示”采购成本上升到销售成本上升有时间滞后性”，代工等成本上涨滞后于售价上涨是本轮毛利率改善的重要原因</w:t>
      </w:r>
      <w:r>
        <w:rPr>
          <w:vertAlign w:val="superscript"/>
        </w:rPr>
        <w:footnoteReference w:id="68"/>
      </w:r>
      <w:r>
        <w:t xml:space="preserve">；东芯亦确认”代工价格整体上涨”，定价将综合考量上游成本传导动态调整</w:t>
      </w:r>
      <w:r>
        <w:rPr>
          <w:vertAlign w:val="superscript"/>
        </w:rPr>
        <w:footnoteReference w:id="69"/>
      </w:r>
      <w:r>
        <w:t xml:space="preserve">。结果是，公司单季毛利率由 2025Q3 的 26.64% 修复至 2026Q1 的 53.17%，两个季度提升约 26.5 个百分点</w:t>
      </w:r>
      <w:fldSimple w:instr="NOTEREF _Ref_Footnote_69 \h \f">
        <w:r>
          <w:rPr>
            <w:vertAlign w:val="superscript"/>
          </w:rPr>
          <w:t>69</w:t>
        </w:r>
      </w:fldSimple>
      <w:r>
        <w:t xml:space="preserve"> </w:t>
      </w:r>
      <w:r>
        <w:rPr>
          <w:vertAlign w:val="superscript"/>
        </w:rPr>
        <w:footnoteReference w:id="70"/>
      </w:r>
      <w:r>
        <w:t xml:space="preserve">。但时滞保护具有窗口期：兆易已预警，售价平稳后成本继续上行将令毛利率转入平稳甚至适度回落</w:t>
      </w:r>
      <w:fldSimple w:instr="NOTEREF _Ref_Footnote_68 \h \f">
        <w:r>
          <w:rPr>
            <w:vertAlign w:val="superscript"/>
          </w:rPr>
          <w:t>68</w:t>
        </w:r>
      </w:fldSimple>
      <w:r>
        <w:t xml:space="preserve">——代工涨价预期延续越久，东芯下半年合约价谈判中向下游转嫁成本的能力，越成为毛利率能否守住的关键变量。</w:t>
      </w:r>
    </w:p>
    <w:bookmarkEnd w:id="48"/>
    <w:bookmarkEnd w:id="49"/>
    <w:bookmarkStart w:id="52" w:name="下游需求结构与应用景气"/>
    <w:p>
      <w:pPr>
        <w:pStyle w:val="Heading3"/>
      </w:pPr>
      <w:r>
        <w:t xml:space="preserve">3.2 下游：需求结构与应用景气</w:t>
      </w:r>
    </w:p>
    <w:bookmarkStart w:id="50" w:name="X2ad8650e6ac4c1f36b6729b319db95f4c6089f5"/>
    <w:p>
      <w:pPr>
        <w:pStyle w:val="Heading4"/>
      </w:pPr>
      <w:r>
        <w:t xml:space="preserve">3.2.1 分品类需求：SLC NAND（通信/光模块/安防）、NOR（IoT/汽车/AI 终端）、利基 DRAM（IoT/安防）、MCP；AI 边缘设备增量</w:t>
      </w:r>
    </w:p>
    <w:p>
      <w:pPr>
        <w:pStyle w:val="FirstParagraph"/>
      </w:pPr>
      <w:r>
        <w:t xml:space="preserve">东芯所处为”小而美”利基赛道：弗若斯特沙利文估计，2025 年全球专用型存储市场约 157 亿美元，其中利基 DRAM 99 亿、NOR Flash 31 亿、SLC NAND 27 亿美元</w:t>
      </w:r>
      <w:fldSimple w:instr="NOTEREF _Ref_Footnote_39 \h \f">
        <w:r>
          <w:rPr>
            <w:vertAlign w:val="superscript"/>
          </w:rPr>
          <w:t>39</w:t>
        </w:r>
      </w:fldSimple>
      <w:r>
        <w:t xml:space="preserve">。分品类看，SLC NAND 为公司第一大品类，依托高可靠性渗透网络通信设备（基站、光模块、路由器）、工业控制、安防监控及车载电子，并向智能家居、可穿戴扩展</w:t>
      </w:r>
      <w:r>
        <w:rPr>
          <w:vertAlign w:val="superscript"/>
        </w:rPr>
        <w:footnoteReference w:id="71"/>
      </w:r>
      <w:r>
        <w:t xml:space="preserve">；它也是本轮涨价最猛的品种，2026H1 合约价累计上涨 130% 至 150%</w:t>
      </w:r>
      <w:r>
        <w:rPr>
          <w:vertAlign w:val="superscript"/>
        </w:rPr>
        <w:footnoteReference w:id="72"/>
      </w:r>
      <w:r>
        <w:t xml:space="preserve">，TrendForce 分析师预计二季度至四季度仍有约 120% 的上涨空间</w:t>
      </w:r>
      <w:r>
        <w:rPr>
          <w:vertAlign w:val="superscript"/>
        </w:rPr>
        <w:footnoteReference w:id="73"/>
      </w:r>
      <w:r>
        <w:t xml:space="preserve">。NOR 需求由物联网、汽车电子与 AI 终端驱动：公司判断 AI PC 代码量增长驱动容量升级，AI 眼镜单机 NOR 用量可达 64Mb 至 128Mb，智能耳机客户已导入 128Mb/256Mb 产品</w:t>
      </w:r>
      <w:r>
        <w:rPr>
          <w:vertAlign w:val="superscript"/>
        </w:rPr>
        <w:footnoteReference w:id="74"/>
      </w:r>
      <w:r>
        <w:t xml:space="preserve">。利基 DRAM 受原厂产能转向 DDR5/HBM 的挤出，2026Q1 消费型 DRAM 价格累计上涨 75% 至 80%</w:t>
      </w:r>
      <w:r>
        <w:rPr>
          <w:vertAlign w:val="superscript"/>
        </w:rPr>
        <w:footnoteReference w:id="75"/>
      </w:r>
      <w:r>
        <w:t xml:space="preserve">，摩根士丹利预计 DDR4 下半年供需缺口 19% 至 20%</w:t>
      </w:r>
      <w:fldSimple w:instr="NOTEREF _Ref_Footnote_39 \h \f">
        <w:r>
          <w:rPr>
            <w:vertAlign w:val="superscript"/>
          </w:rPr>
          <w:t>39</w:t>
        </w:r>
      </w:fldSimple>
      <w:r>
        <w:t xml:space="preserve">；东芯产品覆盖机顶盒、安防/工控与车载信息娱乐，LPDDR4X 已量产</w:t>
      </w:r>
      <w:fldSimple w:instr="NOTEREF _Ref_Footnote_71 \h \f">
        <w:r>
          <w:rPr>
            <w:vertAlign w:val="superscript"/>
          </w:rPr>
          <w:t>71</w:t>
        </w:r>
      </w:fldSimple>
      <w:r>
        <w:t xml:space="preserve">。MCP 聚焦工业物联网与车载 T-BOX，在国内新能源车原装市场占比较高</w:t>
      </w:r>
      <w:fldSimple w:instr="NOTEREF _Ref_Footnote_74 \h \f">
        <w:r>
          <w:rPr>
            <w:vertAlign w:val="superscript"/>
          </w:rPr>
          <w:t>74</w:t>
        </w:r>
      </w:fldSimple>
      <w:r>
        <w:t xml:space="preserve">；车规存储市场预计由 2023 年 47.6 亿美元增至 2028 年 102.5 亿美元（复合增速约 16.6%），构成中期需求期权</w:t>
      </w:r>
      <w:r>
        <w:rPr>
          <w:vertAlign w:val="superscript"/>
        </w:rPr>
        <w:footnoteReference w:id="76"/>
      </w:r>
      <w:r>
        <w:t xml:space="preserve">。</w:t>
      </w:r>
    </w:p>
    <w:bookmarkEnd w:id="50"/>
    <w:bookmarkStart w:id="51" w:name="X8decfb68916420633254277bcf2455ae53aee68"/>
    <w:p>
      <w:pPr>
        <w:pStyle w:val="Heading4"/>
      </w:pPr>
      <w:r>
        <w:t xml:space="preserve">3.2.2 弹性排序验证：NAND（占营收 65%）＞ MCP（25%）＞ DRAM（6%）＞ NOR（4%）；2026Q1 业绩已兑现弹性</w:t>
      </w:r>
    </w:p>
    <w:p>
      <w:pPr>
        <w:pStyle w:val="FirstParagraph"/>
      </w:pPr>
      <w:r>
        <w:t xml:space="preserve">2025 年公司 NAND 收入 6.01 亿元（同比 +64.21%）、占营收约 65%，MCP 收入 2.31 亿元（+39.14%）、占约 25%，DRAM 与 NOR 分别仅占约 6% 与 4% 且当年均负增长</w:t>
      </w:r>
      <w:fldSimple w:instr="NOTEREF _Ref_Footnote_71 \h \f">
        <w:r>
          <w:rPr>
            <w:vertAlign w:val="superscript"/>
          </w:rPr>
          <w:t>71</w:t>
        </w:r>
      </w:fldSimple>
      <w:r>
        <w:t xml:space="preserve">。收入权重与涨价幅度的乘积决定弹性排序为</w:t>
      </w:r>
      <w:r>
        <w:t xml:space="preserve"> </w:t>
      </w:r>
      <w:r>
        <w:rPr>
          <w:bCs/>
          <w:b/>
        </w:rPr>
        <w:t xml:space="preserve">NAND＞MCP＞DRAM＞NOR</w:t>
      </w:r>
      <w:r>
        <w:t xml:space="preserve">，2026Q1 业绩已兑现该排序。</w:t>
      </w:r>
    </w:p>
    <w:p>
      <w:pPr>
        <w:pStyle w:val="BodyText"/>
      </w:pPr>
      <w:r>
        <w:rPr>
          <w:bCs/>
          <w:b/>
        </w:rPr>
        <w:t xml:space="preserve">表 3-1 东芯股份分品类收入占比与需求弹性（2025 年年报口径）</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产品线</w:t>
            </w:r>
          </w:p>
        </w:tc>
        <w:tc>
          <w:tcPr/>
          <w:p>
            <w:pPr>
              <w:pStyle w:val="Compact"/>
              <w:jc w:val="left"/>
            </w:pPr>
            <w:r>
              <w:t xml:space="preserve">2025 收入（亿元）</w:t>
            </w:r>
          </w:p>
        </w:tc>
        <w:tc>
          <w:tcPr/>
          <w:p>
            <w:pPr>
              <w:pStyle w:val="Compact"/>
              <w:jc w:val="left"/>
            </w:pPr>
            <w:r>
              <w:t xml:space="preserve">收入同比</w:t>
            </w:r>
          </w:p>
        </w:tc>
        <w:tc>
          <w:tcPr/>
          <w:p>
            <w:pPr>
              <w:pStyle w:val="Compact"/>
              <w:jc w:val="left"/>
            </w:pPr>
            <w:r>
              <w:t xml:space="preserve">占营收比重</w:t>
            </w:r>
          </w:p>
        </w:tc>
        <w:tc>
          <w:tcPr/>
          <w:p>
            <w:pPr>
              <w:pStyle w:val="Compact"/>
              <w:jc w:val="left"/>
            </w:pPr>
            <w:r>
              <w:t xml:space="preserve">2025 毛利率</w:t>
            </w:r>
          </w:p>
        </w:tc>
        <w:tc>
          <w:tcPr/>
          <w:p>
            <w:pPr>
              <w:pStyle w:val="Compact"/>
              <w:jc w:val="left"/>
            </w:pPr>
            <w:r>
              <w:t xml:space="preserve">2026H1 价格弹性</w:t>
            </w:r>
          </w:p>
        </w:tc>
        <w:tc>
          <w:tcPr/>
          <w:p>
            <w:pPr>
              <w:pStyle w:val="Compact"/>
              <w:jc w:val="left"/>
            </w:pPr>
            <w:r>
              <w:t xml:space="preserve">需求弹性判断</w:t>
            </w:r>
          </w:p>
        </w:tc>
      </w:tr>
      <w:tr>
        <w:tc>
          <w:tcPr/>
          <w:p>
            <w:pPr>
              <w:pStyle w:val="Compact"/>
              <w:jc w:val="left"/>
            </w:pPr>
            <w:r>
              <w:t xml:space="preserve">SLC NAND</w:t>
            </w:r>
          </w:p>
        </w:tc>
        <w:tc>
          <w:tcPr/>
          <w:p>
            <w:pPr>
              <w:pStyle w:val="Compact"/>
              <w:jc w:val="left"/>
            </w:pPr>
            <w:r>
              <w:t xml:space="preserve">6.01</w:t>
            </w:r>
            <w:r>
              <w:t xml:space="preserve"> </w:t>
            </w:r>
            <w:fldSimple w:instr="NOTEREF _Ref_Footnote_71 \h \f">
              <w:r>
                <w:rPr>
                  <w:vertAlign w:val="superscript"/>
                </w:rPr>
                <w:t>71</w:t>
              </w:r>
            </w:fldSimple>
          </w:p>
        </w:tc>
        <w:tc>
          <w:tcPr/>
          <w:p>
            <w:pPr>
              <w:pStyle w:val="Compact"/>
              <w:jc w:val="left"/>
            </w:pPr>
            <w:r>
              <w:t xml:space="preserve">+64.21%</w:t>
            </w:r>
            <w:r>
              <w:t xml:space="preserve"> </w:t>
            </w:r>
            <w:fldSimple w:instr="NOTEREF _Ref_Footnote_71 \h \f">
              <w:r>
                <w:rPr>
                  <w:vertAlign w:val="superscript"/>
                </w:rPr>
                <w:t>71</w:t>
              </w:r>
            </w:fldSimple>
          </w:p>
        </w:tc>
        <w:tc>
          <w:tcPr/>
          <w:p>
            <w:pPr>
              <w:pStyle w:val="Compact"/>
              <w:jc w:val="left"/>
            </w:pPr>
            <w:r>
              <w:t xml:space="preserve">约 65%</w:t>
            </w:r>
          </w:p>
        </w:tc>
        <w:tc>
          <w:tcPr/>
          <w:p>
            <w:pPr>
              <w:pStyle w:val="Compact"/>
              <w:jc w:val="left"/>
            </w:pPr>
            <w:r>
              <w:t xml:space="preserve">27.26%</w:t>
            </w:r>
            <w:r>
              <w:t xml:space="preserve"> </w:t>
            </w:r>
            <w:fldSimple w:instr="NOTEREF _Ref_Footnote_71 \h \f">
              <w:r>
                <w:rPr>
                  <w:vertAlign w:val="superscript"/>
                </w:rPr>
                <w:t>71</w:t>
              </w:r>
            </w:fldSimple>
          </w:p>
        </w:tc>
        <w:tc>
          <w:tcPr/>
          <w:p>
            <w:pPr>
              <w:pStyle w:val="Compact"/>
              <w:jc w:val="left"/>
            </w:pPr>
            <w:r>
              <w:t xml:space="preserve">合约价累计 +130~150%</w:t>
            </w:r>
            <w:r>
              <w:t xml:space="preserve"> </w:t>
            </w:r>
            <w:fldSimple w:instr="NOTEREF _Ref_Footnote_72 \h \f">
              <w:r>
                <w:rPr>
                  <w:vertAlign w:val="superscript"/>
                </w:rPr>
                <w:t>72</w:t>
              </w:r>
            </w:fldSimple>
          </w:p>
        </w:tc>
        <w:tc>
          <w:tcPr/>
          <w:p>
            <w:pPr>
              <w:pStyle w:val="Compact"/>
              <w:jc w:val="left"/>
            </w:pPr>
            <w:r>
              <w:t xml:space="preserve">最高：占比最大 × 涨价最猛</w:t>
            </w:r>
          </w:p>
        </w:tc>
      </w:tr>
      <w:tr>
        <w:tc>
          <w:tcPr/>
          <w:p>
            <w:pPr>
              <w:pStyle w:val="Compact"/>
              <w:jc w:val="left"/>
            </w:pPr>
            <w:r>
              <w:t xml:space="preserve">MCP</w:t>
            </w:r>
          </w:p>
        </w:tc>
        <w:tc>
          <w:tcPr/>
          <w:p>
            <w:pPr>
              <w:pStyle w:val="Compact"/>
              <w:jc w:val="left"/>
            </w:pPr>
            <w:r>
              <w:t xml:space="preserve">2.31</w:t>
            </w:r>
            <w:r>
              <w:t xml:space="preserve"> </w:t>
            </w:r>
            <w:fldSimple w:instr="NOTEREF _Ref_Footnote_71 \h \f">
              <w:r>
                <w:rPr>
                  <w:vertAlign w:val="superscript"/>
                </w:rPr>
                <w:t>71</w:t>
              </w:r>
            </w:fldSimple>
          </w:p>
        </w:tc>
        <w:tc>
          <w:tcPr/>
          <w:p>
            <w:pPr>
              <w:pStyle w:val="Compact"/>
              <w:jc w:val="left"/>
            </w:pPr>
            <w:r>
              <w:t xml:space="preserve">+39.14%</w:t>
            </w:r>
            <w:r>
              <w:t xml:space="preserve"> </w:t>
            </w:r>
            <w:fldSimple w:instr="NOTEREF _Ref_Footnote_71 \h \f">
              <w:r>
                <w:rPr>
                  <w:vertAlign w:val="superscript"/>
                </w:rPr>
                <w:t>71</w:t>
              </w:r>
            </w:fldSimple>
          </w:p>
        </w:tc>
        <w:tc>
          <w:tcPr/>
          <w:p>
            <w:pPr>
              <w:pStyle w:val="Compact"/>
              <w:jc w:val="left"/>
            </w:pPr>
            <w:r>
              <w:t xml:space="preserve">约 25%</w:t>
            </w:r>
          </w:p>
        </w:tc>
        <w:tc>
          <w:tcPr/>
          <w:p>
            <w:pPr>
              <w:pStyle w:val="Compact"/>
              <w:jc w:val="left"/>
            </w:pPr>
            <w:r>
              <w:t xml:space="preserve">11.46%</w:t>
            </w:r>
            <w:r>
              <w:t xml:space="preserve"> </w:t>
            </w:r>
            <w:fldSimple w:instr="NOTEREF _Ref_Footnote_71 \h \f">
              <w:r>
                <w:rPr>
                  <w:vertAlign w:val="superscript"/>
                </w:rPr>
                <w:t>71</w:t>
              </w:r>
            </w:fldSimple>
          </w:p>
        </w:tc>
        <w:tc>
          <w:tcPr/>
          <w:p>
            <w:pPr>
              <w:pStyle w:val="Compact"/>
              <w:jc w:val="left"/>
            </w:pPr>
            <w:r>
              <w:t xml:space="preserve">随 NAND/NOR 颗粒涨价联动</w:t>
            </w:r>
          </w:p>
        </w:tc>
        <w:tc>
          <w:tcPr/>
          <w:p>
            <w:pPr>
              <w:pStyle w:val="Compact"/>
              <w:jc w:val="left"/>
            </w:pPr>
            <w:r>
              <w:t xml:space="preserve">次高：车载 T-BOX 量增逻辑</w:t>
            </w:r>
            <w:r>
              <w:t xml:space="preserve"> </w:t>
            </w:r>
            <w:fldSimple w:instr="NOTEREF _Ref_Footnote_74 \h \f">
              <w:r>
                <w:rPr>
                  <w:vertAlign w:val="superscript"/>
                </w:rPr>
                <w:t>74</w:t>
              </w:r>
            </w:fldSimple>
          </w:p>
        </w:tc>
      </w:tr>
      <w:tr>
        <w:tc>
          <w:tcPr/>
          <w:p>
            <w:pPr>
              <w:pStyle w:val="Compact"/>
              <w:jc w:val="left"/>
            </w:pPr>
            <w:r>
              <w:t xml:space="preserve">利基 DRAM</w:t>
            </w:r>
          </w:p>
        </w:tc>
        <w:tc>
          <w:tcPr/>
          <w:p>
            <w:pPr>
              <w:pStyle w:val="Compact"/>
              <w:jc w:val="left"/>
            </w:pPr>
            <w:r>
              <w:t xml:space="preserve">0.54</w:t>
            </w:r>
            <w:r>
              <w:t xml:space="preserve"> </w:t>
            </w:r>
            <w:fldSimple w:instr="NOTEREF _Ref_Footnote_71 \h \f">
              <w:r>
                <w:rPr>
                  <w:vertAlign w:val="superscript"/>
                </w:rPr>
                <w:t>71</w:t>
              </w:r>
            </w:fldSimple>
          </w:p>
        </w:tc>
        <w:tc>
          <w:tcPr/>
          <w:p>
            <w:pPr>
              <w:pStyle w:val="Compact"/>
              <w:jc w:val="left"/>
            </w:pPr>
            <w:r>
              <w:t xml:space="preserve">-19.51%</w:t>
            </w:r>
            <w:r>
              <w:t xml:space="preserve"> </w:t>
            </w:r>
            <w:fldSimple w:instr="NOTEREF _Ref_Footnote_71 \h \f">
              <w:r>
                <w:rPr>
                  <w:vertAlign w:val="superscript"/>
                </w:rPr>
                <w:t>71</w:t>
              </w:r>
            </w:fldSimple>
          </w:p>
        </w:tc>
        <w:tc>
          <w:tcPr/>
          <w:p>
            <w:pPr>
              <w:pStyle w:val="Compact"/>
              <w:jc w:val="left"/>
            </w:pPr>
            <w:r>
              <w:t xml:space="preserve">约 6%</w:t>
            </w:r>
          </w:p>
        </w:tc>
        <w:tc>
          <w:tcPr/>
          <w:p>
            <w:pPr>
              <w:pStyle w:val="Compact"/>
              <w:jc w:val="left"/>
            </w:pPr>
            <w:r>
              <w:t xml:space="preserve">未单列</w:t>
            </w:r>
          </w:p>
        </w:tc>
        <w:tc>
          <w:tcPr/>
          <w:p>
            <w:pPr>
              <w:pStyle w:val="Compact"/>
              <w:jc w:val="left"/>
            </w:pPr>
            <w:r>
              <w:t xml:space="preserve">消费型 DRAM 2026Q1 累计 +75~80%</w:t>
            </w:r>
            <w:r>
              <w:t xml:space="preserve"> </w:t>
            </w:r>
            <w:fldSimple w:instr="NOTEREF _Ref_Footnote_75 \h \f">
              <w:r>
                <w:rPr>
                  <w:vertAlign w:val="superscript"/>
                </w:rPr>
                <w:t>75</w:t>
              </w:r>
            </w:fldSimple>
          </w:p>
        </w:tc>
        <w:tc>
          <w:tcPr/>
          <w:p>
            <w:pPr>
              <w:pStyle w:val="Compact"/>
              <w:jc w:val="left"/>
            </w:pPr>
            <w:r>
              <w:t xml:space="preserve">较弱：体量小、2025 年负增长</w:t>
            </w:r>
          </w:p>
        </w:tc>
      </w:tr>
      <w:tr>
        <w:tc>
          <w:tcPr/>
          <w:p>
            <w:pPr>
              <w:pStyle w:val="Compact"/>
              <w:jc w:val="left"/>
            </w:pPr>
            <w:r>
              <w:t xml:space="preserve">NOR Flash</w:t>
            </w:r>
          </w:p>
        </w:tc>
        <w:tc>
          <w:tcPr/>
          <w:p>
            <w:pPr>
              <w:pStyle w:val="Compact"/>
              <w:jc w:val="left"/>
            </w:pPr>
            <w:r>
              <w:t xml:space="preserve">0.33</w:t>
            </w:r>
            <w:r>
              <w:t xml:space="preserve"> </w:t>
            </w:r>
            <w:fldSimple w:instr="NOTEREF _Ref_Footnote_71 \h \f">
              <w:r>
                <w:rPr>
                  <w:vertAlign w:val="superscript"/>
                </w:rPr>
                <w:t>71</w:t>
              </w:r>
            </w:fldSimple>
          </w:p>
        </w:tc>
        <w:tc>
          <w:tcPr/>
          <w:p>
            <w:pPr>
              <w:pStyle w:val="Compact"/>
              <w:jc w:val="left"/>
            </w:pPr>
            <w:r>
              <w:t xml:space="preserve">-15.64%</w:t>
            </w:r>
            <w:r>
              <w:t xml:space="preserve"> </w:t>
            </w:r>
            <w:fldSimple w:instr="NOTEREF _Ref_Footnote_71 \h \f">
              <w:r>
                <w:rPr>
                  <w:vertAlign w:val="superscript"/>
                </w:rPr>
                <w:t>71</w:t>
              </w:r>
            </w:fldSimple>
          </w:p>
        </w:tc>
        <w:tc>
          <w:tcPr/>
          <w:p>
            <w:pPr>
              <w:pStyle w:val="Compact"/>
              <w:jc w:val="left"/>
            </w:pPr>
            <w:r>
              <w:t xml:space="preserve">约 4%</w:t>
            </w:r>
          </w:p>
        </w:tc>
        <w:tc>
          <w:tcPr/>
          <w:p>
            <w:pPr>
              <w:pStyle w:val="Compact"/>
              <w:jc w:val="left"/>
            </w:pPr>
            <w:r>
              <w:t xml:space="preserve">46.82%</w:t>
            </w:r>
            <w:r>
              <w:t xml:space="preserve"> </w:t>
            </w:r>
            <w:fldSimple w:instr="NOTEREF _Ref_Footnote_71 \h \f">
              <w:r>
                <w:rPr>
                  <w:vertAlign w:val="superscript"/>
                </w:rPr>
                <w:t>71</w:t>
              </w:r>
            </w:fldSimple>
          </w:p>
        </w:tc>
        <w:tc>
          <w:tcPr/>
          <w:p>
            <w:pPr>
              <w:pStyle w:val="Compact"/>
              <w:jc w:val="left"/>
            </w:pPr>
            <w:r>
              <w:t xml:space="preserve">合约价累计 +100% 以上</w:t>
            </w:r>
            <w:r>
              <w:t xml:space="preserve"> </w:t>
            </w:r>
            <w:fldSimple w:instr="NOTEREF _Ref_Footnote_72 \h \f">
              <w:r>
                <w:rPr>
                  <w:vertAlign w:val="superscript"/>
                </w:rPr>
                <w:t>72</w:t>
              </w:r>
            </w:fldSimple>
          </w:p>
        </w:tc>
        <w:tc>
          <w:tcPr/>
          <w:p>
            <w:pPr>
              <w:pStyle w:val="Compact"/>
              <w:jc w:val="left"/>
            </w:pPr>
            <w:r>
              <w:t xml:space="preserve">最弱：占比仅约 4%，当期贡献有限</w:t>
            </w:r>
          </w:p>
        </w:tc>
      </w:tr>
    </w:tbl>
    <w:p>
      <w:pPr>
        <w:pStyle w:val="BodyText"/>
      </w:pPr>
      <w:r>
        <w:t xml:space="preserve">注：占比按 2025 年营收 9.21 亿元计算；MCP 内部集成 NAND/NOR/DRAM 颗粒，无单独合约价口径，价格随颗粒联动。</w:t>
      </w:r>
    </w:p>
    <w:p>
      <w:pPr>
        <w:pStyle w:val="BodyText"/>
      </w:pPr>
      <w:r>
        <w:t xml:space="preserve">上表揭示两层含义。其一，弹性高度集中：占收入约九成的 SLC NAND 与 MCP 恰为涨价传导最直接的品类，收入结构与行业价格弹性正向匹配，这是 2026Q1 营收同比 +236.95%、归母净利润 1.38 亿元（同比 +333.42%）、毛利率 53.17% 的结构基础</w:t>
      </w:r>
      <w:fldSimple w:instr="NOTEREF _Ref_Footnote_70 \h \f">
        <w:r>
          <w:rPr>
            <w:vertAlign w:val="superscript"/>
          </w:rPr>
          <w:t>70</w:t>
        </w:r>
      </w:fldSimple>
      <w:r>
        <w:t xml:space="preserve">。其二，高毛利品类与主力品类错位：NOR 毛利率 46.82% 为全线最高，但占比仅约 4% 且 2025 年下滑 15.64%，AI 端侧增量对东芯更多是”量”的储备而非当期利润；MCP 毛利率仅 11.46%，弹性依赖车载与网通放量的规模效应而非单价提升</w:t>
      </w:r>
      <w:fldSimple w:instr="NOTEREF _Ref_Footnote_71 \h \f">
        <w:r>
          <w:rPr>
            <w:vertAlign w:val="superscript"/>
          </w:rPr>
          <w:t>71</w:t>
        </w:r>
      </w:fldSimple>
      <w:r>
        <w:t xml:space="preserve"> </w:t>
      </w:r>
      <w:fldSimple w:instr="NOTEREF _Ref_Footnote_74 \h \f">
        <w:r>
          <w:rPr>
            <w:vertAlign w:val="superscript"/>
          </w:rPr>
          <w:t>74</w:t>
        </w:r>
      </w:fldSimple>
      <w:r>
        <w:t xml:space="preserve">。</w:t>
      </w:r>
    </w:p>
    <w:bookmarkEnd w:id="51"/>
    <w:bookmarkEnd w:id="52"/>
    <w:bookmarkStart w:id="55" w:name="产业链-a-股图谱与联动"/>
    <w:p>
      <w:pPr>
        <w:pStyle w:val="Heading3"/>
      </w:pPr>
      <w:r>
        <w:t xml:space="preserve">3.3 产业链 A 股图谱与联动</w:t>
      </w:r>
    </w:p>
    <w:bookmarkStart w:id="53" w:name="设计代工封测模组主控各环节受益逻辑与代表公司近期表现表格"/>
    <w:p>
      <w:pPr>
        <w:pStyle w:val="Heading4"/>
      </w:pPr>
      <w:r>
        <w:t xml:space="preserve">3.3.1 设计—代工—封测—模组—主控各环节受益逻辑与代表公司近期表现（表格）</w:t>
      </w:r>
    </w:p>
    <w:p>
      <w:pPr>
        <w:pStyle w:val="FirstParagraph"/>
      </w:pPr>
      <w:r>
        <w:t xml:space="preserve">本轮行情中，各环节受益逻辑分层明显：设计端承接利基涨价与海外大厂退出后的份额再分配；代工端享受成熟制程量价齐升；封测端产能利用率逼近满载并跟进提价；模组端依赖低价库存红利，弹性最大但窗口期最短；主控端受益于国产 SSD 放量。板块自 2025 年 9 月至 2026 年 6 月大幅上涨（德明利涨超 1000%、普冉股份涨超 900%、江波龙涨超 730%），7 月起转入持续回调</w:t>
      </w:r>
      <w:r>
        <w:rPr>
          <w:vertAlign w:val="superscript"/>
        </w:rPr>
        <w:footnoteReference w:id="77"/>
      </w:r>
      <w:r>
        <w:t xml:space="preserve">。</w:t>
      </w:r>
    </w:p>
    <w:p>
      <w:pPr>
        <w:pStyle w:val="BodyText"/>
      </w:pPr>
      <w:r>
        <w:rPr>
          <w:bCs/>
          <w:b/>
        </w:rPr>
        <w:t xml:space="preserve">表 3-2 存储产业链 A 股图谱：各环节受益逻辑与 2026 年 7 月 16 日表现</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环节</w:t>
            </w:r>
          </w:p>
        </w:tc>
        <w:tc>
          <w:tcPr/>
          <w:p>
            <w:pPr>
              <w:pStyle w:val="Compact"/>
              <w:jc w:val="left"/>
            </w:pPr>
            <w:r>
              <w:t xml:space="preserve">代表公司</w:t>
            </w:r>
          </w:p>
        </w:tc>
        <w:tc>
          <w:tcPr/>
          <w:p>
            <w:pPr>
              <w:pStyle w:val="Compact"/>
              <w:jc w:val="left"/>
            </w:pPr>
            <w:r>
              <w:t xml:space="preserve">受益逻辑</w:t>
            </w:r>
          </w:p>
        </w:tc>
        <w:tc>
          <w:tcPr/>
          <w:p>
            <w:pPr>
              <w:pStyle w:val="Compact"/>
              <w:jc w:val="left"/>
            </w:pPr>
            <w:r>
              <w:t xml:space="preserve">7/16 表现</w:t>
            </w:r>
          </w:p>
        </w:tc>
      </w:tr>
      <w:tr>
        <w:tc>
          <w:tcPr/>
          <w:p>
            <w:pPr>
              <w:pStyle w:val="Compact"/>
              <w:jc w:val="left"/>
            </w:pPr>
            <w:r>
              <w:t xml:space="preserve">芯片设计</w:t>
            </w:r>
          </w:p>
        </w:tc>
        <w:tc>
          <w:tcPr/>
          <w:p>
            <w:pPr>
              <w:pStyle w:val="Compact"/>
              <w:jc w:val="left"/>
            </w:pPr>
            <w:r>
              <w:t xml:space="preserve">兆易创新、普冉股份、东芯股份、恒烁股份、聚辰股份</w:t>
            </w:r>
          </w:p>
        </w:tc>
        <w:tc>
          <w:tcPr/>
          <w:p>
            <w:pPr>
              <w:pStyle w:val="Compact"/>
              <w:jc w:val="left"/>
            </w:pPr>
            <w:r>
              <w:t xml:space="preserve">利基涨价直接受益 + 份额再分配；兆易 2026Q1 营收 +119%、净利 +523%、毛利率 57.08%</w:t>
            </w:r>
            <w:r>
              <w:t xml:space="preserve"> </w:t>
            </w:r>
            <w:r>
              <w:rPr>
                <w:vertAlign w:val="superscript"/>
              </w:rPr>
              <w:footnoteReference w:id="78"/>
            </w:r>
            <w:r>
              <w:t xml:space="preserve">；东芯营收 +236.95%、毛利率 53.17%</w:t>
            </w:r>
            <w:r>
              <w:t xml:space="preserve"> </w:t>
            </w:r>
            <w:fldSimple w:instr="NOTEREF _Ref_Footnote_70 \h \f">
              <w:r>
                <w:rPr>
                  <w:vertAlign w:val="superscript"/>
                </w:rPr>
                <w:t>70</w:t>
              </w:r>
            </w:fldSimple>
          </w:p>
        </w:tc>
        <w:tc>
          <w:tcPr/>
          <w:p>
            <w:pPr>
              <w:pStyle w:val="Compact"/>
              <w:jc w:val="left"/>
            </w:pPr>
            <w:r>
              <w:t xml:space="preserve">兆易 -10.00%（跌停）、恒烁 -10.60%、普冉 -9.00%、聚辰 -8.67%、东芯 -7.35%</w:t>
            </w:r>
            <w:r>
              <w:t xml:space="preserve"> </w:t>
            </w:r>
            <w:r>
              <w:rPr>
                <w:vertAlign w:val="superscript"/>
              </w:rPr>
              <w:footnoteReference w:id="79"/>
            </w:r>
            <w:r>
              <w:t xml:space="preserve"> </w:t>
            </w:r>
            <w:fldSimple w:instr="NOTEREF _Ref_Footnote_7 \h \f">
              <w:r>
                <w:rPr>
                  <w:vertAlign w:val="superscript"/>
                </w:rPr>
                <w:t>7</w:t>
              </w:r>
            </w:fldSimple>
          </w:p>
        </w:tc>
      </w:tr>
      <w:tr>
        <w:tc>
          <w:tcPr/>
          <w:p>
            <w:pPr>
              <w:pStyle w:val="Compact"/>
              <w:jc w:val="left"/>
            </w:pPr>
            <w:r>
              <w:t xml:space="preserve">晶圆代工</w:t>
            </w:r>
          </w:p>
        </w:tc>
        <w:tc>
          <w:tcPr/>
          <w:p>
            <w:pPr>
              <w:pStyle w:val="Compact"/>
              <w:jc w:val="left"/>
            </w:pPr>
            <w:r>
              <w:t xml:space="preserve">中芯国际、华虹公司、晶合集成</w:t>
            </w:r>
          </w:p>
        </w:tc>
        <w:tc>
          <w:tcPr/>
          <w:p>
            <w:pPr>
              <w:pStyle w:val="Compact"/>
              <w:jc w:val="left"/>
            </w:pPr>
            <w:r>
              <w:t xml:space="preserve">成熟制程涨价量价齐升：中芯 2026Q1 ASP 环比 +2.5%、产能利用率 93.1%</w:t>
            </w:r>
            <w:r>
              <w:t xml:space="preserve"> </w:t>
            </w:r>
            <w:fldSimple w:instr="NOTEREF _Ref_Footnote_64 \h \f">
              <w:r>
                <w:rPr>
                  <w:vertAlign w:val="superscript"/>
                </w:rPr>
                <w:t>64</w:t>
              </w:r>
            </w:fldSimple>
            <w:r>
              <w:t xml:space="preserve">；力积电提价 5~10%、排产至三季度</w:t>
            </w:r>
            <w:r>
              <w:t xml:space="preserve"> </w:t>
            </w:r>
            <w:fldSimple w:instr="NOTEREF _Ref_Footnote_65 \h \f">
              <w:r>
                <w:rPr>
                  <w:vertAlign w:val="superscript"/>
                </w:rPr>
                <w:t>65</w:t>
              </w:r>
            </w:fldSimple>
          </w:p>
        </w:tc>
        <w:tc>
          <w:tcPr/>
          <w:p>
            <w:pPr>
              <w:pStyle w:val="Compact"/>
              <w:jc w:val="left"/>
            </w:pPr>
            <w:r>
              <w:t xml:space="preserve">板块共振回调（前一交易日中芯国际 -4.57%）</w:t>
            </w:r>
            <w:r>
              <w:rPr>
                <w:vertAlign w:val="superscript"/>
              </w:rPr>
              <w:footnoteReference w:id="80"/>
            </w:r>
          </w:p>
        </w:tc>
      </w:tr>
      <w:tr>
        <w:tc>
          <w:tcPr/>
          <w:p>
            <w:pPr>
              <w:pStyle w:val="Compact"/>
              <w:jc w:val="left"/>
            </w:pPr>
            <w:r>
              <w:t xml:space="preserve">封装测试</w:t>
            </w:r>
          </w:p>
        </w:tc>
        <w:tc>
          <w:tcPr/>
          <w:p>
            <w:pPr>
              <w:pStyle w:val="Compact"/>
              <w:jc w:val="left"/>
            </w:pPr>
            <w:r>
              <w:t xml:space="preserve">长电科技、通富微电、华天科技、深科技、盛合晶微</w:t>
            </w:r>
          </w:p>
        </w:tc>
        <w:tc>
          <w:tcPr/>
          <w:p>
            <w:pPr>
              <w:pStyle w:val="Compact"/>
              <w:jc w:val="left"/>
            </w:pPr>
            <w:r>
              <w:t xml:space="preserve">封测提价 + 存储封测产能利用率直逼满载</w:t>
            </w:r>
            <w:r>
              <w:t xml:space="preserve"> </w:t>
            </w:r>
            <w:r>
              <w:rPr>
                <w:vertAlign w:val="superscript"/>
              </w:rPr>
              <w:footnoteReference w:id="81"/>
            </w:r>
          </w:p>
        </w:tc>
        <w:tc>
          <w:tcPr/>
          <w:p>
            <w:pPr>
              <w:pStyle w:val="Compact"/>
              <w:jc w:val="left"/>
            </w:pPr>
            <w:r>
              <w:t xml:space="preserve">长电 -10.00%（跌停）、华天 -10.00%、深科技 -8.29%</w:t>
            </w:r>
            <w:r>
              <w:t xml:space="preserve"> </w:t>
            </w:r>
            <w:fldSimple w:instr="NOTEREF _Ref_Footnote_7 \h \f">
              <w:r>
                <w:rPr>
                  <w:vertAlign w:val="superscript"/>
                </w:rPr>
                <w:t>7</w:t>
              </w:r>
            </w:fldSimple>
            <w:r>
              <w:t xml:space="preserve"> </w:t>
            </w:r>
            <w:fldSimple w:instr="NOTEREF _Ref_Footnote_79 \h \f">
              <w:r>
                <w:rPr>
                  <w:vertAlign w:val="superscript"/>
                </w:rPr>
                <w:t>79</w:t>
              </w:r>
            </w:fldSimple>
          </w:p>
        </w:tc>
      </w:tr>
      <w:tr>
        <w:tc>
          <w:tcPr/>
          <w:p>
            <w:pPr>
              <w:pStyle w:val="Compact"/>
              <w:jc w:val="left"/>
            </w:pPr>
            <w:r>
              <w:t xml:space="preserve">存储模组</w:t>
            </w:r>
          </w:p>
        </w:tc>
        <w:tc>
          <w:tcPr/>
          <w:p>
            <w:pPr>
              <w:pStyle w:val="Compact"/>
              <w:jc w:val="left"/>
            </w:pPr>
            <w:r>
              <w:t xml:space="preserve">江波龙、德明利、佰维存储</w:t>
            </w:r>
          </w:p>
        </w:tc>
        <w:tc>
          <w:tcPr/>
          <w:p>
            <w:pPr>
              <w:pStyle w:val="Compact"/>
              <w:jc w:val="left"/>
            </w:pPr>
            <w:r>
              <w:t xml:space="preserve">低价库存红利 + 成本传导，弹性最大但窗口期最短；德明利 2026H1 预告净利 57~65 亿元（+4933%~5611%）</w:t>
            </w:r>
            <w:fldSimple w:instr="NOTEREF _Ref_Footnote_7 \h \f">
              <w:r>
                <w:rPr>
                  <w:vertAlign w:val="superscript"/>
                </w:rPr>
                <w:t>7</w:t>
              </w:r>
            </w:fldSimple>
          </w:p>
        </w:tc>
        <w:tc>
          <w:tcPr/>
          <w:p>
            <w:pPr>
              <w:pStyle w:val="Compact"/>
              <w:jc w:val="left"/>
            </w:pPr>
            <w:r>
              <w:t xml:space="preserve">德明利 -10.00%（连续第二个一字跌停）、江波龙 -5.00%、佰维 -1.36%</w:t>
            </w:r>
            <w:r>
              <w:t xml:space="preserve"> </w:t>
            </w:r>
            <w:fldSimple w:instr="NOTEREF _Ref_Footnote_7 \h \f">
              <w:r>
                <w:rPr>
                  <w:vertAlign w:val="superscript"/>
                </w:rPr>
                <w:t>7</w:t>
              </w:r>
            </w:fldSimple>
            <w:r>
              <w:t xml:space="preserve"> </w:t>
            </w:r>
            <w:fldSimple w:instr="NOTEREF _Ref_Footnote_79 \h \f">
              <w:r>
                <w:rPr>
                  <w:vertAlign w:val="superscript"/>
                </w:rPr>
                <w:t>79</w:t>
              </w:r>
            </w:fldSimple>
          </w:p>
        </w:tc>
      </w:tr>
      <w:tr>
        <w:tc>
          <w:tcPr/>
          <w:p>
            <w:pPr>
              <w:pStyle w:val="Compact"/>
              <w:jc w:val="left"/>
            </w:pPr>
            <w:r>
              <w:t xml:space="preserve">主控芯片</w:t>
            </w:r>
          </w:p>
        </w:tc>
        <w:tc>
          <w:tcPr/>
          <w:p>
            <w:pPr>
              <w:pStyle w:val="Compact"/>
              <w:jc w:val="left"/>
            </w:pPr>
            <w:r>
              <w:t xml:space="preserve">联芸科技</w:t>
            </w:r>
          </w:p>
        </w:tc>
        <w:tc>
          <w:tcPr/>
          <w:p>
            <w:pPr>
              <w:pStyle w:val="Compact"/>
              <w:jc w:val="left"/>
            </w:pPr>
            <w:r>
              <w:t xml:space="preserve">全球第三方 SSD 主控出货第二、国内第一，受益国产 SSD 放量</w:t>
            </w:r>
            <w:r>
              <w:t xml:space="preserve"> </w:t>
            </w:r>
            <w:r>
              <w:rPr>
                <w:vertAlign w:val="superscript"/>
              </w:rPr>
              <w:footnoteReference w:id="82"/>
            </w:r>
          </w:p>
        </w:tc>
        <w:tc>
          <w:tcPr/>
          <w:p>
            <w:pPr>
              <w:pStyle w:val="Compact"/>
              <w:jc w:val="left"/>
            </w:pPr>
            <w:r>
              <w:t xml:space="preserve">联芸科技 -9.28%</w:t>
            </w:r>
            <w:r>
              <w:t xml:space="preserve"> </w:t>
            </w:r>
            <w:fldSimple w:instr="NOTEREF _Ref_Footnote_79 \h \f">
              <w:r>
                <w:rPr>
                  <w:vertAlign w:val="superscript"/>
                </w:rPr>
                <w:t>79</w:t>
              </w:r>
            </w:fldSimple>
          </w:p>
        </w:tc>
      </w:tr>
      <w:tr>
        <w:tc>
          <w:tcPr/>
          <w:p>
            <w:pPr>
              <w:pStyle w:val="Compact"/>
              <w:jc w:val="left"/>
            </w:pPr>
            <w:r>
              <w:t xml:space="preserve">设备材料（间接受益）</w:t>
            </w:r>
          </w:p>
        </w:tc>
        <w:tc>
          <w:tcPr/>
          <w:p>
            <w:pPr>
              <w:pStyle w:val="Compact"/>
              <w:jc w:val="left"/>
            </w:pPr>
            <w:r>
              <w:t xml:space="preserve">中微公司、北方华创、精智达、江丰电子</w:t>
            </w:r>
          </w:p>
        </w:tc>
        <w:tc>
          <w:tcPr/>
          <w:p>
            <w:pPr>
              <w:pStyle w:val="Compact"/>
              <w:jc w:val="left"/>
            </w:pPr>
            <w:r>
              <w:t xml:space="preserve">国产存储扩产拉动成熟制程设备与材料需求</w:t>
            </w:r>
            <w:r>
              <w:t xml:space="preserve"> </w:t>
            </w:r>
            <w:r>
              <w:rPr>
                <w:vertAlign w:val="superscript"/>
              </w:rPr>
              <w:footnoteReference w:id="83"/>
            </w:r>
          </w:p>
        </w:tc>
        <w:tc>
          <w:tcPr/>
          <w:p>
            <w:pPr>
              <w:pStyle w:val="Compact"/>
              <w:jc w:val="left"/>
            </w:pPr>
            <w:r>
              <w:t xml:space="preserve">江丰电子 -14.94%、中微 -7.63%、北方华创 -5.37%</w:t>
            </w:r>
            <w:r>
              <w:t xml:space="preserve"> </w:t>
            </w:r>
            <w:fldSimple w:instr="NOTEREF _Ref_Footnote_79 \h \f">
              <w:r>
                <w:rPr>
                  <w:vertAlign w:val="superscript"/>
                </w:rPr>
                <w:t>79</w:t>
              </w:r>
            </w:fldSimple>
          </w:p>
        </w:tc>
      </w:tr>
    </w:tbl>
    <w:p>
      <w:pPr>
        <w:pStyle w:val="BodyText"/>
      </w:pPr>
      <w:r>
        <w:t xml:space="preserve">上表可读出两条主线。其一，7 月 16 日是全环节的无差别回调：当日存储概念整体下跌 5.20%，主力资金净流出覆盖 161 只个股</w:t>
      </w:r>
      <w:fldSimple w:instr="NOTEREF _Ref_Footnote_79 \h \f">
        <w:r>
          <w:rPr>
            <w:vertAlign w:val="superscript"/>
          </w:rPr>
          <w:t>79</w:t>
        </w:r>
      </w:fldSimple>
      <w:r>
        <w:t xml:space="preserve">，触发因素为隔夜美光、西部数据跌超 8% 的外盘共振，以及德明利二季度环比下滑引发的利润持续性担忧——模组端低价库存红利耗尽后，新采购成本上行将压缩毛利</w:t>
      </w:r>
      <w:fldSimple w:instr="NOTEREF _Ref_Footnote_7 \h \f">
        <w:r>
          <w:rPr>
            <w:vertAlign w:val="superscript"/>
          </w:rPr>
          <w:t>7</w:t>
        </w:r>
      </w:fldSimple>
      <w:r>
        <w:t xml:space="preserve">。其二，回调结构隐含资金对环节持续性的初步定价：模组端内部已分化（佰维存储仅跌 1.36% 对德明利连续跌停），而涨价持续性最强的代工、设备环节当日跌幅并不小于设计端，说明抛压以板块性减仓为主；对东芯而言，当日板块贝塔的扰动大于个股阿尔法的变化。</w:t>
      </w:r>
    </w:p>
    <w:bookmarkEnd w:id="53"/>
    <w:bookmarkStart w:id="54" w:name="东芯在链条中的位置纯设计-利基聚焦-毛利率修复最快53.17但规模最小"/>
    <w:p>
      <w:pPr>
        <w:pStyle w:val="Heading4"/>
      </w:pPr>
      <w:r>
        <w:t xml:space="preserve">3.3.2 东芯在链条中的位置：纯设计 + 利基聚焦 = 毛利率修复最快（53.17%）但规模最小</w:t>
      </w:r>
    </w:p>
    <w:p>
      <w:pPr>
        <w:pStyle w:val="FirstParagraph"/>
      </w:pPr>
      <w:r>
        <w:t xml:space="preserve">东芯的位置可概括为”</w:t>
      </w:r>
      <w:r>
        <w:rPr>
          <w:bCs/>
          <w:b/>
        </w:rPr>
        <w:t xml:space="preserve">纯设计 + 利基聚焦</w:t>
      </w:r>
      <w:r>
        <w:t xml:space="preserve">”：不持有制造产能，盈利对售价与代工成本的剪刀差最为敏感。2026Q1 东芯营收同比 +236.95%，高于兆易创新的 +119%；毛利率 53.17%，较 2025Q3 的 26.64% 提升约 26.5 个百分点，修复斜率为设计环节最陡，但绝对水平仍低于兆易的 57.08%</w:t>
      </w:r>
      <w:fldSimple w:instr="NOTEREF _Ref_Footnote_70 \h \f">
        <w:r>
          <w:rPr>
            <w:vertAlign w:val="superscript"/>
          </w:rPr>
          <w:t>70</w:t>
        </w:r>
      </w:fldSimple>
      <w:r>
        <w:t xml:space="preserve"> </w:t>
      </w:r>
      <w:fldSimple w:instr="NOTEREF _Ref_Footnote_78 \h \f">
        <w:r>
          <w:rPr>
            <w:vertAlign w:val="superscript"/>
          </w:rPr>
          <w:t>78</w:t>
        </w:r>
      </w:fldSimple>
      <w:r>
        <w:t xml:space="preserve"> </w:t>
      </w:r>
      <w:fldSimple w:instr="NOTEREF _Ref_Footnote_69 \h \f">
        <w:r>
          <w:rPr>
            <w:vertAlign w:val="superscript"/>
          </w:rPr>
          <w:t>69</w:t>
        </w:r>
      </w:fldSimple>
      <w:r>
        <w:t xml:space="preserve">。结构性原因在于：东芯约 65% 收入集中于涨价最猛的 SLC NAND，收入基数又处板块最低区间（2025 年营收 9.21 亿元），低基数叠加高弹性品类放大了修复斜率</w:t>
      </w:r>
      <w:fldSimple w:instr="NOTEREF _Ref_Footnote_71 \h \f">
        <w:r>
          <w:rPr>
            <w:vertAlign w:val="superscript"/>
          </w:rPr>
          <w:t>71</w:t>
        </w:r>
      </w:fldSimple>
      <w:r>
        <w:t xml:space="preserve">；代价是未形成兆易”NOR + 利基 DRAM + MCU”的多元对冲结构，单一品类波动对报表的传导更直接。与模组端相比，设计端毛利修复更具持续性——模组厂的低价库存红利随存货周转耗尽，设计公司则同时受益于成本滞后与合约价续涨</w:t>
      </w:r>
      <w:fldSimple w:instr="NOTEREF _Ref_Footnote_68 \h \f">
        <w:r>
          <w:rPr>
            <w:vertAlign w:val="superscript"/>
          </w:rPr>
          <w:t>68</w:t>
        </w:r>
      </w:fldSimple>
      <w:r>
        <w:t xml:space="preserve"> </w:t>
      </w:r>
      <w:fldSimple w:instr="NOTEREF _Ref_Footnote_7 \h \f">
        <w:r>
          <w:rPr>
            <w:vertAlign w:val="superscript"/>
          </w:rPr>
          <w:t>7</w:t>
        </w:r>
      </w:fldSimple>
      <w:r>
        <w:t xml:space="preserve">；但与代工端相比，设计公司无产能资产，议价能力受制于双代工体系的供给刚性。这一位置决定了东芯盈利弹性大、但确定性弱于链条上游。</w:t>
      </w:r>
    </w:p>
    <w:bookmarkEnd w:id="54"/>
    <w:bookmarkEnd w:id="55"/>
    <w:bookmarkStart w:id="57" w:name="客户结构风险"/>
    <w:p>
      <w:pPr>
        <w:pStyle w:val="Heading3"/>
      </w:pPr>
      <w:r>
        <w:t xml:space="preserve">3.4 客户结构风险</w:t>
      </w:r>
    </w:p>
    <w:bookmarkStart w:id="56" w:name="前五大客户集中度-66.17第一大-23高位集中风险的含义"/>
    <w:p>
      <w:pPr>
        <w:pStyle w:val="Heading4"/>
      </w:pPr>
      <w:r>
        <w:t xml:space="preserve">3.4.1 前五大客户集中度 66.17%、第一大 23%，高位集中风险的含义</w:t>
      </w:r>
    </w:p>
    <w:p>
      <w:pPr>
        <w:pStyle w:val="FirstParagraph"/>
      </w:pPr>
      <w:r>
        <w:t xml:space="preserve">2025 年年报显示，公司前五名客户销售额合计 6.10 亿元，占年度销售总额 66.17%；第一大客户销售 2.12 亿元、占比 23.00%，前两大合计 40.2%，前五名中无关联方销售</w:t>
      </w:r>
      <w:fldSimple w:instr="NOTEREF _Ref_Footnote_71 \h \f">
        <w:r>
          <w:rPr>
            <w:vertAlign w:val="superscript"/>
          </w:rPr>
          <w:t>71</w:t>
        </w:r>
      </w:fldSimple>
      <w:r>
        <w:t xml:space="preserve">。集中度持续攀升：招股说明书披露的 2019 年、2020 年前五大占比分别为 54.13% 与 57.88%，2025 年的 66.17% 已处历史高位区间</w:t>
      </w:r>
      <w:fldSimple w:instr="NOTEREF _Ref_Footnote_55 \h \f">
        <w:r>
          <w:rPr>
            <w:vertAlign w:val="superscript"/>
          </w:rPr>
          <w:t>55</w:t>
        </w:r>
      </w:fldSimple>
      <w:r>
        <w:t xml:space="preserve"> </w:t>
      </w:r>
      <w:fldSimple w:instr="NOTEREF _Ref_Footnote_71 \h \f">
        <w:r>
          <w:rPr>
            <w:vertAlign w:val="superscript"/>
          </w:rPr>
          <w:t>71</w:t>
        </w:r>
      </w:fldSimple>
      <w:r>
        <w:t xml:space="preserve">。渠道结构同步反映大客户依赖：直销收入 6.61 亿元、占比约 72%，直销毛利率仅 18.84%，显著低于经销渠道的 38.88%，显示大客户直供模式下议价空间受限</w:t>
      </w:r>
      <w:fldSimple w:instr="NOTEREF _Ref_Footnote_71 \h \f">
        <w:r>
          <w:rPr>
            <w:vertAlign w:val="superscript"/>
          </w:rPr>
          <w:t>71</w:t>
        </w:r>
      </w:fldSimple>
      <w:r>
        <w:t xml:space="preserve">。客户结构曾经历重构：华为旗下哈勃科技 2020 年入股后已于 2025Q1 退出前十大股东名单，早年占比最高的”客户A”（市场普遍认为与华为体系相关，未经公司确认）销售占比由 2020 年的 29.8% 降至 2021H1 的 5.82%，当前高集中度主要反映网通与运营商链条大客户放量</w:t>
      </w:r>
      <w:r>
        <w:rPr>
          <w:vertAlign w:val="superscript"/>
        </w:rPr>
        <w:footnoteReference w:id="84"/>
      </w:r>
      <w:r>
        <w:t xml:space="preserve"> </w:t>
      </w:r>
      <w:fldSimple w:instr="NOTEREF _Ref_Footnote_74 \h \f">
        <w:r>
          <w:rPr>
            <w:vertAlign w:val="superscript"/>
          </w:rPr>
          <w:t>74</w:t>
        </w:r>
      </w:fldSimple>
      <w:r>
        <w:t xml:space="preserve">。</w:t>
      </w:r>
    </w:p>
    <w:p>
      <w:pPr>
        <w:pStyle w:val="BodyText"/>
      </w:pPr>
      <w:r>
        <w:t xml:space="preserve">高集中度的含义是对称的：上行期，运营商 SPR 布点与基站建设直接带动大容量产品销售，放大收入弹性</w:t>
      </w:r>
      <w:fldSimple w:instr="NOTEREF _Ref_Footnote_74 \h \f">
        <w:r>
          <w:rPr>
            <w:vertAlign w:val="superscript"/>
          </w:rPr>
          <w:t>74</w:t>
        </w:r>
      </w:fldSimple>
      <w:r>
        <w:t xml:space="preserve">；下行期，大客户砍单或压价的冲击被同等放大，第一大客户 23% 的占比意味着单一客户采购节奏即可左右季度收入方向。叠加代工涨价预计延续至 2027 年</w:t>
      </w:r>
      <w:fldSimple w:instr="NOTEREF _Ref_Footnote_67 \h \f">
        <w:r>
          <w:rPr>
            <w:vertAlign w:val="superscript"/>
          </w:rPr>
          <w:t>67</w:t>
        </w:r>
      </w:fldSimple>
      <w:r>
        <w:t xml:space="preserve">，东芯未来两年的报表将同时承受”成本刚性上行”与”需求端大客户集中”的双重传导，关键观察点在于下半年合约价谈判中向下游转嫁成本的能力，以及中报对二季度毛利率持续性的确认——这将决定本章所述传导红利能否从 2026Q1 的单点兑现扩展为全年趋势。</w:t>
      </w:r>
    </w:p>
    <w:bookmarkEnd w:id="56"/>
    <w:bookmarkEnd w:id="57"/>
    <w:bookmarkEnd w:id="58"/>
    <w:bookmarkStart w:id="73" w:name="公司基本面与财务拐点"/>
    <w:p>
      <w:pPr>
        <w:pStyle w:val="Heading2"/>
      </w:pPr>
      <w:r>
        <w:t xml:space="preserve">4. 公司基本面与财务拐点</w:t>
      </w:r>
    </w:p>
    <w:p>
      <w:pPr>
        <w:pStyle w:val="FirstParagraph"/>
      </w:pPr>
      <w:r>
        <w:t xml:space="preserve">本章回答抄底决策的三个前提问题：基本面拐点是否真实、业绩质量如何、财务是否安全。核心结论是：东芯的拐点已由 2026 年一季报确认——单季营收 4.79 亿元（同比 +236.95%）、毛利率 53.17%、归母净利润 +1.38 亿元、经营性现金流较上年同期转正</w:t>
      </w:r>
      <w:fldSimple w:instr="NOTEREF _Ref_Footnote_5 \h \f">
        <w:r>
          <w:rPr>
            <w:vertAlign w:val="superscript"/>
          </w:rPr>
          <w:t>5</w:t>
        </w:r>
      </w:fldSimple>
      <w:r>
        <w:t xml:space="preserve">；2025 年报表亏损的主因并非存储主业恶化，而是高研发投入与砺算权益法亏损的会计叠加</w:t>
      </w:r>
      <w:fldSimple w:instr="NOTEREF _Ref_Footnote_71 \h \f">
        <w:r>
          <w:rPr>
            <w:vertAlign w:val="superscript"/>
          </w:rPr>
          <w:t>71</w:t>
        </w:r>
      </w:fldSimple>
      <w:r>
        <w:t xml:space="preserve">；资产负债表几乎无杠杆，类现金储备约占总资产一半</w:t>
      </w:r>
      <w:r>
        <w:rPr>
          <w:vertAlign w:val="superscript"/>
        </w:rPr>
        <w:footnoteReference w:id="85"/>
      </w:r>
      <w:r>
        <w:t xml:space="preserve">。真正需要持续验证的，是 53% 毛利率能维持多久。</w:t>
      </w:r>
    </w:p>
    <w:bookmarkStart w:id="61" w:name="财务拐点验证"/>
    <w:p>
      <w:pPr>
        <w:pStyle w:val="Heading3"/>
      </w:pPr>
      <w:r>
        <w:t xml:space="preserve">4.1 财务拐点验证</w:t>
      </w:r>
    </w:p>
    <w:bookmarkStart w:id="59" w:name="年报亏损源于研发-2.16-亿与砺算权益法亏损-1.66-亿"/>
    <w:p>
      <w:pPr>
        <w:pStyle w:val="Heading4"/>
      </w:pPr>
      <w:r>
        <w:t xml:space="preserve">4.1.1 2025 年报：亏损源于研发 2.16 亿与砺算权益法亏损 1.66 亿</w:t>
      </w:r>
    </w:p>
    <w:p>
      <w:pPr>
        <w:pStyle w:val="FirstParagraph"/>
      </w:pPr>
      <w:r>
        <w:t xml:space="preserve">2025 年公司实现营业收入 9.21 亿元，同比 +43.76%；毛利率 24.51%，同比提升 10.52 个百分点；但归母净利润为 -1.95 亿元，亏损同比扩大 16.54%</w:t>
      </w:r>
      <w:fldSimple w:instr="NOTEREF _Ref_Footnote_71 \h \f">
        <w:r>
          <w:rPr>
            <w:vertAlign w:val="superscript"/>
          </w:rPr>
          <w:t>71</w:t>
        </w:r>
      </w:fldSimple>
      <w:r>
        <w:t xml:space="preserve"> </w:t>
      </w:r>
      <w:fldSimple w:instr="NOTEREF _Ref_Footnote_85 \h \f">
        <w:r>
          <w:rPr>
            <w:vertAlign w:val="superscript"/>
          </w:rPr>
          <w:t>85</w:t>
        </w:r>
      </w:fldSimple>
      <w:r>
        <w:t xml:space="preserve">。收入高增与亏损扩大并存，关键在于拆解亏损构成：当年研发费用 2.16 亿元（占营收 23.43%），对联营企业上海砺算按权益法确认投资亏损 1.66 亿元，两项合计 3.82 亿元，已超过 2.26 亿元的毛利额</w:t>
      </w:r>
      <w:fldSimple w:instr="NOTEREF _Ref_Footnote_71 \h \f">
        <w:r>
          <w:rPr>
            <w:vertAlign w:val="superscript"/>
          </w:rPr>
          <w:t>71</w:t>
        </w:r>
      </w:fldSimple>
      <w:r>
        <w:t xml:space="preserve"> </w:t>
      </w:r>
      <w:fldSimple w:instr="NOTEREF _Ref_Footnote_85 \h \f">
        <w:r>
          <w:rPr>
            <w:vertAlign w:val="superscript"/>
          </w:rPr>
          <w:t>85</w:t>
        </w:r>
      </w:fldSimple>
      <w:r>
        <w:t xml:space="preserve">。</w:t>
      </w:r>
    </w:p>
    <w:p>
      <w:pPr>
        <w:pStyle w:val="BodyText"/>
      </w:pPr>
      <w:r>
        <w:rPr>
          <w:bCs/>
          <w:b/>
        </w:rPr>
        <w:t xml:space="preserve">表 4-1 东芯股份 2023—2025 年关键财务指标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2023A</w:t>
            </w:r>
          </w:p>
        </w:tc>
        <w:tc>
          <w:tcPr/>
          <w:p>
            <w:pPr>
              <w:pStyle w:val="Compact"/>
              <w:jc w:val="left"/>
            </w:pPr>
            <w:r>
              <w:t xml:space="preserve">2024A</w:t>
            </w:r>
          </w:p>
        </w:tc>
        <w:tc>
          <w:tcPr/>
          <w:p>
            <w:pPr>
              <w:pStyle w:val="Compact"/>
              <w:jc w:val="left"/>
            </w:pPr>
            <w:r>
              <w:t xml:space="preserve">2025A</w:t>
            </w:r>
          </w:p>
        </w:tc>
      </w:tr>
      <w:tr>
        <w:tc>
          <w:tcPr/>
          <w:p>
            <w:pPr>
              <w:pStyle w:val="Compact"/>
              <w:jc w:val="left"/>
            </w:pPr>
            <w:r>
              <w:t xml:space="preserve">营业收入（亿元）</w:t>
            </w:r>
          </w:p>
        </w:tc>
        <w:tc>
          <w:tcPr/>
          <w:p>
            <w:pPr>
              <w:pStyle w:val="Compact"/>
              <w:jc w:val="left"/>
            </w:pPr>
            <w:r>
              <w:t xml:space="preserve">5.31</w:t>
            </w:r>
          </w:p>
        </w:tc>
        <w:tc>
          <w:tcPr/>
          <w:p>
            <w:pPr>
              <w:pStyle w:val="Compact"/>
              <w:jc w:val="left"/>
            </w:pPr>
            <w:r>
              <w:t xml:space="preserve">6.41</w:t>
            </w:r>
          </w:p>
        </w:tc>
        <w:tc>
          <w:tcPr/>
          <w:p>
            <w:pPr>
              <w:pStyle w:val="Compact"/>
              <w:jc w:val="left"/>
            </w:pPr>
            <w:r>
              <w:t xml:space="preserve">9.21</w:t>
            </w:r>
            <w:r>
              <w:t xml:space="preserve"> </w:t>
            </w:r>
            <w:fldSimple w:instr="NOTEREF _Ref_Footnote_71 \h \f">
              <w:r>
                <w:rPr>
                  <w:vertAlign w:val="superscript"/>
                </w:rPr>
                <w:t>71</w:t>
              </w:r>
            </w:fldSimple>
          </w:p>
        </w:tc>
      </w:tr>
      <w:tr>
        <w:tc>
          <w:tcPr/>
          <w:p>
            <w:pPr>
              <w:pStyle w:val="Compact"/>
              <w:jc w:val="left"/>
            </w:pPr>
            <w:r>
              <w:t xml:space="preserve">营收同比</w:t>
            </w:r>
          </w:p>
        </w:tc>
        <w:tc>
          <w:tcPr/>
          <w:p>
            <w:pPr>
              <w:pStyle w:val="Compact"/>
              <w:jc w:val="left"/>
            </w:pPr>
            <w:r>
              <w:t xml:space="preserve">—</w:t>
            </w:r>
          </w:p>
        </w:tc>
        <w:tc>
          <w:tcPr/>
          <w:p>
            <w:pPr>
              <w:pStyle w:val="Compact"/>
              <w:jc w:val="left"/>
            </w:pPr>
            <w:r>
              <w:t xml:space="preserve">+20.8%</w:t>
            </w:r>
          </w:p>
        </w:tc>
        <w:tc>
          <w:tcPr/>
          <w:p>
            <w:pPr>
              <w:pStyle w:val="Compact"/>
              <w:jc w:val="left"/>
            </w:pPr>
            <w:r>
              <w:t xml:space="preserve">+43.76%</w:t>
            </w:r>
            <w:r>
              <w:t xml:space="preserve"> </w:t>
            </w:r>
            <w:fldSimple w:instr="NOTEREF _Ref_Footnote_85 \h \f">
              <w:r>
                <w:rPr>
                  <w:vertAlign w:val="superscript"/>
                </w:rPr>
                <w:t>85</w:t>
              </w:r>
            </w:fldSimple>
          </w:p>
        </w:tc>
      </w:tr>
      <w:tr>
        <w:tc>
          <w:tcPr/>
          <w:p>
            <w:pPr>
              <w:pStyle w:val="Compact"/>
              <w:jc w:val="left"/>
            </w:pPr>
            <w:r>
              <w:t xml:space="preserve">毛利率</w:t>
            </w:r>
          </w:p>
        </w:tc>
        <w:tc>
          <w:tcPr/>
          <w:p>
            <w:pPr>
              <w:pStyle w:val="Compact"/>
              <w:jc w:val="left"/>
            </w:pPr>
            <w:r>
              <w:t xml:space="preserve">11.89%</w:t>
            </w:r>
          </w:p>
        </w:tc>
        <w:tc>
          <w:tcPr/>
          <w:p>
            <w:pPr>
              <w:pStyle w:val="Compact"/>
              <w:jc w:val="left"/>
            </w:pPr>
            <w:r>
              <w:t xml:space="preserve">13.99%</w:t>
            </w:r>
          </w:p>
        </w:tc>
        <w:tc>
          <w:tcPr/>
          <w:p>
            <w:pPr>
              <w:pStyle w:val="Compact"/>
              <w:jc w:val="left"/>
            </w:pPr>
            <w:r>
              <w:t xml:space="preserve">24.51%</w:t>
            </w:r>
            <w:r>
              <w:t xml:space="preserve"> </w:t>
            </w:r>
            <w:fldSimple w:instr="NOTEREF _Ref_Footnote_71 \h \f">
              <w:r>
                <w:rPr>
                  <w:vertAlign w:val="superscript"/>
                </w:rPr>
                <w:t>71</w:t>
              </w:r>
            </w:fldSimple>
          </w:p>
        </w:tc>
      </w:tr>
      <w:tr>
        <w:tc>
          <w:tcPr/>
          <w:p>
            <w:pPr>
              <w:pStyle w:val="Compact"/>
              <w:jc w:val="left"/>
            </w:pPr>
            <w:r>
              <w:t xml:space="preserve">研发费用（亿元）</w:t>
            </w:r>
          </w:p>
        </w:tc>
        <w:tc>
          <w:tcPr/>
          <w:p>
            <w:pPr>
              <w:pStyle w:val="Compact"/>
              <w:jc w:val="left"/>
            </w:pPr>
            <w:r>
              <w:t xml:space="preserve">1.82</w:t>
            </w:r>
          </w:p>
        </w:tc>
        <w:tc>
          <w:tcPr/>
          <w:p>
            <w:pPr>
              <w:pStyle w:val="Compact"/>
              <w:jc w:val="left"/>
            </w:pPr>
            <w:r>
              <w:t xml:space="preserve">2.13</w:t>
            </w:r>
          </w:p>
        </w:tc>
        <w:tc>
          <w:tcPr/>
          <w:p>
            <w:pPr>
              <w:pStyle w:val="Compact"/>
              <w:jc w:val="left"/>
            </w:pPr>
            <w:r>
              <w:t xml:space="preserve">2.16</w:t>
            </w:r>
            <w:r>
              <w:t xml:space="preserve"> </w:t>
            </w:r>
            <w:fldSimple w:instr="NOTEREF _Ref_Footnote_85 \h \f">
              <w:r>
                <w:rPr>
                  <w:vertAlign w:val="superscript"/>
                </w:rPr>
                <w:t>85</w:t>
              </w:r>
            </w:fldSimple>
          </w:p>
        </w:tc>
      </w:tr>
      <w:tr>
        <w:tc>
          <w:tcPr/>
          <w:p>
            <w:pPr>
              <w:pStyle w:val="Compact"/>
              <w:jc w:val="left"/>
            </w:pPr>
            <w:r>
              <w:t xml:space="preserve">联营企业投资损益（亿元）</w:t>
            </w:r>
          </w:p>
        </w:tc>
        <w:tc>
          <w:tcPr/>
          <w:p>
            <w:pPr>
              <w:pStyle w:val="Compact"/>
              <w:jc w:val="left"/>
            </w:pPr>
            <w:r>
              <w:t xml:space="preserve">—</w:t>
            </w:r>
          </w:p>
        </w:tc>
        <w:tc>
          <w:tcPr/>
          <w:p>
            <w:pPr>
              <w:pStyle w:val="Compact"/>
              <w:jc w:val="left"/>
            </w:pPr>
            <w:r>
              <w:t xml:space="preserve">-0.16</w:t>
            </w:r>
          </w:p>
        </w:tc>
        <w:tc>
          <w:tcPr/>
          <w:p>
            <w:pPr>
              <w:pStyle w:val="Compact"/>
              <w:jc w:val="left"/>
            </w:pPr>
            <w:r>
              <w:t xml:space="preserve">-1.66</w:t>
            </w:r>
            <w:r>
              <w:t xml:space="preserve"> </w:t>
            </w:r>
            <w:fldSimple w:instr="NOTEREF _Ref_Footnote_71 \h \f">
              <w:r>
                <w:rPr>
                  <w:vertAlign w:val="superscript"/>
                </w:rPr>
                <w:t>71</w:t>
              </w:r>
            </w:fldSimple>
          </w:p>
        </w:tc>
      </w:tr>
      <w:tr>
        <w:tc>
          <w:tcPr/>
          <w:p>
            <w:pPr>
              <w:pStyle w:val="Compact"/>
              <w:jc w:val="left"/>
            </w:pPr>
            <w:r>
              <w:t xml:space="preserve">归母净利润（亿元）</w:t>
            </w:r>
          </w:p>
        </w:tc>
        <w:tc>
          <w:tcPr/>
          <w:p>
            <w:pPr>
              <w:pStyle w:val="Compact"/>
              <w:jc w:val="left"/>
            </w:pPr>
            <w:r>
              <w:t xml:space="preserve">-3.06</w:t>
            </w:r>
          </w:p>
        </w:tc>
        <w:tc>
          <w:tcPr/>
          <w:p>
            <w:pPr>
              <w:pStyle w:val="Compact"/>
              <w:jc w:val="left"/>
            </w:pPr>
            <w:r>
              <w:t xml:space="preserve">-1.67</w:t>
            </w:r>
          </w:p>
        </w:tc>
        <w:tc>
          <w:tcPr/>
          <w:p>
            <w:pPr>
              <w:pStyle w:val="Compact"/>
              <w:jc w:val="left"/>
            </w:pPr>
            <w:r>
              <w:t xml:space="preserve">-1.95</w:t>
            </w:r>
            <w:r>
              <w:t xml:space="preserve"> </w:t>
            </w:r>
            <w:fldSimple w:instr="NOTEREF _Ref_Footnote_71 \h \f">
              <w:r>
                <w:rPr>
                  <w:vertAlign w:val="superscript"/>
                </w:rPr>
                <w:t>71</w:t>
              </w:r>
            </w:fldSimple>
          </w:p>
        </w:tc>
      </w:tr>
      <w:tr>
        <w:tc>
          <w:tcPr/>
          <w:p>
            <w:pPr>
              <w:pStyle w:val="Compact"/>
              <w:jc w:val="left"/>
            </w:pPr>
            <w:r>
              <w:t xml:space="preserve">基本每股收益（元）</w:t>
            </w:r>
          </w:p>
        </w:tc>
        <w:tc>
          <w:tcPr/>
          <w:p>
            <w:pPr>
              <w:pStyle w:val="Compact"/>
              <w:jc w:val="left"/>
            </w:pPr>
            <w:r>
              <w:t xml:space="preserve">-0.69</w:t>
            </w:r>
          </w:p>
        </w:tc>
        <w:tc>
          <w:tcPr/>
          <w:p>
            <w:pPr>
              <w:pStyle w:val="Compact"/>
              <w:jc w:val="left"/>
            </w:pPr>
            <w:r>
              <w:t xml:space="preserve">-0.38</w:t>
            </w:r>
          </w:p>
        </w:tc>
        <w:tc>
          <w:tcPr/>
          <w:p>
            <w:pPr>
              <w:pStyle w:val="Compact"/>
              <w:jc w:val="left"/>
            </w:pPr>
            <w:r>
              <w:t xml:space="preserve">-0.45</w:t>
            </w:r>
            <w:r>
              <w:t xml:space="preserve"> </w:t>
            </w:r>
            <w:fldSimple w:instr="NOTEREF _Ref_Footnote_85 \h \f">
              <w:r>
                <w:rPr>
                  <w:vertAlign w:val="superscript"/>
                </w:rPr>
                <w:t>85</w:t>
              </w:r>
            </w:fldSimple>
          </w:p>
        </w:tc>
      </w:tr>
      <w:tr>
        <w:tc>
          <w:tcPr/>
          <w:p>
            <w:pPr>
              <w:pStyle w:val="Compact"/>
              <w:jc w:val="left"/>
            </w:pPr>
            <w:r>
              <w:t xml:space="preserve">经营活动现金流净额（亿元）</w:t>
            </w:r>
          </w:p>
        </w:tc>
        <w:tc>
          <w:tcPr/>
          <w:p>
            <w:pPr>
              <w:pStyle w:val="Compact"/>
              <w:jc w:val="left"/>
            </w:pPr>
            <w:r>
              <w:t xml:space="preserve">—</w:t>
            </w:r>
          </w:p>
        </w:tc>
        <w:tc>
          <w:tcPr/>
          <w:p>
            <w:pPr>
              <w:pStyle w:val="Compact"/>
              <w:jc w:val="left"/>
            </w:pPr>
            <w:r>
              <w:t xml:space="preserve">-2.78</w:t>
            </w:r>
          </w:p>
        </w:tc>
        <w:tc>
          <w:tcPr/>
          <w:p>
            <w:pPr>
              <w:pStyle w:val="Compact"/>
              <w:jc w:val="left"/>
            </w:pPr>
            <w:r>
              <w:t xml:space="preserve">-1.58</w:t>
            </w:r>
            <w:r>
              <w:t xml:space="preserve"> </w:t>
            </w:r>
            <w:fldSimple w:instr="NOTEREF _Ref_Footnote_85 \h \f">
              <w:r>
                <w:rPr>
                  <w:vertAlign w:val="superscript"/>
                </w:rPr>
                <w:t>85</w:t>
              </w:r>
            </w:fldSimple>
          </w:p>
        </w:tc>
      </w:tr>
      <w:tr>
        <w:tc>
          <w:tcPr/>
          <w:p>
            <w:pPr>
              <w:pStyle w:val="Compact"/>
              <w:jc w:val="left"/>
            </w:pPr>
            <w:r>
              <w:t xml:space="preserve">期末存货（亿元）</w:t>
            </w:r>
          </w:p>
        </w:tc>
        <w:tc>
          <w:tcPr/>
          <w:p>
            <w:pPr>
              <w:pStyle w:val="Compact"/>
              <w:jc w:val="left"/>
            </w:pPr>
            <w:r>
              <w:t xml:space="preserve">—</w:t>
            </w:r>
          </w:p>
        </w:tc>
        <w:tc>
          <w:tcPr/>
          <w:p>
            <w:pPr>
              <w:pStyle w:val="Compact"/>
              <w:jc w:val="left"/>
            </w:pPr>
            <w:r>
              <w:t xml:space="preserve">8.92</w:t>
            </w:r>
          </w:p>
        </w:tc>
        <w:tc>
          <w:tcPr/>
          <w:p>
            <w:pPr>
              <w:pStyle w:val="Compact"/>
              <w:jc w:val="left"/>
            </w:pPr>
            <w:r>
              <w:t xml:space="preserve">10.66</w:t>
            </w:r>
            <w:r>
              <w:t xml:space="preserve"> </w:t>
            </w:r>
            <w:fldSimple w:instr="NOTEREF _Ref_Footnote_85 \h \f">
              <w:r>
                <w:rPr>
                  <w:vertAlign w:val="superscript"/>
                </w:rPr>
                <w:t>85</w:t>
              </w:r>
            </w:fldSimple>
          </w:p>
        </w:tc>
      </w:tr>
    </w:tbl>
    <w:p>
      <w:pPr>
        <w:pStyle w:val="BodyText"/>
      </w:pPr>
      <w:r>
        <w:t xml:space="preserve">三年维度看，公司收入连续加速（+20.8% → +43.8%），毛利率自 11.89% 修复至 24.51%，年均抬升约 6.3 个百分点，存储主业的修复趋势明确。亏损在 2024 年收窄后于 2025 年重新扩大，并非毛利率恶化所致，而是砺算权益法亏损从 0.16 亿元放大至 1.66 亿元、研发维持 2 亿元以上高位共同压制的结果。换言之，报表利润拐点被战略投入”延迟”了一年；经营性现金流缺口从 -2.78 亿元收窄至 -1.58 亿元，同样印证主业造血能力在改善，存货持续攀升则反映公司在涨价周期中主动备货。</w:t>
      </w:r>
    </w:p>
    <w:p>
      <w:pPr>
        <w:pStyle w:val="BodyText"/>
      </w:pPr>
      <w:r>
        <w:rPr>
          <w:bCs/>
          <w:b/>
        </w:rPr>
        <w:t xml:space="preserve">表 4-2 2025 年归母净利润亏损拆解（单位：亿元）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金额</w:t>
            </w:r>
          </w:p>
        </w:tc>
        <w:tc>
          <w:tcPr/>
          <w:p>
            <w:pPr>
              <w:pStyle w:val="Compact"/>
              <w:jc w:val="left"/>
            </w:pPr>
            <w:r>
              <w:t xml:space="preserve">说明</w:t>
            </w:r>
          </w:p>
        </w:tc>
      </w:tr>
      <w:tr>
        <w:tc>
          <w:tcPr/>
          <w:p>
            <w:pPr>
              <w:pStyle w:val="Compact"/>
              <w:jc w:val="left"/>
            </w:pPr>
            <w:r>
              <w:t xml:space="preserve">毛利</w:t>
            </w:r>
          </w:p>
        </w:tc>
        <w:tc>
          <w:tcPr/>
          <w:p>
            <w:pPr>
              <w:pStyle w:val="Compact"/>
              <w:jc w:val="left"/>
            </w:pPr>
            <w:r>
              <w:t xml:space="preserve">+2.26</w:t>
            </w:r>
          </w:p>
        </w:tc>
        <w:tc>
          <w:tcPr/>
          <w:p>
            <w:pPr>
              <w:pStyle w:val="Compact"/>
              <w:jc w:val="left"/>
            </w:pPr>
            <w:r>
              <w:t xml:space="preserve">营收 9.21 亿 × 毛利率 24.51%</w:t>
            </w:r>
            <w:r>
              <w:t xml:space="preserve"> </w:t>
            </w:r>
            <w:fldSimple w:instr="NOTEREF _Ref_Footnote_71 \h \f">
              <w:r>
                <w:rPr>
                  <w:vertAlign w:val="superscript"/>
                </w:rPr>
                <w:t>71</w:t>
              </w:r>
            </w:fldSimple>
          </w:p>
        </w:tc>
      </w:tr>
      <w:tr>
        <w:tc>
          <w:tcPr/>
          <w:p>
            <w:pPr>
              <w:pStyle w:val="Compact"/>
              <w:jc w:val="left"/>
            </w:pPr>
            <w:r>
              <w:t xml:space="preserve">研发费用</w:t>
            </w:r>
          </w:p>
        </w:tc>
        <w:tc>
          <w:tcPr/>
          <w:p>
            <w:pPr>
              <w:pStyle w:val="Compact"/>
              <w:jc w:val="left"/>
            </w:pPr>
            <w:r>
              <w:t xml:space="preserve">-2.16</w:t>
            </w:r>
          </w:p>
        </w:tc>
        <w:tc>
          <w:tcPr/>
          <w:p>
            <w:pPr>
              <w:pStyle w:val="Compact"/>
              <w:jc w:val="left"/>
            </w:pPr>
            <w:r>
              <w:t xml:space="preserve">占营收 23.43%</w:t>
            </w:r>
            <w:r>
              <w:t xml:space="preserve"> </w:t>
            </w:r>
            <w:fldSimple w:instr="NOTEREF _Ref_Footnote_85 \h \f">
              <w:r>
                <w:rPr>
                  <w:vertAlign w:val="superscript"/>
                </w:rPr>
                <w:t>85</w:t>
              </w:r>
            </w:fldSimple>
          </w:p>
        </w:tc>
      </w:tr>
      <w:tr>
        <w:tc>
          <w:tcPr/>
          <w:p>
            <w:pPr>
              <w:pStyle w:val="Compact"/>
              <w:jc w:val="left"/>
            </w:pPr>
            <w:r>
              <w:t xml:space="preserve">管理/销售/财务费用</w:t>
            </w:r>
          </w:p>
        </w:tc>
        <w:tc>
          <w:tcPr/>
          <w:p>
            <w:pPr>
              <w:pStyle w:val="Compact"/>
              <w:jc w:val="left"/>
            </w:pPr>
            <w:r>
              <w:t xml:space="preserve">-1.26</w:t>
            </w:r>
          </w:p>
        </w:tc>
        <w:tc>
          <w:tcPr/>
          <w:p>
            <w:pPr>
              <w:pStyle w:val="Compact"/>
              <w:jc w:val="left"/>
            </w:pPr>
            <w:r>
              <w:t xml:space="preserve">分别为 0.89 / 0.28 / 0.09 亿</w:t>
            </w:r>
            <w:r>
              <w:t xml:space="preserve"> </w:t>
            </w:r>
            <w:fldSimple w:instr="NOTEREF _Ref_Footnote_85 \h \f">
              <w:r>
                <w:rPr>
                  <w:vertAlign w:val="superscript"/>
                </w:rPr>
                <w:t>85</w:t>
              </w:r>
            </w:fldSimple>
          </w:p>
        </w:tc>
      </w:tr>
      <w:tr>
        <w:tc>
          <w:tcPr/>
          <w:p>
            <w:pPr>
              <w:pStyle w:val="Compact"/>
              <w:jc w:val="left"/>
            </w:pPr>
            <w:r>
              <w:t xml:space="preserve">资产减值损失</w:t>
            </w:r>
          </w:p>
        </w:tc>
        <w:tc>
          <w:tcPr/>
          <w:p>
            <w:pPr>
              <w:pStyle w:val="Compact"/>
              <w:jc w:val="left"/>
            </w:pPr>
            <w:r>
              <w:t xml:space="preserve">-0.33</w:t>
            </w:r>
          </w:p>
        </w:tc>
        <w:tc>
          <w:tcPr/>
          <w:p>
            <w:pPr>
              <w:pStyle w:val="Compact"/>
              <w:jc w:val="left"/>
            </w:pPr>
            <w:r>
              <w:t xml:space="preserve">以存货跌价准备为主</w:t>
            </w:r>
            <w:r>
              <w:t xml:space="preserve"> </w:t>
            </w:r>
            <w:fldSimple w:instr="NOTEREF _Ref_Footnote_85 \h \f">
              <w:r>
                <w:rPr>
                  <w:vertAlign w:val="superscript"/>
                </w:rPr>
                <w:t>85</w:t>
              </w:r>
            </w:fldSimple>
          </w:p>
        </w:tc>
      </w:tr>
      <w:tr>
        <w:tc>
          <w:tcPr/>
          <w:p>
            <w:pPr>
              <w:pStyle w:val="Compact"/>
              <w:jc w:val="left"/>
            </w:pPr>
            <w:r>
              <w:t xml:space="preserve">投资收益</w:t>
            </w:r>
          </w:p>
        </w:tc>
        <w:tc>
          <w:tcPr/>
          <w:p>
            <w:pPr>
              <w:pStyle w:val="Compact"/>
              <w:jc w:val="left"/>
            </w:pPr>
            <w:r>
              <w:t xml:space="preserve">-1.47</w:t>
            </w:r>
          </w:p>
        </w:tc>
        <w:tc>
          <w:tcPr/>
          <w:p>
            <w:pPr>
              <w:pStyle w:val="Compact"/>
              <w:jc w:val="left"/>
            </w:pPr>
            <w:r>
              <w:t xml:space="preserve">其中砺算权益法亏损 -1.66 亿</w:t>
            </w:r>
            <w:r>
              <w:t xml:space="preserve"> </w:t>
            </w:r>
            <w:fldSimple w:instr="NOTEREF _Ref_Footnote_71 \h \f">
              <w:r>
                <w:rPr>
                  <w:vertAlign w:val="superscript"/>
                </w:rPr>
                <w:t>71</w:t>
              </w:r>
            </w:fldSimple>
          </w:p>
        </w:tc>
      </w:tr>
      <w:tr>
        <w:tc>
          <w:tcPr/>
          <w:p>
            <w:pPr>
              <w:pStyle w:val="Compact"/>
              <w:jc w:val="left"/>
            </w:pPr>
            <w:r>
              <w:t xml:space="preserve">其他收益等轧差项</w:t>
            </w:r>
          </w:p>
        </w:tc>
        <w:tc>
          <w:tcPr/>
          <w:p>
            <w:pPr>
              <w:pStyle w:val="Compact"/>
              <w:jc w:val="left"/>
            </w:pPr>
            <w:r>
              <w:t xml:space="preserve">+0.80</w:t>
            </w:r>
          </w:p>
        </w:tc>
        <w:tc>
          <w:tcPr/>
          <w:p>
            <w:pPr>
              <w:pStyle w:val="Compact"/>
              <w:jc w:val="left"/>
            </w:pPr>
            <w:r>
              <w:t xml:space="preserve">含政府补助、公允价值变动等（测算值）</w:t>
            </w:r>
          </w:p>
        </w:tc>
      </w:tr>
      <w:tr>
        <w:tc>
          <w:tcPr/>
          <w:p>
            <w:pPr>
              <w:pStyle w:val="Compact"/>
              <w:jc w:val="left"/>
            </w:pPr>
            <w:r>
              <w:t xml:space="preserve">净利润</w:t>
            </w:r>
          </w:p>
        </w:tc>
        <w:tc>
          <w:tcPr/>
          <w:p>
            <w:pPr>
              <w:pStyle w:val="Compact"/>
              <w:jc w:val="left"/>
            </w:pPr>
            <w:r>
              <w:t xml:space="preserve">-2.16</w:t>
            </w:r>
          </w:p>
        </w:tc>
        <w:tc>
          <w:tcPr/>
          <w:p>
            <w:pPr>
              <w:pStyle w:val="Compact"/>
              <w:jc w:val="left"/>
            </w:pPr>
            <w:r>
              <w:t xml:space="preserve">含少数股东损益 -0.21 亿</w:t>
            </w:r>
            <w:r>
              <w:t xml:space="preserve"> </w:t>
            </w:r>
            <w:fldSimple w:instr="NOTEREF _Ref_Footnote_71 \h \f">
              <w:r>
                <w:rPr>
                  <w:vertAlign w:val="superscript"/>
                </w:rPr>
                <w:t>71</w:t>
              </w:r>
            </w:fldSimple>
          </w:p>
        </w:tc>
      </w:tr>
      <w:tr>
        <w:tc>
          <w:tcPr/>
          <w:p>
            <w:pPr>
              <w:pStyle w:val="Compact"/>
              <w:jc w:val="left"/>
            </w:pPr>
            <w:r>
              <w:rPr>
                <w:bCs/>
                <w:b/>
              </w:rPr>
              <w:t xml:space="preserve">归母净利润</w:t>
            </w:r>
          </w:p>
        </w:tc>
        <w:tc>
          <w:tcPr/>
          <w:p>
            <w:pPr>
              <w:pStyle w:val="Compact"/>
              <w:jc w:val="left"/>
            </w:pPr>
            <w:r>
              <w:rPr>
                <w:bCs/>
                <w:b/>
              </w:rPr>
              <w:t xml:space="preserve">-1.95</w:t>
            </w:r>
          </w:p>
        </w:tc>
        <w:tc>
          <w:tcPr/>
          <w:p>
            <w:pPr>
              <w:pStyle w:val="Compact"/>
              <w:jc w:val="left"/>
            </w:pPr>
            <w:r>
              <w:t xml:space="preserve">亏损同比扩大 16.54%</w:t>
            </w:r>
            <w:r>
              <w:t xml:space="preserve"> </w:t>
            </w:r>
            <w:fldSimple w:instr="NOTEREF _Ref_Footnote_85 \h \f">
              <w:r>
                <w:rPr>
                  <w:vertAlign w:val="superscript"/>
                </w:rPr>
                <w:t>85</w:t>
              </w:r>
            </w:fldSimple>
          </w:p>
        </w:tc>
      </w:tr>
    </w:tbl>
    <w:p>
      <w:pPr>
        <w:pStyle w:val="BodyText"/>
      </w:pPr>
      <w:r>
        <w:t xml:space="preserve">拆解显示，2025 年亏损的两个最大来源——研发投入 2.16 亿元与砺算权益法亏损 1.66 亿元——均属”存算联”战略投入，而非存储主业的经营性亏损。粗略测算，若加回砺算亏损 1.66 亿元及 Wi-Fi 7 运营主体亿芯通感 0.72 亿元的净亏损</w:t>
      </w:r>
      <w:fldSimple w:instr="NOTEREF _Ref_Footnote_71 \h \f">
        <w:r>
          <w:rPr>
            <w:vertAlign w:val="superscript"/>
          </w:rPr>
          <w:t>71</w:t>
        </w:r>
      </w:fldSimple>
      <w:r>
        <w:t xml:space="preserve">，存储主业 2025 年已接近盈亏平衡。这意味着一旦主业毛利率上行、或战略投入减亏，利润弹性将集中释放——2026 年一季报正是这一机制的首次兑现，也解释了为何亏损的”质”与周期底部的经营性亏损（如 2023 年）有本质区别。</w:t>
      </w:r>
    </w:p>
    <w:bookmarkEnd w:id="59"/>
    <w:bookmarkStart w:id="60" w:name="q1-拐点营收-237毛利率-53.17现金流转正"/>
    <w:p>
      <w:pPr>
        <w:pStyle w:val="Heading4"/>
      </w:pPr>
      <w:r>
        <w:t xml:space="preserve">4.1.2 2026Q1 拐点：营收 +237%、毛利率 53.17%、现金流转正</w:t>
      </w:r>
    </w:p>
    <w:p>
      <w:pPr>
        <w:pStyle w:val="FirstParagraph"/>
      </w:pPr>
      <w:r>
        <w:t xml:space="preserve">2026Q1 公司实现营收 4.79 亿元，同比 +236.95%，单季收入已达 2025 年全年的 52%；毛利率 53.17%，同比抬升约 39 个百分点（2025Q1 为 14.16%）；归母净利润 +1.38 亿元（上年同期 -0.59 亿元），其中扣非归母 +1.32 亿元，非经常性损益仅约 0.06 亿元，利润含金量较高；经营活动现金流净额 +0.41 亿元，较上年同期 -0.54 亿元转正，加权 ROE 3.91%</w:t>
      </w:r>
      <w:fldSimple w:instr="NOTEREF _Ref_Footnote_5 \h \f">
        <w:r>
          <w:rPr>
            <w:vertAlign w:val="superscript"/>
          </w:rPr>
          <w:t>5</w:t>
        </w:r>
      </w:fldSimple>
      <w:r>
        <w:t xml:space="preserve">。盈利质量上，扭亏并非依赖费用压缩：研发费用绝对额仅同比 -4.73% 至 0.53 亿元，主要是收入规模摊薄使研发费用率从 39.33% 降至 11.12%</w:t>
      </w:r>
      <w:fldSimple w:instr="NOTEREF _Ref_Footnote_5 \h \f">
        <w:r>
          <w:rPr>
            <w:vertAlign w:val="superscript"/>
          </w:rPr>
          <w:t>5</w:t>
        </w:r>
      </w:fldSimple>
      <w:r>
        <w:t xml:space="preserve">。管理层将改善归因于半导体景气回升、中小容量存储结构性紧缺下的产品量价齐升</w:t>
      </w:r>
      <w:r>
        <w:rPr>
          <w:vertAlign w:val="superscript"/>
        </w:rPr>
        <w:footnoteReference w:id="86"/>
      </w:r>
      <w:r>
        <w:t xml:space="preserve">。</w:t>
      </w:r>
    </w:p>
    <w:p>
      <w:pPr>
        <w:pStyle w:val="BodyText"/>
      </w:pPr>
      <w:r>
        <w:t xml:space="preserve">存货维度，2026Q1 末存货 11.93 亿元，较 2025 年末再增 12%，约占总资产 30%</w:t>
      </w:r>
      <w:fldSimple w:instr="NOTEREF _Ref_Footnote_5 \h \f">
        <w:r>
          <w:rPr>
            <w:vertAlign w:val="superscript"/>
          </w:rPr>
          <w:t>5</w:t>
        </w:r>
      </w:fldSimple>
      <w:r>
        <w:t xml:space="preserve">。在 SLC NAND 2026H1 合约价累计上涨 130%–150% 的价格环境下</w:t>
      </w:r>
      <w:fldSimple w:instr="NOTEREF _Ref_Footnote_72 \h \f">
        <w:r>
          <w:rPr>
            <w:vertAlign w:val="superscript"/>
          </w:rPr>
          <w:t>72</w:t>
        </w:r>
      </w:fldSimple>
      <w:r>
        <w:t xml:space="preserve">，前期低成本备货意味着 Q2—Q3 确认收入时仍可享受”低价库存红利”，为高毛利率的持续性提供成本端支撑；但高存货在周期反转时也将对称放大跌价风险，属于典型的周期股双刃属性，需与 8 月半年报的存货去化节奏对照验证。</w:t>
      </w:r>
    </w:p>
    <w:bookmarkEnd w:id="60"/>
    <w:bookmarkEnd w:id="61"/>
    <w:bookmarkStart w:id="67" w:name="收入结构与增长质量"/>
    <w:p>
      <w:pPr>
        <w:pStyle w:val="Heading3"/>
      </w:pPr>
      <w:r>
        <w:t xml:space="preserve">4.2 收入结构与增长质量</w:t>
      </w:r>
    </w:p>
    <w:bookmarkStart w:id="62" w:name="分产品nand-占-651xnm-slc-nand-量产的意义"/>
    <w:p>
      <w:pPr>
        <w:pStyle w:val="Heading4"/>
      </w:pPr>
      <w:r>
        <w:t xml:space="preserve">4.2.1 分产品：NAND 占 65%，1xnm SLC NAND 量产的意义</w:t>
      </w:r>
    </w:p>
    <w:p>
      <w:pPr>
        <w:pStyle w:val="FirstParagraph"/>
      </w:pPr>
      <w:r>
        <w:t xml:space="preserve">2025 年收入结构为：NAND 6.01 亿元（占 65.2%，同比 +64.21%，毛利率 27.26%）；MCP 2.31 亿元（25.0%，+39.14%，11.46%）；利基 DRAM 0.54 亿元（5.8%，-19.51%，33.00%）；NOR 0.33 亿元（3.6%，-15.64%，46.82%）</w:t>
      </w:r>
      <w:fldSimple w:instr="NOTEREF _Ref_Footnote_71 \h \f">
        <w:r>
          <w:rPr>
            <w:vertAlign w:val="superscript"/>
          </w:rPr>
          <w:t>71</w:t>
        </w:r>
      </w:fldSimple>
      <w:r>
        <w:t xml:space="preserve">。这一结构有三层含义：其一，占比近三分之二的 SLC NAND 恰是本轮涨价弹性最大的品类（2026H1 合约价 +130%–150%</w:t>
      </w:r>
      <w:fldSimple w:instr="NOTEREF _Ref_Footnote_72 \h \f">
        <w:r>
          <w:rPr>
            <w:vertAlign w:val="superscript"/>
          </w:rPr>
          <w:t>72</w:t>
        </w:r>
      </w:fldSimple>
      <w:r>
        <w:t xml:space="preserve">，TrendForce 预计 2026Q2—Q4 仍有约 120% 上涨空间</w:t>
      </w:r>
      <w:fldSimple w:instr="NOTEREF _Ref_Footnote_73 \h \f">
        <w:r>
          <w:rPr>
            <w:vertAlign w:val="superscript"/>
          </w:rPr>
          <w:t>73</w:t>
        </w:r>
      </w:fldSimple>
      <w:r>
        <w:t xml:space="preserve">），东芯收入结构与涨价品类的匹配度在利基存储公司中最高，构成其业绩弹性大于同业的产品基础；其二，NOR 虽是毛利率最高的品类（46.82%），但占比仅约 4% 且 2025 年仍负增长，AI 端侧（智能耳机/眼镜）逻辑对东芯短期业绩贡献有限；其三，利基 DRAM 体量小且收入下滑，在 DDR4 涨价潮中东芯的受益弹性弱于兆易创新等以 DRAM 为主的对手。</w:t>
      </w:r>
    </w:p>
    <w:p>
      <w:pPr>
        <w:pStyle w:val="BodyText"/>
      </w:pPr>
      <w:r>
        <w:t xml:space="preserve">供给能力上，1xnm SLC NAND 已于 2025 年实现量产，制程从 2xnm 推进至 1xnm，缩小了与华邦、旺宏、兆易（24nm 级）的单位成本差距，并支撑 4Gb/8Gb 大容量产品与车规客户导入，是公司承接涨价、维持高毛利的成本基础</w:t>
      </w:r>
      <w:r>
        <w:rPr>
          <w:vertAlign w:val="superscript"/>
        </w:rPr>
        <w:footnoteReference w:id="87"/>
      </w:r>
      <w:r>
        <w:t xml:space="preserve">。增长质量的瑕疵在于客户集中：2025 年前五大客户销售额占比 66.17%，第一大客户占 23.00%</w:t>
      </w:r>
      <w:fldSimple w:instr="NOTEREF _Ref_Footnote_71 \h \f">
        <w:r>
          <w:rPr>
            <w:vertAlign w:val="superscript"/>
          </w:rPr>
          <w:t>71</w:t>
        </w:r>
      </w:fldSimple>
      <w:r>
        <w:t xml:space="preserve">，上行期大客户放量推高弹性，下行期砍单的业绩波动也将被对称放大。</w:t>
      </w:r>
    </w:p>
    <w:bookmarkEnd w:id="62"/>
    <w:bookmarkStart w:id="66" w:name="分季度趋势收入逐季爬坡毛利率跳升"/>
    <w:p>
      <w:pPr>
        <w:pStyle w:val="Heading4"/>
      </w:pPr>
      <w:r>
        <w:t xml:space="preserve">4.2.2 分季度趋势：收入逐季爬坡、毛利率跳升</w:t>
      </w:r>
    </w:p>
    <w:p>
      <w:pPr>
        <w:pStyle w:val="CaptionedFigure"/>
      </w:pPr>
      <w:r>
        <w:drawing>
          <wp:inline>
            <wp:extent cx="5334000" cy="2997511"/>
            <wp:effectExtent b="0" l="0" r="0" t="0"/>
            <wp:docPr descr="图 4-1：东芯股份分季度营业收入与毛利率（2025Q1—2026Q1）" title="" id="64" name="Picture"/>
            <a:graphic>
              <a:graphicData uri="http://schemas.openxmlformats.org/drawingml/2006/picture">
                <pic:pic>
                  <pic:nvPicPr>
                    <pic:cNvPr descr="dongxin_sec04_fig1.png" id="65" name="Picture"/>
                    <pic:cNvPicPr>
                      <a:picLocks noChangeArrowheads="1" noChangeAspect="1"/>
                    </pic:cNvPicPr>
                  </pic:nvPicPr>
                  <pic:blipFill>
                    <a:blip r:embed="rId63"/>
                    <a:stretch>
                      <a:fillRect/>
                    </a:stretch>
                  </pic:blipFill>
                  <pic:spPr bwMode="auto">
                    <a:xfrm>
                      <a:off x="0" y="0"/>
                      <a:ext cx="5334000" cy="2997511"/>
                    </a:xfrm>
                    <a:prstGeom prst="rect">
                      <a:avLst/>
                    </a:prstGeom>
                    <a:noFill/>
                    <a:ln w="9525">
                      <a:noFill/>
                      <a:headEnd/>
                      <a:tailEnd/>
                    </a:ln>
                  </pic:spPr>
                </pic:pic>
              </a:graphicData>
            </a:graphic>
          </wp:inline>
        </w:drawing>
      </w:r>
    </w:p>
    <w:p>
      <w:pPr>
        <w:pStyle w:val="ImageCaption"/>
      </w:pPr>
      <w:r>
        <w:t xml:space="preserve">图 4-1：东芯股份分季度营业收入与毛利率（2025Q1—2026Q1）</w:t>
      </w:r>
    </w:p>
    <w:p>
      <w:pPr>
        <w:pStyle w:val="BodyText"/>
      </w:pPr>
      <w:r>
        <w:t xml:space="preserve">2025 年分季度营收分别为 Q1 1.42 亿、Q2 2.01 亿、Q3 2.30 亿、Q4 3.49 亿元，Q2—Q4 环比增速为 +41.1%、+14.3%、+52.0%；2026Q1 进一步环比 +37.4% 至 4.79 亿元</w:t>
      </w:r>
      <w:fldSimple w:instr="NOTEREF _Ref_Footnote_71 \h \f">
        <w:r>
          <w:rPr>
            <w:vertAlign w:val="superscript"/>
          </w:rPr>
          <w:t>71</w:t>
        </w:r>
      </w:fldSimple>
      <w:r>
        <w:t xml:space="preserve"> </w:t>
      </w:r>
      <w:fldSimple w:instr="NOTEREF _Ref_Footnote_5 \h \f">
        <w:r>
          <w:rPr>
            <w:vertAlign w:val="superscript"/>
          </w:rPr>
          <w:t>5</w:t>
        </w:r>
      </w:fldSimple>
      <w:r>
        <w:t xml:space="preserve">。收入逐季加速与毛利率跳升（2025Q1 14.16% → 2026Q1 53.17%）同步出现，符合”量价齐升”特征，而非以价换量式的补库行情；2025Q4 单季收入已相当于 2024 年全年的 54%，说明涨价向报表的传导自 2025 年下半年起持续强化。需要提示的是，2025Q2—Q4 单季毛利率未单独披露，全年 24.51% 与 2026Q1 53.17% 之间缺少中间锚点，Q2 毛利率能否站稳 50% 上方，需待 8 月 22 日半年报验证。</w:t>
      </w:r>
    </w:p>
    <w:bookmarkEnd w:id="66"/>
    <w:bookmarkEnd w:id="67"/>
    <w:bookmarkStart w:id="70" w:name="资产负债表与存算联投入"/>
    <w:p>
      <w:pPr>
        <w:pStyle w:val="Heading3"/>
      </w:pPr>
      <w:r>
        <w:t xml:space="preserve">4.3 资产负债表与”存算联”投入</w:t>
      </w:r>
    </w:p>
    <w:bookmarkStart w:id="68" w:name="资产负债率仅-5.7财务安全垫评估"/>
    <w:p>
      <w:pPr>
        <w:pStyle w:val="Heading4"/>
      </w:pPr>
      <w:r>
        <w:t xml:space="preserve">4.3.1 资产负债率仅 5.7%：财务安全垫评估</w:t>
      </w:r>
    </w:p>
    <w:p>
      <w:pPr>
        <w:pStyle w:val="FirstParagraph"/>
      </w:pPr>
      <w:r>
        <w:t xml:space="preserve">截至 2025 年末，公司总资产 38.40 亿元、总负债 2.18 亿元，资产负债率仅约 5.7%，几乎无有息负债；货币资金 5.97 亿元、交易性金融资产 5.35 亿元，另有以长期定存及理财为主的其他非流动资产 8.17 亿元，类现金储备合计约 19.5 亿元，约占总资产 51%；流动比率 14.25、速动比率 7.05，货币资金对短期债务覆盖约 44.7 倍</w:t>
      </w:r>
      <w:fldSimple w:instr="NOTEREF _Ref_Footnote_85 \h \f">
        <w:r>
          <w:rPr>
            <w:vertAlign w:val="superscript"/>
          </w:rPr>
          <w:t>85</w:t>
        </w:r>
      </w:fldSimple>
      <w:r>
        <w:t xml:space="preserve">。2026Q1 末资产负债率 6.33%，仅新增短期借款 0.27 亿元</w:t>
      </w:r>
      <w:fldSimple w:instr="NOTEREF _Ref_Footnote_5 \h \f">
        <w:r>
          <w:rPr>
            <w:vertAlign w:val="superscript"/>
          </w:rPr>
          <w:t>5</w:t>
        </w:r>
      </w:fldSimple>
      <w:r>
        <w:t xml:space="preserve">。需指出的是，公司未分配利润为 -4.92 亿元（累计亏损），2025 年度不分配不转增并以公积金弥补亏损</w:t>
      </w:r>
      <w:fldSimple w:instr="NOTEREF _Ref_Footnote_71 \h \f">
        <w:r>
          <w:rPr>
            <w:vertAlign w:val="superscript"/>
          </w:rPr>
          <w:t>71</w:t>
        </w:r>
      </w:fldSimple>
      <w:r>
        <w:t xml:space="preserve">。综合评估：即便存储周期在 2027 年前后反转，公司也不存在偿债压力，财务安全垫足以支撑其穿越下行周期并维持每年 2 亿元以上的研发投入；财务层面的真实风险不在杠杆，而在存货跌价与砺算权益法亏损两处。</w:t>
      </w:r>
    </w:p>
    <w:bookmarkEnd w:id="68"/>
    <w:bookmarkStart w:id="69" w:name="砺算35.87双刃剑当期拖累与期权价值"/>
    <w:p>
      <w:pPr>
        <w:pStyle w:val="Heading4"/>
      </w:pPr>
      <w:r>
        <w:t xml:space="preserve">4.3.2 砺算（35.87%）双刃剑：当期拖累与期权价值</w:t>
      </w:r>
    </w:p>
    <w:p>
      <w:pPr>
        <w:pStyle w:val="FirstParagraph"/>
      </w:pPr>
      <w:r>
        <w:t xml:space="preserve">东芯持有上海砺算 35.87% 股权，累计出资约 4.11 亿元，权益法核算、不并表</w:t>
      </w:r>
      <w:r>
        <w:rPr>
          <w:vertAlign w:val="superscript"/>
        </w:rPr>
        <w:footnoteReference w:id="88"/>
      </w:r>
      <w:r>
        <w:t xml:space="preserve">。拖累端：2025 年确认投资亏损 1.66 亿元，占当年归母亏损的 85%；2026Q1 仍确认约 0.21 亿元亏损，而长期股权投资余额反从 0.92 亿元增至 2.53 亿元（+175%），显示公司仍在加码 GPU 战略</w:t>
      </w:r>
      <w:fldSimple w:instr="NOTEREF _Ref_Footnote_71 \h \f">
        <w:r>
          <w:rPr>
            <w:vertAlign w:val="superscript"/>
          </w:rPr>
          <w:t>71</w:t>
        </w:r>
      </w:fldSimple>
      <w:r>
        <w:t xml:space="preserve"> </w:t>
      </w:r>
      <w:fldSimple w:instr="NOTEREF _Ref_Footnote_5 \h \f">
        <w:r>
          <w:rPr>
            <w:vertAlign w:val="superscript"/>
          </w:rPr>
          <w:t>5</w:t>
        </w:r>
      </w:fldSimple>
      <w:r>
        <w:t xml:space="preserve">。期权端：砺算 7G100（台积电 6nm、全自研架构）已于 2025 年 9 月启动量产、12 月完成首批订单交付，2026 年 3 月专业卡正式发售</w:t>
      </w:r>
      <w:r>
        <w:rPr>
          <w:vertAlign w:val="superscript"/>
        </w:rPr>
        <w:footnoteReference w:id="89"/>
      </w:r>
      <w:r>
        <w:t xml:space="preserve">；消费级 LX 7G100 零售版定价 2688 元，于 2026 年 7 月 17 日在京东开售，砺算并为国内唯一通过微软 WHQL 认证的国产独显厂商</w:t>
      </w:r>
      <w:r>
        <w:rPr>
          <w:vertAlign w:val="superscript"/>
        </w:rPr>
        <w:footnoteReference w:id="90"/>
      </w:r>
      <w:r>
        <w:t xml:space="preserve">。但预期需按公司公告口径打折：砺算与云计算厂商目前仅签署战略合作框架协议、尚未形成订单与收入，产品面向 PC、专业设计与数字孪生场景，而非大模型算力集群</w:t>
      </w:r>
      <w:r>
        <w:rPr>
          <w:vertAlign w:val="superscript"/>
        </w:rPr>
        <w:footnoteReference w:id="91"/>
      </w:r>
      <w:r>
        <w:t xml:space="preserve">；公司风险提示亦明确，全球独显约 98% 份额由英伟达与 AMD 主导，砺算存在产业化进度与单一产品依赖风险</w:t>
      </w:r>
      <w:r>
        <w:rPr>
          <w:vertAlign w:val="superscript"/>
        </w:rPr>
        <w:footnoteReference w:id="92"/>
      </w:r>
      <w:r>
        <w:t xml:space="preserve">。Wi-Fi 7 芯片则处于更早期：样片测试完成，项目预计总投资 2.6 亿元、累计投入 1.07 亿元（约 41%），2025 年零收入，运营主体亿芯通感当年净亏损 0.72 亿元</w:t>
      </w:r>
      <w:fldSimple w:instr="NOTEREF _Ref_Footnote_71 \h \f">
        <w:r>
          <w:rPr>
            <w:vertAlign w:val="superscript"/>
          </w:rPr>
          <w:t>71</w:t>
        </w:r>
      </w:fldSimple>
      <w:r>
        <w:t xml:space="preserve">。总体看，</w:t>
      </w:r>
      <w:r>
        <w:t xml:space="preserve">“</w:t>
      </w:r>
      <w:r>
        <w:t xml:space="preserve">存算联</w:t>
      </w:r>
      <w:r>
        <w:t xml:space="preserve">”</w:t>
      </w:r>
      <w:r>
        <w:t xml:space="preserve">对 2026 年利润表仍是净拖累，其价值主要体现在砺算股权的重估期权，而非当期利润贡献。</w:t>
      </w:r>
    </w:p>
    <w:bookmarkEnd w:id="69"/>
    <w:bookmarkEnd w:id="70"/>
    <w:bookmarkStart w:id="72" w:name="机构盈利预测"/>
    <w:p>
      <w:pPr>
        <w:pStyle w:val="Heading3"/>
      </w:pPr>
      <w:r>
        <w:t xml:space="preserve">4.4 机构盈利预测</w:t>
      </w:r>
    </w:p>
    <w:bookmarkStart w:id="71" w:name="一致预期-2026e-净利-6.1-亿预测上修与敏感性"/>
    <w:p>
      <w:pPr>
        <w:pStyle w:val="Heading4"/>
      </w:pPr>
      <w:r>
        <w:t xml:space="preserve">4.4.1 一致预期 2026E 净利 6.1 亿：预测上修与敏感性</w:t>
      </w:r>
    </w:p>
    <w:p>
      <w:pPr>
        <w:pStyle w:val="FirstParagraph"/>
      </w:pPr>
      <w:r>
        <w:t xml:space="preserve">iFinD 一致预期 2026 年归母净利润 6.115 亿元（同比 +413.9%）、营收 21.44 亿元（+132.6%），2027E、2028E 归母净利润分别为 6.26 亿、7.00 亿元</w:t>
      </w:r>
      <w:r>
        <w:rPr>
          <w:vertAlign w:val="superscript"/>
        </w:rPr>
        <w:footnoteReference w:id="93"/>
      </w:r>
      <w:r>
        <w:t xml:space="preserve">。华龙证券 2026 年 6 月 30 日首次覆盖给予”增持”评级，预测 2026—2028 年归母净利润 6.73 / 7.49 / 8.57 亿元，为目前卖方最高口径</w:t>
      </w:r>
      <w:fldSimple w:instr="NOTEREF _Ref_Footnote_12 \h \f">
        <w:r>
          <w:rPr>
            <w:vertAlign w:val="superscript"/>
          </w:rPr>
          <w:t>12</w:t>
        </w:r>
      </w:fldSimple>
      <w:r>
        <w:t xml:space="preserve">。预测上修轨迹颇为陡峭：甬兴证券 2025 年 1 月尚预测 2025 年净利约 0.28 亿元、2026 年约 1.86 亿元</w:t>
      </w:r>
      <w:r>
        <w:rPr>
          <w:vertAlign w:val="superscript"/>
        </w:rPr>
        <w:footnoteReference w:id="94"/>
      </w:r>
      <w:r>
        <w:t xml:space="preserve">，实际 2025 年亏损 1.95 亿元，而当前 2026 年一致预期已升至 6.1—6.7 亿元——约一年内 2026E 预期上修逾 3 倍，本质是卖方对 SLC NAND 涨价幅度（2026H1 +130%–150%</w:t>
      </w:r>
      <w:fldSimple w:instr="NOTEREF _Ref_Footnote_72 \h \f">
        <w:r>
          <w:rPr>
            <w:vertAlign w:val="superscript"/>
          </w:rPr>
          <w:t>72</w:t>
        </w:r>
      </w:fldSimple>
      <w:r>
        <w:t xml:space="preserve">）远超年初预期的追认，也意味着当前预期已部分内化了涨价周期的持续性。</w:t>
      </w:r>
    </w:p>
    <w:p>
      <w:pPr>
        <w:pStyle w:val="BodyText"/>
      </w:pPr>
      <w:r>
        <w:t xml:space="preserve">敏感性方面，以一致预期 6.1 亿元测算，Q2—Q4 尚需实现约 4.7 亿元净利润，即单季约 1.57 亿元，较 2026Q1 的 1.38 亿元需环比再增约 14%；若按华龙证券 6.73 亿元口径，则单季需约 1.78 亿元。考虑到 TrendForce 预计 2026Q3 主流存储合约价涨幅收窄（NAND +10%–15%）</w:t>
      </w:r>
      <w:fldSimple w:instr="NOTEREF _Ref_Footnote_7 \h \f">
        <w:r>
          <w:rPr>
            <w:vertAlign w:val="superscript"/>
          </w:rPr>
          <w:t>7</w:t>
        </w:r>
      </w:fldSimple>
      <w:r>
        <w:t xml:space="preserve">，一致预期能否兑现，取决于利基 SLC NAND 相对大宗品涨价的”超额斜率”能否维持；反之，若 Q4 合约价环比走平，当前一致预期存在系统性下修风险。</w:t>
      </w:r>
    </w:p>
    <w:p>
      <w:pPr>
        <w:pStyle w:val="BodyText"/>
      </w:pPr>
      <w:r>
        <w:t xml:space="preserve">对抄底决策而言，本章的结论是：东芯的基本面拐点真实、财务安全垫厚实，业绩质量的分歧不在”是否扭亏”，而在”高毛利能维持几个季度”。下一个验证锚点是 8 月 22 日半年报中的 Q2 毛利率、存货去化与砺算亏损收窄节奏；而当前市值能否消化约 99 倍的 2026E 动态市盈率，留待第五章估值部分讨论。</w:t>
      </w:r>
    </w:p>
    <w:bookmarkEnd w:id="71"/>
    <w:bookmarkEnd w:id="72"/>
    <w:bookmarkEnd w:id="73"/>
    <w:bookmarkStart w:id="82" w:name="估值与可比公司"/>
    <w:p>
      <w:pPr>
        <w:pStyle w:val="Heading2"/>
      </w:pPr>
      <w:r>
        <w:t xml:space="preserve">5. 估值与可比公司</w:t>
      </w:r>
    </w:p>
    <w:p>
      <w:pPr>
        <w:pStyle w:val="FirstParagraph"/>
      </w:pPr>
      <w:r>
        <w:t xml:space="preserve">本章回答抄底决策的估值三问：604 亿元市值贵不贵、与同业相比处于什么位置、</w:t>
      </w:r>
      <w:r>
        <w:t xml:space="preserve">“</w:t>
      </w:r>
      <w:r>
        <w:t xml:space="preserve">抄底价</w:t>
      </w:r>
      <w:r>
        <w:t xml:space="preserve">”</w:t>
      </w:r>
      <w:r>
        <w:t xml:space="preserve">的估值锚在哪里。核心结论：以 2026 年 7 月 16 日收盘价 136.50 元计，东芯总市值约 604 亿元，对应 iFinD 一致预期 2026 年归母净利润 6.12 亿元的动态市盈率（PE）约 99 倍，高于兆易创新（72 倍）、普冉股份（73 倍）等一级可比公司，更远高于 A 股存储芯片行业 55—60 倍的预期市盈率中枢</w:t>
      </w:r>
      <w:r>
        <w:rPr>
          <w:vertAlign w:val="superscript"/>
        </w:rPr>
        <w:footnoteReference w:id="95"/>
      </w:r>
      <w:r>
        <w:t xml:space="preserve"> </w:t>
      </w:r>
      <w:fldSimple w:instr="NOTEREF _Ref_Footnote_49 \h \f">
        <w:r>
          <w:rPr>
            <w:vertAlign w:val="superscript"/>
          </w:rPr>
          <w:t>49</w:t>
        </w:r>
      </w:fldSimple>
      <w:r>
        <w:t xml:space="preserve">；三情景测算显示，当前股价已在按牛市情景定价，基准情景下的估值锚对应 76—106 元区间，与 4 月 2 日年内低点（104.01 元）、控股股东询价受让成本（100 元）形成共振</w:t>
      </w:r>
      <w:fldSimple w:instr="NOTEREF _Ref_Footnote_95 \h \f">
        <w:r>
          <w:rPr>
            <w:vertAlign w:val="superscript"/>
          </w:rPr>
          <w:t>95</w:t>
        </w:r>
      </w:fldSimple>
      <w:r>
        <w:t xml:space="preserve"> </w:t>
      </w:r>
      <w:r>
        <w:rPr>
          <w:vertAlign w:val="superscript"/>
        </w:rPr>
        <w:footnoteReference w:id="96"/>
      </w:r>
      <w:r>
        <w:t xml:space="preserve">。</w:t>
      </w:r>
    </w:p>
    <w:bookmarkStart w:id="75" w:name="估值现状"/>
    <w:p>
      <w:pPr>
        <w:pStyle w:val="Heading3"/>
      </w:pPr>
      <w:r>
        <w:t xml:space="preserve">5.1 估值现状</w:t>
      </w:r>
    </w:p>
    <w:bookmarkStart w:id="74" w:name="静态-pe-为负-动态-pe-约-99-倍278-倍-pe系长鑫口径混淆的澄清"/>
    <w:p>
      <w:pPr>
        <w:pStyle w:val="Heading4"/>
      </w:pPr>
      <w:r>
        <w:t xml:space="preserve">5.1.1 静态 PE 为负 → 动态 PE 约 99 倍；</w:t>
      </w:r>
      <w:r>
        <w:t xml:space="preserve">“</w:t>
      </w:r>
      <w:r>
        <w:t xml:space="preserve">278 倍 PE</w:t>
      </w:r>
      <w:r>
        <w:t xml:space="preserve">”</w:t>
      </w:r>
      <w:r>
        <w:t xml:space="preserve">系长鑫口径混淆的澄清</w:t>
      </w:r>
    </w:p>
    <w:p>
      <w:pPr>
        <w:pStyle w:val="FirstParagraph"/>
      </w:pPr>
      <w:r>
        <w:t xml:space="preserve">2025 年归母净利润为 -1.95 亿元，静态市盈率（按最近年报口径，PE LYR）为负值（iFinD 口径约 -310 倍），不具参考意义；滚动市盈率（PE TTM）因最近四个季度净利润合计仅约 0.02 亿元而极端失真，东方财富 7 月 15 日行情口径显示约 23850 倍</w:t>
      </w:r>
      <w:fldSimple w:instr="NOTEREF _Ref_Footnote_95 \h \f">
        <w:r>
          <w:rPr>
            <w:vertAlign w:val="superscript"/>
          </w:rPr>
          <w:t>95</w:t>
        </w:r>
      </w:fldSimple>
      <w:r>
        <w:t xml:space="preserve"> </w:t>
      </w:r>
      <w:r>
        <w:rPr>
          <w:vertAlign w:val="superscript"/>
        </w:rPr>
        <w:footnoteReference w:id="97"/>
      </w:r>
      <w:r>
        <w:t xml:space="preserve">。估值锚只能切换至远期口径：按 iFinD 一致预期 2026 年归母净利润 6.115 亿元测算，动态 PE 约 98.8 倍；按 2027E 净利润 6.255 亿元测算约 96.6 倍；即便按 2026Q1 净利润 1.38 亿元简单年化（约 5.5 亿元），对应 PE 仍约 109 倍</w:t>
      </w:r>
      <w:fldSimple w:instr="NOTEREF _Ref_Footnote_95 \h \f">
        <w:r>
          <w:rPr>
            <w:vertAlign w:val="superscript"/>
          </w:rPr>
          <w:t>95</w:t>
        </w:r>
      </w:fldSimple>
      <w:r>
        <w:t xml:space="preserve"> </w:t>
      </w:r>
      <w:fldSimple w:instr="NOTEREF _Ref_Footnote_5 \h \f">
        <w:r>
          <w:rPr>
            <w:vertAlign w:val="superscript"/>
          </w:rPr>
          <w:t>5</w:t>
        </w:r>
      </w:fldSimple>
      <w:r>
        <w:t xml:space="preserve">。其余估值指标同样处于高位：市净率（PB）16.80 倍，市销率（PS）按 2025 年营收口径 65.5 倍、按 2026E 营收口径 28.2 倍</w:t>
      </w:r>
      <w:fldSimple w:instr="NOTEREF _Ref_Footnote_95 \h \f">
        <w:r>
          <w:rPr>
            <w:vertAlign w:val="superscript"/>
          </w:rPr>
          <w:t>95</w:t>
        </w:r>
      </w:fldSimple>
      <w:r>
        <w:t xml:space="preserve">。公司自身亦在 6 月 30 日风险提示公告中自述”静态市盈率为负、显著高于行业平均水平，存在市场情绪过热及非理性炒作风险”</w:t>
      </w:r>
      <w:r>
        <w:rPr>
          <w:vertAlign w:val="superscript"/>
        </w:rPr>
        <w:footnoteReference w:id="98"/>
      </w:r>
      <w:r>
        <w:t xml:space="preserve">。</w:t>
      </w:r>
    </w:p>
    <w:p>
      <w:pPr>
        <w:pStyle w:val="BodyText"/>
      </w:pPr>
      <w:r>
        <w:t xml:space="preserve">需要专门澄清的是市场流传的”东芯 278 倍 PE”。该数字存在两层混淆：其一，财新 2026 年 5 月 18 日报道的”东芯 2026 年预测市盈率高达 278 倍”系彼时旧一致预期口径——当时 2026E 净利润预期仅约 2 亿元量级，一季报 1.38 亿元兑现后一致预期已大幅上修至 6.12 亿元，按 7 月 16 日收盘价重算已降至约 99 倍，两个数字在各自时点均成立，但 278 倍已经过时</w:t>
      </w:r>
      <w:fldSimple w:instr="NOTEREF _Ref_Footnote_49 \h \f">
        <w:r>
          <w:rPr>
            <w:vertAlign w:val="superscript"/>
          </w:rPr>
          <w:t>49</w:t>
        </w:r>
      </w:fldSimple>
      <w:r>
        <w:t xml:space="preserve"> </w:t>
      </w:r>
      <w:fldSimple w:instr="NOTEREF _Ref_Footnote_5 \h \f">
        <w:r>
          <w:rPr>
            <w:vertAlign w:val="superscript"/>
          </w:rPr>
          <w:t>5</w:t>
        </w:r>
      </w:fldSimple>
      <w:r>
        <w:t xml:space="preserve">；其二，278.03 倍恰为长鑫科技 7 月 15 日发行公告披露的发行市盈率（发行价 8.66 元/股），与东芯并无关联，部分市场讨论将两者混为一谈</w:t>
      </w:r>
      <w:r>
        <w:rPr>
          <w:vertAlign w:val="superscript"/>
        </w:rPr>
        <w:footnoteReference w:id="99"/>
      </w:r>
      <w:r>
        <w:t xml:space="preserve">。此外，以 7 月 1 日盘中历史高点 209.55 元（市值约 927 亿元）计，东芯峰值动态 PE 约 152 倍；当前股价自峰值回撤 34.9%，估值已同步压缩约三分之一</w:t>
      </w:r>
      <w:fldSimple w:instr="NOTEREF _Ref_Footnote_95 \h \f">
        <w:r>
          <w:rPr>
            <w:vertAlign w:val="superscript"/>
          </w:rPr>
          <w:t>95</w:t>
        </w:r>
      </w:fldSimple>
      <w:r>
        <w:t xml:space="preserve">。</w:t>
      </w:r>
    </w:p>
    <w:bookmarkEnd w:id="74"/>
    <w:bookmarkEnd w:id="75"/>
    <w:bookmarkStart w:id="78" w:name="可比公司对照"/>
    <w:p>
      <w:pPr>
        <w:pStyle w:val="Heading3"/>
      </w:pPr>
      <w:r>
        <w:t xml:space="preserve">5.2 可比公司对照</w:t>
      </w:r>
    </w:p>
    <w:bookmarkStart w:id="76" w:name="横向对照99-倍动态-pe-的溢价解释与反驳"/>
    <w:p>
      <w:pPr>
        <w:pStyle w:val="Heading4"/>
      </w:pPr>
      <w:r>
        <w:t xml:space="preserve">5.2.1 横向对照：99 倍动态 PE 的溢价解释与反驳</w:t>
      </w:r>
    </w:p>
    <w:p>
      <w:pPr>
        <w:pStyle w:val="FirstParagraph"/>
      </w:pPr>
      <w:r>
        <w:rPr>
          <w:bCs/>
          <w:b/>
        </w:rPr>
        <w:t xml:space="preserve">表 5-1 利基存储可比公司估值对照（2026-07-16 收盘 × iFinD 一致预期）</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公司</w:t>
            </w:r>
          </w:p>
        </w:tc>
        <w:tc>
          <w:tcPr/>
          <w:p>
            <w:pPr>
              <w:pStyle w:val="Compact"/>
              <w:jc w:val="left"/>
            </w:pPr>
            <w:r>
              <w:t xml:space="preserve">总市值（亿元）</w:t>
            </w:r>
          </w:p>
        </w:tc>
        <w:tc>
          <w:tcPr/>
          <w:p>
            <w:pPr>
              <w:pStyle w:val="Compact"/>
              <w:jc w:val="left"/>
            </w:pPr>
            <w:r>
              <w:t xml:space="preserve">2025 营收（亿元）</w:t>
            </w:r>
          </w:p>
        </w:tc>
        <w:tc>
          <w:tcPr/>
          <w:p>
            <w:pPr>
              <w:pStyle w:val="Compact"/>
              <w:jc w:val="left"/>
            </w:pPr>
            <w:r>
              <w:t xml:space="preserve">2025 归母净利（亿元）</w:t>
            </w:r>
          </w:p>
        </w:tc>
        <w:tc>
          <w:tcPr/>
          <w:p>
            <w:pPr>
              <w:pStyle w:val="Compact"/>
              <w:jc w:val="left"/>
            </w:pPr>
            <w:r>
              <w:t xml:space="preserve">2026E 归母净利（亿元）</w:t>
            </w:r>
          </w:p>
        </w:tc>
        <w:tc>
          <w:tcPr/>
          <w:p>
            <w:pPr>
              <w:pStyle w:val="Compact"/>
              <w:jc w:val="left"/>
            </w:pPr>
            <w:r>
              <w:t xml:space="preserve">2026E 动态 PE（倍）</w:t>
            </w:r>
          </w:p>
        </w:tc>
        <w:tc>
          <w:tcPr/>
          <w:p>
            <w:pPr>
              <w:pStyle w:val="Compact"/>
              <w:jc w:val="left"/>
            </w:pPr>
            <w:r>
              <w:t xml:space="preserve">年初至今涨幅（YTD）</w:t>
            </w:r>
          </w:p>
        </w:tc>
      </w:tr>
      <w:tr>
        <w:tc>
          <w:tcPr/>
          <w:p>
            <w:pPr>
              <w:pStyle w:val="Compact"/>
              <w:jc w:val="left"/>
            </w:pPr>
            <w:r>
              <w:rPr>
                <w:bCs/>
                <w:b/>
              </w:rPr>
              <w:t xml:space="preserve">东芯股份</w:t>
            </w:r>
          </w:p>
        </w:tc>
        <w:tc>
          <w:tcPr/>
          <w:p>
            <w:pPr>
              <w:pStyle w:val="Compact"/>
              <w:jc w:val="left"/>
            </w:pPr>
            <w:r>
              <w:rPr>
                <w:bCs/>
                <w:b/>
              </w:rPr>
              <w:t xml:space="preserve">604</w:t>
            </w:r>
          </w:p>
        </w:tc>
        <w:tc>
          <w:tcPr/>
          <w:p>
            <w:pPr>
              <w:pStyle w:val="Compact"/>
              <w:jc w:val="left"/>
            </w:pPr>
            <w:r>
              <w:rPr>
                <w:bCs/>
                <w:b/>
              </w:rPr>
              <w:t xml:space="preserve">9.21</w:t>
            </w:r>
          </w:p>
        </w:tc>
        <w:tc>
          <w:tcPr/>
          <w:p>
            <w:pPr>
              <w:pStyle w:val="Compact"/>
              <w:jc w:val="left"/>
            </w:pPr>
            <w:r>
              <w:rPr>
                <w:bCs/>
                <w:b/>
              </w:rPr>
              <w:t xml:space="preserve">-1.95</w:t>
            </w:r>
          </w:p>
        </w:tc>
        <w:tc>
          <w:tcPr/>
          <w:p>
            <w:pPr>
              <w:pStyle w:val="Compact"/>
              <w:jc w:val="left"/>
            </w:pPr>
            <w:r>
              <w:rPr>
                <w:bCs/>
                <w:b/>
              </w:rPr>
              <w:t xml:space="preserve">6.12</w:t>
            </w:r>
          </w:p>
        </w:tc>
        <w:tc>
          <w:tcPr/>
          <w:p>
            <w:pPr>
              <w:pStyle w:val="Compact"/>
              <w:jc w:val="left"/>
            </w:pPr>
            <w:r>
              <w:rPr>
                <w:bCs/>
                <w:b/>
              </w:rPr>
              <w:t xml:space="preserve">98.8</w:t>
            </w:r>
            <w:r>
              <w:rPr>
                <w:bCs/>
                <w:b/>
              </w:rPr>
              <w:t xml:space="preserve"> </w:t>
            </w:r>
            <w:fldSimple w:instr="NOTEREF _Ref_Footnote_95 \h \f">
              <w:r>
                <w:rPr>
                  <w:vertAlign w:val="superscript"/>
                </w:rPr>
                <w:t>95</w:t>
              </w:r>
            </w:fldSimple>
          </w:p>
        </w:tc>
        <w:tc>
          <w:tcPr/>
          <w:p>
            <w:pPr>
              <w:pStyle w:val="Compact"/>
              <w:jc w:val="left"/>
            </w:pPr>
            <w:r>
              <w:rPr>
                <w:bCs/>
                <w:b/>
              </w:rPr>
              <w:t xml:space="preserve">+3.9%</w:t>
            </w:r>
            <w:r>
              <w:rPr>
                <w:bCs/>
                <w:b/>
              </w:rPr>
              <w:t xml:space="preserve"> </w:t>
            </w:r>
            <w:fldSimple w:instr="NOTEREF _Ref_Footnote_95 \h \f">
              <w:r>
                <w:rPr>
                  <w:vertAlign w:val="superscript"/>
                </w:rPr>
                <w:t>95</w:t>
              </w:r>
            </w:fldSimple>
          </w:p>
        </w:tc>
      </w:tr>
      <w:tr>
        <w:tc>
          <w:tcPr/>
          <w:p>
            <w:pPr>
              <w:pStyle w:val="Compact"/>
              <w:jc w:val="left"/>
            </w:pPr>
            <w:r>
              <w:t xml:space="preserve">兆易创新</w:t>
            </w:r>
          </w:p>
        </w:tc>
        <w:tc>
          <w:tcPr/>
          <w:p>
            <w:pPr>
              <w:pStyle w:val="Compact"/>
              <w:jc w:val="left"/>
            </w:pPr>
            <w:r>
              <w:t xml:space="preserve">3,611</w:t>
            </w:r>
          </w:p>
        </w:tc>
        <w:tc>
          <w:tcPr/>
          <w:p>
            <w:pPr>
              <w:pStyle w:val="Compact"/>
              <w:jc w:val="left"/>
            </w:pPr>
            <w:r>
              <w:t xml:space="preserve">92.03</w:t>
            </w:r>
          </w:p>
        </w:tc>
        <w:tc>
          <w:tcPr/>
          <w:p>
            <w:pPr>
              <w:pStyle w:val="Compact"/>
              <w:jc w:val="left"/>
            </w:pPr>
            <w:r>
              <w:t xml:space="preserve">16.48</w:t>
            </w:r>
          </w:p>
        </w:tc>
        <w:tc>
          <w:tcPr/>
          <w:p>
            <w:pPr>
              <w:pStyle w:val="Compact"/>
              <w:jc w:val="left"/>
            </w:pPr>
            <w:r>
              <w:t xml:space="preserve">50.05</w:t>
            </w:r>
          </w:p>
        </w:tc>
        <w:tc>
          <w:tcPr/>
          <w:p>
            <w:pPr>
              <w:pStyle w:val="Compact"/>
              <w:jc w:val="left"/>
            </w:pPr>
            <w:r>
              <w:t xml:space="preserve">72.2</w:t>
            </w:r>
            <w:r>
              <w:t xml:space="preserve"> </w:t>
            </w:r>
            <w:fldSimple w:instr="NOTEREF _Ref_Footnote_95 \h \f">
              <w:r>
                <w:rPr>
                  <w:vertAlign w:val="superscript"/>
                </w:rPr>
                <w:t>95</w:t>
              </w:r>
            </w:fldSimple>
          </w:p>
        </w:tc>
        <w:tc>
          <w:tcPr/>
          <w:p>
            <w:pPr>
              <w:pStyle w:val="Compact"/>
              <w:jc w:val="left"/>
            </w:pPr>
            <w:r>
              <w:t xml:space="preserve">+140.2%</w:t>
            </w:r>
          </w:p>
        </w:tc>
      </w:tr>
      <w:tr>
        <w:tc>
          <w:tcPr/>
          <w:p>
            <w:pPr>
              <w:pStyle w:val="Compact"/>
              <w:jc w:val="left"/>
            </w:pPr>
            <w:r>
              <w:t xml:space="preserve">普冉股份</w:t>
            </w:r>
          </w:p>
        </w:tc>
        <w:tc>
          <w:tcPr/>
          <w:p>
            <w:pPr>
              <w:pStyle w:val="Compact"/>
              <w:jc w:val="left"/>
            </w:pPr>
            <w:r>
              <w:t xml:space="preserve">782</w:t>
            </w:r>
          </w:p>
        </w:tc>
        <w:tc>
          <w:tcPr/>
          <w:p>
            <w:pPr>
              <w:pStyle w:val="Compact"/>
              <w:jc w:val="left"/>
            </w:pPr>
            <w:r>
              <w:t xml:space="preserve">23.20</w:t>
            </w:r>
          </w:p>
        </w:tc>
        <w:tc>
          <w:tcPr/>
          <w:p>
            <w:pPr>
              <w:pStyle w:val="Compact"/>
              <w:jc w:val="left"/>
            </w:pPr>
            <w:r>
              <w:t xml:space="preserve">2.08</w:t>
            </w:r>
          </w:p>
        </w:tc>
        <w:tc>
          <w:tcPr/>
          <w:p>
            <w:pPr>
              <w:pStyle w:val="Compact"/>
              <w:jc w:val="left"/>
            </w:pPr>
            <w:r>
              <w:t xml:space="preserve">10.74</w:t>
            </w:r>
          </w:p>
        </w:tc>
        <w:tc>
          <w:tcPr/>
          <w:p>
            <w:pPr>
              <w:pStyle w:val="Compact"/>
              <w:jc w:val="left"/>
            </w:pPr>
            <w:r>
              <w:t xml:space="preserve">72.8</w:t>
            </w:r>
            <w:r>
              <w:t xml:space="preserve"> </w:t>
            </w:r>
            <w:fldSimple w:instr="NOTEREF _Ref_Footnote_95 \h \f">
              <w:r>
                <w:rPr>
                  <w:vertAlign w:val="superscript"/>
                </w:rPr>
                <w:t>95</w:t>
              </w:r>
            </w:fldSimple>
          </w:p>
        </w:tc>
        <w:tc>
          <w:tcPr/>
          <w:p>
            <w:pPr>
              <w:pStyle w:val="Compact"/>
              <w:jc w:val="left"/>
            </w:pPr>
            <w:r>
              <w:t xml:space="preserve">+313.5%</w:t>
            </w:r>
          </w:p>
        </w:tc>
      </w:tr>
      <w:tr>
        <w:tc>
          <w:tcPr/>
          <w:p>
            <w:pPr>
              <w:pStyle w:val="Compact"/>
              <w:jc w:val="left"/>
            </w:pPr>
            <w:r>
              <w:t xml:space="preserve">北京君正</w:t>
            </w:r>
          </w:p>
        </w:tc>
        <w:tc>
          <w:tcPr/>
          <w:p>
            <w:pPr>
              <w:pStyle w:val="Compact"/>
              <w:jc w:val="left"/>
            </w:pPr>
            <w:r>
              <w:t xml:space="preserve">844</w:t>
            </w:r>
          </w:p>
        </w:tc>
        <w:tc>
          <w:tcPr/>
          <w:p>
            <w:pPr>
              <w:pStyle w:val="Compact"/>
              <w:jc w:val="left"/>
            </w:pPr>
            <w:r>
              <w:t xml:space="preserve">47.41</w:t>
            </w:r>
          </w:p>
        </w:tc>
        <w:tc>
          <w:tcPr/>
          <w:p>
            <w:pPr>
              <w:pStyle w:val="Compact"/>
              <w:jc w:val="left"/>
            </w:pPr>
            <w:r>
              <w:t xml:space="preserve">3.76</w:t>
            </w:r>
          </w:p>
        </w:tc>
        <w:tc>
          <w:tcPr/>
          <w:p>
            <w:pPr>
              <w:pStyle w:val="Compact"/>
              <w:jc w:val="left"/>
            </w:pPr>
            <w:r>
              <w:t xml:space="preserve">11.85</w:t>
            </w:r>
          </w:p>
        </w:tc>
        <w:tc>
          <w:tcPr/>
          <w:p>
            <w:pPr>
              <w:pStyle w:val="Compact"/>
              <w:jc w:val="left"/>
            </w:pPr>
            <w:r>
              <w:t xml:space="preserve">71.2</w:t>
            </w:r>
            <w:r>
              <w:t xml:space="preserve"> </w:t>
            </w:r>
            <w:fldSimple w:instr="NOTEREF _Ref_Footnote_95 \h \f">
              <w:r>
                <w:rPr>
                  <w:vertAlign w:val="superscript"/>
                </w:rPr>
                <w:t>95</w:t>
              </w:r>
            </w:fldSimple>
          </w:p>
        </w:tc>
        <w:tc>
          <w:tcPr/>
          <w:p>
            <w:pPr>
              <w:pStyle w:val="Compact"/>
              <w:jc w:val="left"/>
            </w:pPr>
            <w:r>
              <w:t xml:space="preserve">+64.7%</w:t>
            </w:r>
          </w:p>
        </w:tc>
      </w:tr>
      <w:tr>
        <w:tc>
          <w:tcPr/>
          <w:p>
            <w:pPr>
              <w:pStyle w:val="Compact"/>
              <w:jc w:val="left"/>
            </w:pPr>
            <w:r>
              <w:t xml:space="preserve">聚辰股份</w:t>
            </w:r>
          </w:p>
        </w:tc>
        <w:tc>
          <w:tcPr/>
          <w:p>
            <w:pPr>
              <w:pStyle w:val="Compact"/>
              <w:jc w:val="left"/>
            </w:pPr>
            <w:r>
              <w:t xml:space="preserve">252</w:t>
            </w:r>
          </w:p>
        </w:tc>
        <w:tc>
          <w:tcPr/>
          <w:p>
            <w:pPr>
              <w:pStyle w:val="Compact"/>
              <w:jc w:val="left"/>
            </w:pPr>
            <w:r>
              <w:t xml:space="preserve">12.21</w:t>
            </w:r>
          </w:p>
        </w:tc>
        <w:tc>
          <w:tcPr/>
          <w:p>
            <w:pPr>
              <w:pStyle w:val="Compact"/>
              <w:jc w:val="left"/>
            </w:pPr>
            <w:r>
              <w:t xml:space="preserve">3.64</w:t>
            </w:r>
          </w:p>
        </w:tc>
        <w:tc>
          <w:tcPr/>
          <w:p>
            <w:pPr>
              <w:pStyle w:val="Compact"/>
              <w:jc w:val="left"/>
            </w:pPr>
            <w:r>
              <w:t xml:space="preserve">5.11</w:t>
            </w:r>
          </w:p>
        </w:tc>
        <w:tc>
          <w:tcPr/>
          <w:p>
            <w:pPr>
              <w:pStyle w:val="Compact"/>
              <w:jc w:val="left"/>
            </w:pPr>
            <w:r>
              <w:t xml:space="preserve">49.3</w:t>
            </w:r>
            <w:r>
              <w:t xml:space="preserve"> </w:t>
            </w:r>
            <w:fldSimple w:instr="NOTEREF _Ref_Footnote_95 \h \f">
              <w:r>
                <w:rPr>
                  <w:vertAlign w:val="superscript"/>
                </w:rPr>
                <w:t>95</w:t>
              </w:r>
            </w:fldSimple>
          </w:p>
        </w:tc>
        <w:tc>
          <w:tcPr/>
          <w:p>
            <w:pPr>
              <w:pStyle w:val="Compact"/>
              <w:jc w:val="left"/>
            </w:pPr>
            <w:r>
              <w:t xml:space="preserve">+26.1%</w:t>
            </w:r>
          </w:p>
        </w:tc>
      </w:tr>
      <w:tr>
        <w:tc>
          <w:tcPr/>
          <w:p>
            <w:pPr>
              <w:pStyle w:val="Compact"/>
              <w:jc w:val="left"/>
            </w:pPr>
            <w:r>
              <w:t xml:space="preserve">恒烁股份</w:t>
            </w:r>
          </w:p>
        </w:tc>
        <w:tc>
          <w:tcPr/>
          <w:p>
            <w:pPr>
              <w:pStyle w:val="Compact"/>
              <w:jc w:val="left"/>
            </w:pPr>
            <w:r>
              <w:t xml:space="preserve">95</w:t>
            </w:r>
          </w:p>
        </w:tc>
        <w:tc>
          <w:tcPr/>
          <w:p>
            <w:pPr>
              <w:pStyle w:val="Compact"/>
              <w:jc w:val="left"/>
            </w:pPr>
            <w:r>
              <w:t xml:space="preserve">4.75</w:t>
            </w:r>
          </w:p>
        </w:tc>
        <w:tc>
          <w:tcPr/>
          <w:p>
            <w:pPr>
              <w:pStyle w:val="Compact"/>
              <w:jc w:val="left"/>
            </w:pPr>
            <w:r>
              <w:t xml:space="preserve">-0.99</w:t>
            </w:r>
          </w:p>
        </w:tc>
        <w:tc>
          <w:tcPr/>
          <w:p>
            <w:pPr>
              <w:pStyle w:val="Compact"/>
              <w:jc w:val="left"/>
            </w:pPr>
            <w:r>
              <w:t xml:space="preserve">1.97</w:t>
            </w:r>
          </w:p>
        </w:tc>
        <w:tc>
          <w:tcPr/>
          <w:p>
            <w:pPr>
              <w:pStyle w:val="Compact"/>
              <w:jc w:val="left"/>
            </w:pPr>
            <w:r>
              <w:t xml:space="preserve">48.3</w:t>
            </w:r>
            <w:r>
              <w:t xml:space="preserve"> </w:t>
            </w:r>
            <w:fldSimple w:instr="NOTEREF _Ref_Footnote_95 \h \f">
              <w:r>
                <w:rPr>
                  <w:vertAlign w:val="superscript"/>
                </w:rPr>
                <w:t>95</w:t>
              </w:r>
            </w:fldSimple>
          </w:p>
        </w:tc>
        <w:tc>
          <w:tcPr/>
          <w:p>
            <w:pPr>
              <w:pStyle w:val="Compact"/>
              <w:jc w:val="left"/>
            </w:pPr>
            <w:r>
              <w:t xml:space="preserve">+59.9%</w:t>
            </w:r>
          </w:p>
        </w:tc>
      </w:tr>
      <w:tr>
        <w:tc>
          <w:tcPr/>
          <w:p>
            <w:pPr>
              <w:pStyle w:val="Compact"/>
              <w:jc w:val="left"/>
            </w:pPr>
            <w:r>
              <w:t xml:space="preserve">复旦微电</w:t>
            </w:r>
          </w:p>
        </w:tc>
        <w:tc>
          <w:tcPr/>
          <w:p>
            <w:pPr>
              <w:pStyle w:val="Compact"/>
              <w:jc w:val="left"/>
            </w:pPr>
            <w:r>
              <w:t xml:space="preserve">484</w:t>
            </w:r>
          </w:p>
        </w:tc>
        <w:tc>
          <w:tcPr/>
          <w:p>
            <w:pPr>
              <w:pStyle w:val="Compact"/>
              <w:jc w:val="left"/>
            </w:pPr>
            <w:r>
              <w:t xml:space="preserve">39.82</w:t>
            </w:r>
          </w:p>
        </w:tc>
        <w:tc>
          <w:tcPr/>
          <w:p>
            <w:pPr>
              <w:pStyle w:val="Compact"/>
              <w:jc w:val="left"/>
            </w:pPr>
            <w:r>
              <w:t xml:space="preserve">2.32</w:t>
            </w:r>
          </w:p>
        </w:tc>
        <w:tc>
          <w:tcPr/>
          <w:p>
            <w:pPr>
              <w:pStyle w:val="Compact"/>
              <w:jc w:val="left"/>
            </w:pPr>
            <w:r>
              <w:t xml:space="preserve">8.94</w:t>
            </w:r>
          </w:p>
        </w:tc>
        <w:tc>
          <w:tcPr/>
          <w:p>
            <w:pPr>
              <w:pStyle w:val="Compact"/>
              <w:jc w:val="left"/>
            </w:pPr>
            <w:r>
              <w:t xml:space="preserve">54.1</w:t>
            </w:r>
            <w:r>
              <w:t xml:space="preserve"> </w:t>
            </w:r>
            <w:fldSimple w:instr="NOTEREF _Ref_Footnote_95 \h \f">
              <w:r>
                <w:rPr>
                  <w:vertAlign w:val="superscript"/>
                </w:rPr>
                <w:t>95</w:t>
              </w:r>
            </w:fldSimple>
          </w:p>
        </w:tc>
        <w:tc>
          <w:tcPr/>
          <w:p>
            <w:pPr>
              <w:pStyle w:val="Compact"/>
              <w:jc w:val="left"/>
            </w:pPr>
            <w:r>
              <w:t xml:space="preserve">-20.3%</w:t>
            </w:r>
          </w:p>
        </w:tc>
      </w:tr>
      <w:tr>
        <w:tc>
          <w:tcPr/>
          <w:p>
            <w:pPr>
              <w:pStyle w:val="Compact"/>
              <w:jc w:val="left"/>
            </w:pPr>
            <w:r>
              <w:t xml:space="preserve">江波龙</w:t>
            </w:r>
          </w:p>
        </w:tc>
        <w:tc>
          <w:tcPr/>
          <w:p>
            <w:pPr>
              <w:pStyle w:val="Compact"/>
              <w:jc w:val="left"/>
            </w:pPr>
            <w:r>
              <w:t xml:space="preserve">1,961</w:t>
            </w:r>
          </w:p>
        </w:tc>
        <w:tc>
          <w:tcPr/>
          <w:p>
            <w:pPr>
              <w:pStyle w:val="Compact"/>
              <w:jc w:val="left"/>
            </w:pPr>
            <w:r>
              <w:t xml:space="preserve">227.66</w:t>
            </w:r>
          </w:p>
        </w:tc>
        <w:tc>
          <w:tcPr/>
          <w:p>
            <w:pPr>
              <w:pStyle w:val="Compact"/>
              <w:jc w:val="left"/>
            </w:pPr>
            <w:r>
              <w:t xml:space="preserve">14.23</w:t>
            </w:r>
          </w:p>
        </w:tc>
        <w:tc>
          <w:tcPr/>
          <w:p>
            <w:pPr>
              <w:pStyle w:val="Compact"/>
              <w:jc w:val="left"/>
            </w:pPr>
            <w:r>
              <w:t xml:space="preserve">137.28</w:t>
            </w:r>
          </w:p>
        </w:tc>
        <w:tc>
          <w:tcPr/>
          <w:p>
            <w:pPr>
              <w:pStyle w:val="Compact"/>
              <w:jc w:val="left"/>
            </w:pPr>
            <w:r>
              <w:t xml:space="preserve">14.3</w:t>
            </w:r>
            <w:r>
              <w:t xml:space="preserve"> </w:t>
            </w:r>
            <w:fldSimple w:instr="NOTEREF _Ref_Footnote_95 \h \f">
              <w:r>
                <w:rPr>
                  <w:vertAlign w:val="superscript"/>
                </w:rPr>
                <w:t>95</w:t>
              </w:r>
            </w:fldSimple>
          </w:p>
        </w:tc>
        <w:tc>
          <w:tcPr/>
          <w:p>
            <w:pPr>
              <w:pStyle w:val="Compact"/>
              <w:jc w:val="left"/>
            </w:pPr>
            <w:r>
              <w:t xml:space="preserve">+89.3%</w:t>
            </w:r>
          </w:p>
        </w:tc>
      </w:tr>
      <w:tr>
        <w:tc>
          <w:tcPr/>
          <w:p>
            <w:pPr>
              <w:pStyle w:val="Compact"/>
              <w:jc w:val="left"/>
            </w:pPr>
            <w:r>
              <w:t xml:space="preserve">德明利</w:t>
            </w:r>
          </w:p>
        </w:tc>
        <w:tc>
          <w:tcPr/>
          <w:p>
            <w:pPr>
              <w:pStyle w:val="Compact"/>
              <w:jc w:val="left"/>
            </w:pPr>
            <w:r>
              <w:t xml:space="preserve">1,352</w:t>
            </w:r>
          </w:p>
        </w:tc>
        <w:tc>
          <w:tcPr/>
          <w:p>
            <w:pPr>
              <w:pStyle w:val="Compact"/>
              <w:jc w:val="left"/>
            </w:pPr>
            <w:r>
              <w:t xml:space="preserve">107.89</w:t>
            </w:r>
          </w:p>
        </w:tc>
        <w:tc>
          <w:tcPr/>
          <w:p>
            <w:pPr>
              <w:pStyle w:val="Compact"/>
              <w:jc w:val="left"/>
            </w:pPr>
            <w:r>
              <w:t xml:space="preserve">6.88</w:t>
            </w:r>
          </w:p>
        </w:tc>
        <w:tc>
          <w:tcPr/>
          <w:p>
            <w:pPr>
              <w:pStyle w:val="Compact"/>
              <w:jc w:val="left"/>
            </w:pPr>
            <w:r>
              <w:t xml:space="preserve">80.44</w:t>
            </w:r>
          </w:p>
        </w:tc>
        <w:tc>
          <w:tcPr/>
          <w:p>
            <w:pPr>
              <w:pStyle w:val="Compact"/>
              <w:jc w:val="left"/>
            </w:pPr>
            <w:r>
              <w:t xml:space="preserve">16.8</w:t>
            </w:r>
            <w:r>
              <w:t xml:space="preserve"> </w:t>
            </w:r>
            <w:fldSimple w:instr="NOTEREF _Ref_Footnote_95 \h \f">
              <w:r>
                <w:rPr>
                  <w:vertAlign w:val="superscript"/>
                </w:rPr>
                <w:t>95</w:t>
              </w:r>
            </w:fldSimple>
          </w:p>
        </w:tc>
        <w:tc>
          <w:tcPr/>
          <w:p>
            <w:pPr>
              <w:pStyle w:val="Compact"/>
              <w:jc w:val="left"/>
            </w:pPr>
            <w:r>
              <w:t xml:space="preserve">+157.1%</w:t>
            </w:r>
          </w:p>
        </w:tc>
      </w:tr>
    </w:tbl>
    <w:p>
      <w:pPr>
        <w:pStyle w:val="BodyText"/>
      </w:pPr>
      <w:r>
        <w:t xml:space="preserve">解读：模组厂江波龙、德明利 14—17 倍的”低估值”本质是强周期顶部盈利的定价——其 2026E 一致预期隐含净利率超过 30% 且 2027E 预期净利润不升反降，市场拒绝为不可持续的峰值利润支付高倍数，与设计公司不具直接可比性</w:t>
      </w:r>
      <w:fldSimple w:instr="NOTEREF _Ref_Footnote_95 \h \f">
        <w:r>
          <w:rPr>
            <w:vertAlign w:val="superscript"/>
          </w:rPr>
          <w:t>95</w:t>
        </w:r>
      </w:fldSimple>
      <w:r>
        <w:t xml:space="preserve">。设计类可比中，东芯 98.8 倍为最高一档，较兆易、普冉、君正的 71—73 倍溢价约 36%—39%。</w:t>
      </w:r>
      <w:r>
        <w:rPr>
          <w:bCs/>
          <w:b/>
        </w:rPr>
        <w:t xml:space="preserve">溢价的支持逻辑</w:t>
      </w:r>
      <w:r>
        <w:t xml:space="preserve">有三：东芯约 65% 营收来自本轮涨价最猛的 SLC NAND，是一级可比中品类纯度最高的标的；2026E 营收增速 +132.6%、净利润弹性 +413.9% 在可比中居前；以及兆易、普冉所不具备的砺算 GPU 股权期权</w:t>
      </w:r>
      <w:fldSimple w:instr="NOTEREF _Ref_Footnote_95 \h \f">
        <w:r>
          <w:rPr>
            <w:vertAlign w:val="superscript"/>
          </w:rPr>
          <w:t>95</w:t>
        </w:r>
      </w:fldSimple>
      <w:r>
        <w:t xml:space="preserve">。</w:t>
      </w:r>
      <w:r>
        <w:rPr>
          <w:bCs/>
          <w:b/>
        </w:rPr>
        <w:t xml:space="preserve">反驳逻辑</w:t>
      </w:r>
      <w:r>
        <w:t xml:space="preserve">同样有三：其一，东芯体量最小（2025 年营收仅为兆易的十分之一）、2025 年毛利率 24.5% 低于兆易 40.2% 与聚辰 57.3%，且是设计类可比中仅有的两家 2025 年亏损公司之一</w:t>
      </w:r>
      <w:fldSimple w:instr="NOTEREF _Ref_Footnote_95 \h \f">
        <w:r>
          <w:rPr>
            <w:vertAlign w:val="superscript"/>
          </w:rPr>
          <w:t>95</w:t>
        </w:r>
      </w:fldSimple>
      <w:r>
        <w:t xml:space="preserve">；其二，普冉通过收购 SHM（SLC NAND 全球份额约 9%）于 2026 年并表后直接切入东芯主赛道，且估值更低</w:t>
      </w:r>
      <w:r>
        <w:rPr>
          <w:vertAlign w:val="superscript"/>
        </w:rPr>
        <w:footnoteReference w:id="100"/>
      </w:r>
      <w:r>
        <w:t xml:space="preserve">；其三，一致预期隐含东芯 2027E 净利润仅 6.26 亿元（同比 +2.3%），而兆易、普冉、君正 2027E 预期增速分别为 +23.9%、+40.6%、+26.7%，对应 2027E PE 东芯仍约 96.6 倍，兆易、普冉则降至约 58 倍与 52 倍（按 7 月 16 日市值与一致预期测算）</w:t>
      </w:r>
      <w:fldSimple w:instr="NOTEREF _Ref_Footnote_95 \h \f">
        <w:r>
          <w:rPr>
            <w:vertAlign w:val="superscript"/>
          </w:rPr>
          <w:t>95</w:t>
        </w:r>
      </w:fldSimple>
      <w:r>
        <w:t xml:space="preserve">。换言之，东芯 99 倍买入的不只是 2026 年的周期弹性，还预支了 2027 年之后一致预期继续上修的假设，其估值对涨价持续性的敏感度为可比中最高。市净率口径的排序略有不同：东芯 16.8 倍低于普冉 29.0 倍、德明利 20.4 倍，高于君正 6.6 倍、聚辰 9.4 倍，处中上游——PB 分位低于 PE 分位，恰反映其扭亏初期净资产收益率尚未被验证的状态</w:t>
      </w:r>
      <w:fldSimple w:instr="NOTEREF _Ref_Footnote_95 \h \f">
        <w:r>
          <w:rPr>
            <w:vertAlign w:val="superscript"/>
          </w:rPr>
          <w:t>95</w:t>
        </w:r>
      </w:fldSimple>
      <w:r>
        <w:t xml:space="preserve">。</w:t>
      </w:r>
    </w:p>
    <w:bookmarkEnd w:id="76"/>
    <w:bookmarkStart w:id="77" w:name="相对表现ytd-3.9-的滞涨是洼地还是定价有效"/>
    <w:p>
      <w:pPr>
        <w:pStyle w:val="Heading4"/>
      </w:pPr>
      <w:r>
        <w:t xml:space="preserve">5.2.2 相对表现：YTD +3.9% 的滞涨是洼地还是定价有效？</w:t>
      </w:r>
    </w:p>
    <w:p>
      <w:pPr>
        <w:pStyle w:val="FirstParagraph"/>
      </w:pPr>
      <w:r>
        <w:t xml:space="preserve">东芯年初至今（YTD）仅 +3.9%，在设计类可比中仅强于复旦微电（-20.3%），与普冉 +313.5%、德明利 +157.1%、兆易 +140.2% 形成极端反差</w:t>
      </w:r>
      <w:fldSimple w:instr="NOTEREF _Ref_Footnote_95 \h \f">
        <w:r>
          <w:rPr>
            <w:vertAlign w:val="superscript"/>
          </w:rPr>
          <w:t>95</w:t>
        </w:r>
      </w:fldSimple>
      <w:r>
        <w:t xml:space="preserve">。</w:t>
      </w:r>
      <w:r>
        <w:rPr>
          <w:bCs/>
          <w:b/>
        </w:rPr>
        <w:t xml:space="preserve">洼地论</w:t>
      </w:r>
      <w:r>
        <w:t xml:space="preserve">的证据是：业绩弹性已经兑现——2026Q1 营收 +236.9% 的增速在可比中仅次于普冉（+256.1%）与德明利（+502%），毛利率 53.17% 为设计类可比最高，而股价几乎回到年初原点；若涨价周期延续、一致预期继续上修（华龙证券 6 月 30 日已给出 6.73 亿元的 2026E 预测，较一致预期高约 10%），当前价格对应的仍是”上修前”的盈利基数</w:t>
      </w:r>
      <w:fldSimple w:instr="NOTEREF _Ref_Footnote_5 \h \f">
        <w:r>
          <w:rPr>
            <w:vertAlign w:val="superscript"/>
          </w:rPr>
          <w:t>5</w:t>
        </w:r>
      </w:fldSimple>
      <w:r>
        <w:t xml:space="preserve"> </w:t>
      </w:r>
      <w:fldSimple w:instr="NOTEREF _Ref_Footnote_12 \h \f">
        <w:r>
          <w:rPr>
            <w:vertAlign w:val="superscript"/>
          </w:rPr>
          <w:t>12</w:t>
        </w:r>
      </w:fldSimple>
      <w:r>
        <w:t xml:space="preserve">。</w:t>
      </w:r>
      <w:r>
        <w:rPr>
          <w:bCs/>
          <w:b/>
        </w:rPr>
        <w:t xml:space="preserve">定价有效论</w:t>
      </w:r>
      <w:r>
        <w:t xml:space="preserve">的证据则是：其一，同业大涨伴随盈利预期的同步跃升，大涨之后兆易、普冉动态 PE 仍只有 72—73 倍，而东芯若补涨 50% 且盈利预期不变，动态 PE 将直接升至约 148 倍——东芯的上涨只能由盈利上修驱动，难以再享受估值扩张；其二，滞涨部分定价了东芯特有的供给压力与筹码结构——H 股拟发行不超过总股本 10%（另加 15% 超额配售权）的摊薄预期、控股股东 4 月询价转让 442.25 万股、股东户数同比 +139.8%（详见第六章）</w:t>
      </w:r>
      <w:fldSimple w:instr="NOTEREF _Ref_Footnote_16 \h \f">
        <w:r>
          <w:rPr>
            <w:vertAlign w:val="superscript"/>
          </w:rPr>
          <w:t>16</w:t>
        </w:r>
      </w:fldSimple>
      <w:r>
        <w:t xml:space="preserve"> </w:t>
      </w:r>
      <w:fldSimple w:instr="NOTEREF _Ref_Footnote_96 \h \f">
        <w:r>
          <w:rPr>
            <w:vertAlign w:val="superscript"/>
          </w:rPr>
          <w:t>96</w:t>
        </w:r>
      </w:fldSimple>
      <w:r>
        <w:t xml:space="preserve"> </w:t>
      </w:r>
      <w:fldSimple w:instr="NOTEREF _Ref_Footnote_9 \h \f">
        <w:r>
          <w:rPr>
            <w:vertAlign w:val="superscript"/>
          </w:rPr>
          <w:t>9</w:t>
        </w:r>
      </w:fldSimple>
      <w:r>
        <w:t xml:space="preserve">；其三，东芯并非从未被定价——5 月 11 日盘中曾创 170.70 元的近一年新高，年内最大涨幅一度约 +59.5%（2025 年末收盘 131.35 元至 7 月 1 日盘中 209.55 元），当前 +3.9% 的 YTD 是”冲高回落”的结果，而非始终无人问津</w:t>
      </w:r>
      <w:fldSimple w:instr="NOTEREF _Ref_Footnote_95 \h \f">
        <w:r>
          <w:rPr>
            <w:vertAlign w:val="superscript"/>
          </w:rPr>
          <w:t>95</w:t>
        </w:r>
      </w:fldSimple>
      <w:r>
        <w:t xml:space="preserve"> </w:t>
      </w:r>
      <w:r>
        <w:rPr>
          <w:vertAlign w:val="superscript"/>
        </w:rPr>
        <w:footnoteReference w:id="101"/>
      </w:r>
      <w:r>
        <w:t xml:space="preserve">。综合看，滞涨同时包含”补涨空间”与”风险定价”两种成分：在涨价延续的假设下它是弹性来源，在周期见顶的假设下它是有效的风险折价——相对涨幅本身不构成买入理由。</w:t>
      </w:r>
    </w:p>
    <w:bookmarkEnd w:id="77"/>
    <w:bookmarkEnd w:id="78"/>
    <w:bookmarkStart w:id="81" w:name="估值方法适用性"/>
    <w:p>
      <w:pPr>
        <w:pStyle w:val="Heading3"/>
      </w:pPr>
      <w:r>
        <w:t xml:space="preserve">5.3 估值方法适用性</w:t>
      </w:r>
    </w:p>
    <w:bookmarkStart w:id="79" w:name="券商框架周期品向成长股估值切换中的方法选择"/>
    <w:p>
      <w:pPr>
        <w:pStyle w:val="Heading4"/>
      </w:pPr>
      <w:r>
        <w:t xml:space="preserve">5.3.1 券商框架：周期品向成长股估值切换中的方法选择</w:t>
      </w:r>
    </w:p>
    <w:p>
      <w:pPr>
        <w:pStyle w:val="FirstParagraph"/>
      </w:pPr>
      <w:r>
        <w:t xml:space="preserve">2026 年语境下，卖方对存储板块的估值框架正处于切换期：存储原厂从 PB 估值向 PE 估值切换，利基存储设计公司则有望从周期品估值向成长股估值过渡</w:t>
      </w:r>
      <w:r>
        <w:rPr>
          <w:vertAlign w:val="superscript"/>
        </w:rPr>
        <w:footnoteReference w:id="102"/>
      </w:r>
      <w:r>
        <w:t xml:space="preserve">；国泰海通进一步指出，长协锁单使周期波动边际收敛，</w:t>
      </w:r>
      <w:r>
        <w:t xml:space="preserve">“</w:t>
      </w:r>
      <w:r>
        <w:t xml:space="preserve">板块估值逻辑正从周期性博弈转向基于盈利确定性的重新定价</w:t>
      </w:r>
      <w:r>
        <w:t xml:space="preserve">”</w:t>
      </w:r>
      <w:fldSimple w:instr="NOTEREF _Ref_Footnote_50 \h \f">
        <w:r>
          <w:rPr>
            <w:vertAlign w:val="superscript"/>
          </w:rPr>
          <w:t>50</w:t>
        </w:r>
      </w:fldSimple>
      <w:r>
        <w:t xml:space="preserve">。方法层面，</w:t>
      </w:r>
      <w:r>
        <w:rPr>
          <w:bCs/>
          <w:b/>
        </w:rPr>
        <w:t xml:space="preserve">预期市盈率（Forward PE）是主流锚</w:t>
      </w:r>
      <w:r>
        <w:t xml:space="preserve">：财新 5 月引 iFinD 数据给出 A 股存储芯片行业 2026E PE 中枢 55.20—59.80 倍，并引述投资经理观点称半导体周期波动强、传统 PE 估值容易失真，宜采用预期市盈率</w:t>
      </w:r>
      <w:fldSimple w:instr="NOTEREF _Ref_Footnote_49 \h \f">
        <w:r>
          <w:rPr>
            <w:vertAlign w:val="superscript"/>
          </w:rPr>
          <w:t>49</w:t>
        </w:r>
      </w:fldSimple>
      <w:r>
        <w:t xml:space="preserve">。</w:t>
      </w:r>
      <w:r>
        <w:rPr>
          <w:bCs/>
          <w:b/>
        </w:rPr>
        <w:t xml:space="preserve">市销率（PS）法</w:t>
      </w:r>
      <w:r>
        <w:t xml:space="preserve">适用于扭亏初期、盈利基数低的设计公司：有市场测算以 fabless 设计公司周期修复的历史区间 6—12 倍 PS 为参照，但东芯 28.2 倍的 2026E PS 仍显著超出该区间，超出部分对应 GPU 期权与涨价弹性溢价（该来源为自媒体测算，置信度中低）</w:t>
      </w:r>
      <w:r>
        <w:rPr>
          <w:vertAlign w:val="superscript"/>
        </w:rPr>
        <w:footnoteReference w:id="103"/>
      </w:r>
      <w:r>
        <w:t xml:space="preserve">。</w:t>
      </w:r>
      <w:r>
        <w:rPr>
          <w:bCs/>
          <w:b/>
        </w:rPr>
        <w:t xml:space="preserve">远期空间法（市场规模 × 份额）</w:t>
      </w:r>
      <w:r>
        <w:t xml:space="preserve">用于期权叙事，如卖方以”消费级显卡约 1000 亿元市场 × 远期 40% 份额”推演砺算远期空间，属低置信度的远期估值</w:t>
      </w:r>
      <w:r>
        <w:rPr>
          <w:vertAlign w:val="superscript"/>
        </w:rPr>
        <w:footnoteReference w:id="104"/>
      </w:r>
      <w:r>
        <w:t xml:space="preserve">。对东芯这类”存储本体 + GPU 期权”的复合标的，市场普遍采用分部估值：存储业务按 Forward PE 或 PS 定价，砺算股权按期权价值单列</w:t>
      </w:r>
      <w:fldSimple w:instr="NOTEREF _Ref_Footnote_103 \h \f">
        <w:r>
          <w:rPr>
            <w:vertAlign w:val="superscript"/>
          </w:rPr>
          <w:t>103</w:t>
        </w:r>
      </w:fldSimple>
      <w:r>
        <w:t xml:space="preserve">。需提示的是，板块整体估值已高到触发龙头自我警示——兆易创新 7 月 2 日公告提示”公司滚动市盈率显著高于行业水平，存在估值较高的风险”</w:t>
      </w:r>
      <w:r>
        <w:rPr>
          <w:vertAlign w:val="superscript"/>
        </w:rPr>
        <w:footnoteReference w:id="105"/>
      </w:r>
      <w:r>
        <w:t xml:space="preserve">。</w:t>
      </w:r>
    </w:p>
    <w:p>
      <w:pPr>
        <w:pStyle w:val="BodyText"/>
      </w:pPr>
      <w:r>
        <w:t xml:space="preserve">以板块中枢为锚做敏感性测算：一致预期 6.12 亿元 × 55—60 倍，对应市值约 337—367 亿元，较当前 604 亿元低约 39%—44%；即便按兆易、普冉 72—73 倍的一级可比上沿，对应市值约 440—446 亿元，仍低于当前约 26%—27%</w:t>
      </w:r>
      <w:fldSimple w:instr="NOTEREF _Ref_Footnote_95 \h \f">
        <w:r>
          <w:rPr>
            <w:vertAlign w:val="superscript"/>
          </w:rPr>
          <w:t>95</w:t>
        </w:r>
      </w:fldSimple>
      <w:r>
        <w:t xml:space="preserve"> </w:t>
      </w:r>
      <w:fldSimple w:instr="NOTEREF _Ref_Footnote_49 \h \f">
        <w:r>
          <w:rPr>
            <w:vertAlign w:val="superscript"/>
          </w:rPr>
          <w:t>49</w:t>
        </w:r>
      </w:fldSimple>
      <w:r>
        <w:t xml:space="preserve">。这意味着当前市值中约有四分之一至四成，是为”涨价超预期延续 + GPU 期权兑现”预付的对价。</w:t>
      </w:r>
    </w:p>
    <w:bookmarkEnd w:id="79"/>
    <w:bookmarkStart w:id="80" w:name="情景估值三情景下的市值区间与抄底价的估值锚"/>
    <w:p>
      <w:pPr>
        <w:pStyle w:val="Heading4"/>
      </w:pPr>
      <w:r>
        <w:t xml:space="preserve">5.3.2 情景估值：三情景下的市值区间与”抄底价”的估值锚</w:t>
      </w:r>
    </w:p>
    <w:p>
      <w:pPr>
        <w:pStyle w:val="FirstParagraph"/>
      </w:pPr>
      <w:r>
        <w:rPr>
          <w:bCs/>
          <w:b/>
        </w:rPr>
        <w:t xml:space="preserve">表 5-2 东芯股份 2026E 三情景估值测算（总股本 4.4238 亿股；市值与股价为测算值）</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情景</w:t>
            </w:r>
          </w:p>
        </w:tc>
        <w:tc>
          <w:tcPr/>
          <w:p>
            <w:pPr>
              <w:pStyle w:val="Compact"/>
              <w:jc w:val="left"/>
            </w:pPr>
            <w:r>
              <w:t xml:space="preserve">核心假设</w:t>
            </w:r>
          </w:p>
        </w:tc>
        <w:tc>
          <w:tcPr/>
          <w:p>
            <w:pPr>
              <w:pStyle w:val="Compact"/>
              <w:jc w:val="left"/>
            </w:pPr>
            <w:r>
              <w:t xml:space="preserve">2026E 归母净利</w:t>
            </w:r>
          </w:p>
        </w:tc>
        <w:tc>
          <w:tcPr/>
          <w:p>
            <w:pPr>
              <w:pStyle w:val="Compact"/>
              <w:jc w:val="left"/>
            </w:pPr>
            <w:r>
              <w:t xml:space="preserve">目标 PE</w:t>
            </w:r>
          </w:p>
        </w:tc>
        <w:tc>
          <w:tcPr/>
          <w:p>
            <w:pPr>
              <w:pStyle w:val="Compact"/>
              <w:jc w:val="left"/>
            </w:pPr>
            <w:r>
              <w:t xml:space="preserve">对应市值</w:t>
            </w:r>
          </w:p>
        </w:tc>
        <w:tc>
          <w:tcPr/>
          <w:p>
            <w:pPr>
              <w:pStyle w:val="Compact"/>
              <w:jc w:val="left"/>
            </w:pPr>
            <w:r>
              <w:t xml:space="preserve">对应股价（元）</w:t>
            </w:r>
          </w:p>
        </w:tc>
        <w:tc>
          <w:tcPr/>
          <w:p>
            <w:pPr>
              <w:pStyle w:val="Compact"/>
              <w:jc w:val="left"/>
            </w:pPr>
            <w:r>
              <w:t xml:space="preserve">较 7/16 收盘 136.50 元</w:t>
            </w:r>
          </w:p>
        </w:tc>
      </w:tr>
      <w:tr>
        <w:tc>
          <w:tcPr/>
          <w:p>
            <w:pPr>
              <w:pStyle w:val="Compact"/>
              <w:jc w:val="left"/>
            </w:pPr>
            <w:r>
              <w:t xml:space="preserve">牛市</w:t>
            </w:r>
          </w:p>
        </w:tc>
        <w:tc>
          <w:tcPr/>
          <w:p>
            <w:pPr>
              <w:pStyle w:val="Compact"/>
              <w:jc w:val="left"/>
            </w:pPr>
            <w:r>
              <w:t xml:space="preserve">涨价持续至 2027H2、Q3/Q4 合约价超预期、砺算减亏；板块情绪定价（参照兆易 7/9 峰值时华鑫证券口径 2026E PE 约 92 倍</w:t>
            </w:r>
            <w:r>
              <w:t xml:space="preserve"> </w:t>
            </w:r>
            <w:r>
              <w:rPr>
                <w:vertAlign w:val="superscript"/>
              </w:rPr>
              <w:footnoteReference w:id="106"/>
            </w:r>
            <w:r>
              <w:t xml:space="preserve">；华龙”增持”评级日对应 127 倍</w:t>
            </w:r>
            <w:r>
              <w:t xml:space="preserve"> </w:t>
            </w:r>
            <w:fldSimple w:instr="NOTEREF _Ref_Footnote_12 \h \f">
              <w:r>
                <w:rPr>
                  <w:vertAlign w:val="superscript"/>
                </w:rPr>
                <w:t>12</w:t>
              </w:r>
            </w:fldSimple>
            <w:r>
              <w:t xml:space="preserve">）</w:t>
            </w:r>
          </w:p>
        </w:tc>
        <w:tc>
          <w:tcPr/>
          <w:p>
            <w:pPr>
              <w:pStyle w:val="Compact"/>
              <w:jc w:val="left"/>
            </w:pPr>
            <w:r>
              <w:t xml:space="preserve">8.0 亿元（在华龙 6.73 亿元</w:t>
            </w:r>
            <w:r>
              <w:t xml:space="preserve"> </w:t>
            </w:r>
            <w:fldSimple w:instr="NOTEREF _Ref_Footnote_12 \h \f">
              <w:r>
                <w:rPr>
                  <w:vertAlign w:val="superscript"/>
                </w:rPr>
                <w:t>12</w:t>
              </w:r>
            </w:fldSimple>
            <w:r>
              <w:t xml:space="preserve"> </w:t>
            </w:r>
            <w:r>
              <w:t xml:space="preserve">之上继续上修）</w:t>
            </w:r>
          </w:p>
        </w:tc>
        <w:tc>
          <w:tcPr/>
          <w:p>
            <w:pPr>
              <w:pStyle w:val="Compact"/>
              <w:jc w:val="left"/>
            </w:pPr>
            <w:r>
              <w:t xml:space="preserve">80—90 倍</w:t>
            </w:r>
          </w:p>
        </w:tc>
        <w:tc>
          <w:tcPr/>
          <w:p>
            <w:pPr>
              <w:pStyle w:val="Compact"/>
              <w:jc w:val="left"/>
            </w:pPr>
            <w:r>
              <w:t xml:space="preserve">640—720 亿元</w:t>
            </w:r>
          </w:p>
        </w:tc>
        <w:tc>
          <w:tcPr/>
          <w:p>
            <w:pPr>
              <w:pStyle w:val="Compact"/>
              <w:jc w:val="left"/>
            </w:pPr>
            <w:r>
              <w:t xml:space="preserve">144.7—162.8</w:t>
            </w:r>
          </w:p>
        </w:tc>
        <w:tc>
          <w:tcPr/>
          <w:p>
            <w:pPr>
              <w:pStyle w:val="Compact"/>
              <w:jc w:val="left"/>
            </w:pPr>
            <w:r>
              <w:t xml:space="preserve">+6.0% ~ +19.2%</w:t>
            </w:r>
          </w:p>
        </w:tc>
      </w:tr>
      <w:tr>
        <w:tc>
          <w:tcPr/>
          <w:p>
            <w:pPr>
              <w:pStyle w:val="Compact"/>
              <w:jc w:val="left"/>
            </w:pPr>
            <w:r>
              <w:t xml:space="preserve">基准</w:t>
            </w:r>
          </w:p>
        </w:tc>
        <w:tc>
          <w:tcPr/>
          <w:p>
            <w:pPr>
              <w:pStyle w:val="Compact"/>
              <w:jc w:val="left"/>
            </w:pPr>
            <w:r>
              <w:t xml:space="preserve">涨价延续但斜率收窄（TrendForce 预计 Q3 NAND 合约价环比 +10%~15%</w:t>
            </w:r>
            <w:r>
              <w:t xml:space="preserve"> </w:t>
            </w:r>
            <w:fldSimple w:instr="NOTEREF _Ref_Footnote_7 \h \f">
              <w:r>
                <w:rPr>
                  <w:vertAlign w:val="superscript"/>
                </w:rPr>
                <w:t>7</w:t>
              </w:r>
            </w:fldSimple>
            <w:r>
              <w:t xml:space="preserve">），一致预期兑现；估值向板块中枢与一级可比收敛</w:t>
            </w:r>
          </w:p>
        </w:tc>
        <w:tc>
          <w:tcPr/>
          <w:p>
            <w:pPr>
              <w:pStyle w:val="Compact"/>
              <w:jc w:val="left"/>
            </w:pPr>
            <w:r>
              <w:t xml:space="preserve">6.1—6.7 亿元</w:t>
            </w:r>
            <w:r>
              <w:t xml:space="preserve"> </w:t>
            </w:r>
            <w:fldSimple w:instr="NOTEREF _Ref_Footnote_95 \h \f">
              <w:r>
                <w:rPr>
                  <w:vertAlign w:val="superscript"/>
                </w:rPr>
                <w:t>95</w:t>
              </w:r>
            </w:fldSimple>
            <w:r>
              <w:t xml:space="preserve"> </w:t>
            </w:r>
            <w:fldSimple w:instr="NOTEREF _Ref_Footnote_12 \h \f">
              <w:r>
                <w:rPr>
                  <w:vertAlign w:val="superscript"/>
                </w:rPr>
                <w:t>12</w:t>
              </w:r>
            </w:fldSimple>
          </w:p>
        </w:tc>
        <w:tc>
          <w:tcPr/>
          <w:p>
            <w:pPr>
              <w:pStyle w:val="Compact"/>
              <w:jc w:val="left"/>
            </w:pPr>
            <w:r>
              <w:t xml:space="preserve">55—70 倍</w:t>
            </w:r>
          </w:p>
        </w:tc>
        <w:tc>
          <w:tcPr/>
          <w:p>
            <w:pPr>
              <w:pStyle w:val="Compact"/>
              <w:jc w:val="left"/>
            </w:pPr>
            <w:r>
              <w:t xml:space="preserve">336—469 亿元</w:t>
            </w:r>
          </w:p>
        </w:tc>
        <w:tc>
          <w:tcPr/>
          <w:p>
            <w:pPr>
              <w:pStyle w:val="Compact"/>
              <w:jc w:val="left"/>
            </w:pPr>
            <w:r>
              <w:t xml:space="preserve">75.8—106.0</w:t>
            </w:r>
          </w:p>
        </w:tc>
        <w:tc>
          <w:tcPr/>
          <w:p>
            <w:pPr>
              <w:pStyle w:val="Compact"/>
              <w:jc w:val="left"/>
            </w:pPr>
            <w:r>
              <w:t xml:space="preserve">-22.3% ~ -44.5%</w:t>
            </w:r>
          </w:p>
        </w:tc>
      </w:tr>
      <w:tr>
        <w:tc>
          <w:tcPr/>
          <w:p>
            <w:pPr>
              <w:pStyle w:val="Compact"/>
              <w:jc w:val="left"/>
            </w:pPr>
            <w:r>
              <w:t xml:space="preserve">熊市</w:t>
            </w:r>
          </w:p>
        </w:tc>
        <w:tc>
          <w:tcPr/>
          <w:p>
            <w:pPr>
              <w:pStyle w:val="Compact"/>
              <w:jc w:val="left"/>
            </w:pPr>
            <w:r>
              <w:t xml:space="preserve">Q4 合约价环比走平或转跌、低价库存红利耗尽，盈利下修（Q1 年化打折）；估值退回周期品</w:t>
            </w:r>
          </w:p>
        </w:tc>
        <w:tc>
          <w:tcPr/>
          <w:p>
            <w:pPr>
              <w:pStyle w:val="Compact"/>
              <w:jc w:val="left"/>
            </w:pPr>
            <w:r>
              <w:t xml:space="preserve">4.0 亿元</w:t>
            </w:r>
          </w:p>
        </w:tc>
        <w:tc>
          <w:tcPr/>
          <w:p>
            <w:pPr>
              <w:pStyle w:val="Compact"/>
              <w:jc w:val="left"/>
            </w:pPr>
            <w:r>
              <w:t xml:space="preserve">40—45 倍</w:t>
            </w:r>
          </w:p>
        </w:tc>
        <w:tc>
          <w:tcPr/>
          <w:p>
            <w:pPr>
              <w:pStyle w:val="Compact"/>
              <w:jc w:val="left"/>
            </w:pPr>
            <w:r>
              <w:t xml:space="preserve">160—180 亿元</w:t>
            </w:r>
          </w:p>
        </w:tc>
        <w:tc>
          <w:tcPr/>
          <w:p>
            <w:pPr>
              <w:pStyle w:val="Compact"/>
              <w:jc w:val="left"/>
            </w:pPr>
            <w:r>
              <w:t xml:space="preserve">36.2—40.7</w:t>
            </w:r>
          </w:p>
        </w:tc>
        <w:tc>
          <w:tcPr/>
          <w:p>
            <w:pPr>
              <w:pStyle w:val="Compact"/>
              <w:jc w:val="left"/>
            </w:pPr>
            <w:r>
              <w:t xml:space="preserve">-70.2% ~ -73.5%</w:t>
            </w:r>
          </w:p>
        </w:tc>
      </w:tr>
    </w:tbl>
    <w:p>
      <w:pPr>
        <w:pStyle w:val="BodyText"/>
      </w:pPr>
      <w:r>
        <w:t xml:space="preserve">解读：三情景测算标定了当前价格的位置——136.50 元已落在牛市情景区间（144.7—162.8 元）的下沿附近，较基准情景上沿（106.0 元）仍高出约 29%。换言之，</w:t>
      </w:r>
      <w:r>
        <w:rPr>
          <w:bCs/>
          <w:b/>
        </w:rPr>
        <w:t xml:space="preserve">当前价位买入本质上是按牛市情景付费</w:t>
      </w:r>
      <w:r>
        <w:t xml:space="preserve">：只有”涨价持续至 2027 年 + 一致预期上修至 8 亿元量级”同时兑现，当前价格才具备安全边际；若仅兑现现有一致预期而估值倍数向板块中枢收敛，对应 76—106 元的基准区间——这才是”抄底价”的估值锚。该锚与两类市场定价相互印证：4 月 2 日年内低点 104.01 元（市值约 460 亿元，按当前一致预期折算约 75 倍；彼时一致预期尚未上修，实际成交倍数更高），以及控股股东 4 月询价转让的受让成本 100 元——估值锚、情绪锚与产业资本成本锚在 100—106 元附近形成共振（技术面与筹码细节见第六章）</w:t>
      </w:r>
      <w:fldSimple w:instr="NOTEREF _Ref_Footnote_95 \h \f">
        <w:r>
          <w:rPr>
            <w:vertAlign w:val="superscript"/>
          </w:rPr>
          <w:t>95</w:t>
        </w:r>
      </w:fldSimple>
      <w:r>
        <w:t xml:space="preserve"> </w:t>
      </w:r>
      <w:fldSimple w:instr="NOTEREF _Ref_Footnote_96 \h \f">
        <w:r>
          <w:rPr>
            <w:vertAlign w:val="superscript"/>
          </w:rPr>
          <w:t>96</w:t>
        </w:r>
      </w:fldSimple>
      <w:r>
        <w:t xml:space="preserve">。熊市情景 36—41 元的意义不在于目标价，而在于界定最坏情形的损失边界（约 -70%），用于校准仓位上限而非预测点位；其假设并非极端臆想——2023 年下行周期中公司营收曾同比腰斩、归母净亏损 3.06 亿元</w:t>
      </w:r>
      <w:r>
        <w:rPr>
          <w:vertAlign w:val="superscript"/>
        </w:rPr>
        <w:footnoteReference w:id="107"/>
      </w:r>
      <w:r>
        <w:t xml:space="preserve">。</w:t>
      </w:r>
    </w:p>
    <w:p>
      <w:pPr>
        <w:pStyle w:val="BodyText"/>
      </w:pPr>
      <w:r>
        <w:t xml:space="preserve">估值层面的结论是：604 亿元的东芯”不便宜”，抄底的安全边际不来自当前估值，而来自涨价持续与一致预期上修的动量，以及回落至 100—106 元估值锚附近时的赔率改善。买入时点的选择则取决于资金与筹码是否出清——这是下一章资金面分析的主题。</w:t>
      </w:r>
    </w:p>
    <w:bookmarkEnd w:id="80"/>
    <w:bookmarkEnd w:id="81"/>
    <w:bookmarkEnd w:id="82"/>
    <w:bookmarkStart w:id="94" w:name="资金面筹码结构与技术位置"/>
    <w:p>
      <w:pPr>
        <w:pStyle w:val="Heading2"/>
      </w:pPr>
      <w:r>
        <w:t xml:space="preserve">6. 资金面、筹码结构与技术位置</w:t>
      </w:r>
    </w:p>
    <w:p>
      <w:pPr>
        <w:pStyle w:val="FirstParagraph"/>
      </w:pPr>
      <w:r>
        <w:t xml:space="preserve">承接第 5 章”尚未便宜”的估值结论，本章从资金、筹码、技术三个维度回答：现在跌到什么位置、资金在干什么、什么信号才算”跌到位”。结论先行：</w:t>
      </w:r>
      <w:r>
        <w:rPr>
          <w:bCs/>
          <w:b/>
        </w:rPr>
        <w:t xml:space="preserve">资金面（主力单边派发、杠杆未出清）与技术面（跌破全部均线）均不支持”立即抄底”</w:t>
      </w:r>
      <w:r>
        <w:t xml:space="preserve">；对持有 138 元附近成本仓位的投资者，合理策略是”分批建仓＋信号触发”，而非一次性押注，具体方案与第 8 章衔接。</w:t>
      </w:r>
    </w:p>
    <w:bookmarkStart w:id="84" w:name="资金行为"/>
    <w:p>
      <w:pPr>
        <w:pStyle w:val="Heading3"/>
      </w:pPr>
      <w:r>
        <w:t xml:space="preserve">6.1 资金行为</w:t>
      </w:r>
    </w:p>
    <w:bookmarkStart w:id="83" w:name="X5336f877f8e06e4f5205093c0330a14726784ee"/>
    <w:p>
      <w:pPr>
        <w:pStyle w:val="Heading4"/>
      </w:pPr>
      <w:r>
        <w:t xml:space="preserve">6.1.1 7 月主力单边净流出约 28 亿（7/1-7/16）、7/16 单日主力 -2.2 亿 vs 散户 +2.84 亿；融资余额 33.5 亿处 80% 分位未出清</w:t>
      </w:r>
    </w:p>
    <w:p>
      <w:pPr>
        <w:pStyle w:val="FirstParagraph"/>
      </w:pPr>
      <w:r>
        <w:t xml:space="preserve">7 月以来的资金行为呈现”主力派发、散户接盘、杠杆接刀”的顶部特征，抄底的资金面条件尚不具备。自 7/1 股价见顶以来，主力资金几乎单边净流出：已披露逐日流向的 6 个交易日（7/1、7/2、7/3、7/8、7/13、7/16）合计净流出约 28 亿元，其中 7/2 单日净流出 13.72 亿元、占当日成交额 26.2%，为阶段最大抛售日</w:t>
      </w:r>
      <w:r>
        <w:rPr>
          <w:vertAlign w:val="superscript"/>
        </w:rPr>
        <w:footnoteReference w:id="108"/>
      </w:r>
      <w:r>
        <w:t xml:space="preserve">；7/1 净流出 5.56 亿元</w:t>
      </w:r>
      <w:fldSimple w:instr="NOTEREF _Ref_Footnote_98 \h \f">
        <w:r>
          <w:rPr>
            <w:vertAlign w:val="superscript"/>
          </w:rPr>
          <w:t>98</w:t>
        </w:r>
      </w:fldSimple>
      <w:r>
        <w:t xml:space="preserve">，7/3 净流出 2.68 亿元</w:t>
      </w:r>
      <w:r>
        <w:rPr>
          <w:vertAlign w:val="superscript"/>
        </w:rPr>
        <w:footnoteReference w:id="109"/>
      </w:r>
      <w:r>
        <w:t xml:space="preserve">，期间仅 7/8 小幅净流入 0.34 亿元</w:t>
      </w:r>
      <w:r>
        <w:rPr>
          <w:vertAlign w:val="superscript"/>
        </w:rPr>
        <w:footnoteReference w:id="110"/>
      </w:r>
      <w:r>
        <w:t xml:space="preserve">，7/13、7/16 再度分别净流出 4.17 亿元、2.2 亿元</w:t>
      </w:r>
      <w:r>
        <w:rPr>
          <w:vertAlign w:val="superscript"/>
        </w:rPr>
        <w:footnoteReference w:id="111"/>
      </w:r>
      <w:r>
        <w:t xml:space="preserve"> </w:t>
      </w:r>
      <w:fldSimple w:instr="NOTEREF _Ref_Footnote_8 \h \f">
        <w:r>
          <w:rPr>
            <w:vertAlign w:val="superscript"/>
          </w:rPr>
          <w:t>8</w:t>
        </w:r>
      </w:fldSimple>
      <w:r>
        <w:t xml:space="preserve">。这与 6 月主升浪形成鲜明方向逆转——6/15 主力单日曾净流入 4.55 亿元</w:t>
      </w:r>
      <w:r>
        <w:rPr>
          <w:vertAlign w:val="superscript"/>
        </w:rPr>
        <w:footnoteReference w:id="112"/>
      </w:r>
      <w:r>
        <w:t xml:space="preserve">。</w:t>
      </w:r>
    </w:p>
    <w:p>
      <w:pPr>
        <w:pStyle w:val="BodyText"/>
      </w:pPr>
      <w:r>
        <w:t xml:space="preserve">比总量更具指示意义的是结构。7/16 当日主力净流出 2.2 亿元（占成交额 8.27%）、游资净流出 0.64 亿元，而散户资金净流入 2.84 亿元</w:t>
      </w:r>
      <w:fldSimple w:instr="NOTEREF _Ref_Footnote_8 \h \f">
        <w:r>
          <w:rPr>
            <w:vertAlign w:val="superscript"/>
          </w:rPr>
          <w:t>8</w:t>
        </w:r>
      </w:fldSimple>
      <w:r>
        <w:t xml:space="preserve">——下跌末段”主力与游资同步撤退、散户逆势承接”，是典型的派发结构，而非恐慌出清结构。</w:t>
      </w:r>
    </w:p>
    <w:p>
      <w:pPr>
        <w:pStyle w:val="BodyText"/>
      </w:pPr>
      <w:r>
        <w:t xml:space="preserve">杠杆资金构成第二层隐患。截至 7/14，融资余额 33.53 亿元，占流通市值 4.86%，处近一年 80% 分位以上高位</w:t>
      </w:r>
      <w:fldSimple w:instr="NOTEREF _Ref_Footnote_9 \h \f">
        <w:r>
          <w:rPr>
            <w:vertAlign w:val="superscript"/>
          </w:rPr>
          <w:t>9</w:t>
        </w:r>
      </w:fldSimple>
      <w:r>
        <w:t xml:space="preserve">；6 月主升浪期间自 28.37 亿元（6/8）升至 34.78 亿元峰值（6/29），股价回落后仍停留在 33 亿元上方，未明显出清</w:t>
      </w:r>
      <w:fldSimple w:instr="NOTEREF _Ref_Footnote_9 \h \f">
        <w:r>
          <w:rPr>
            <w:vertAlign w:val="superscript"/>
          </w:rPr>
          <w:t>9</w:t>
        </w:r>
      </w:fldSimple>
      <w:r>
        <w:t xml:space="preserve"> </w:t>
      </w:r>
      <w:r>
        <w:rPr>
          <w:vertAlign w:val="superscript"/>
        </w:rPr>
        <w:footnoteReference w:id="113"/>
      </w:r>
      <w:r>
        <w:t xml:space="preserve">；且 7/16 之前 5 个交易日融资仍净流入 1.14 亿元</w:t>
      </w:r>
      <w:fldSimple w:instr="NOTEREF _Ref_Footnote_8 \h \f">
        <w:r>
          <w:rPr>
            <w:vertAlign w:val="superscript"/>
          </w:rPr>
          <w:t>8</w:t>
        </w:r>
      </w:fldSimple>
      <w:r>
        <w:t xml:space="preserve">，杠杆资金逆势”接刀”与股价破位并存，构成潜在平仓抛压源。融券余额仅约 1547 万元，主动做空可忽略</w:t>
      </w:r>
      <w:fldSimple w:instr="NOTEREF _Ref_Footnote_113 \h \f">
        <w:r>
          <w:rPr>
            <w:vertAlign w:val="superscript"/>
          </w:rPr>
          <w:t>113</w:t>
        </w:r>
      </w:fldSimple>
      <w:r>
        <w:t xml:space="preserve">，抛压主要来自多头撤退。7 月暴跌期间个股未触发龙虎榜披露，游资动向不可见</w:t>
      </w:r>
      <w:r>
        <w:rPr>
          <w:vertAlign w:val="superscript"/>
        </w:rPr>
        <w:footnoteReference w:id="114"/>
      </w:r>
      <w:r>
        <w:t xml:space="preserve">；北向资金（香港中央结算）2026Q1 增持 318.00 万股至 642.49 万股（占流通股 1.45%）</w:t>
      </w:r>
      <w:fldSimple w:instr="NOTEREF _Ref_Footnote_9 \h \f">
        <w:r>
          <w:rPr>
            <w:vertAlign w:val="superscript"/>
          </w:rPr>
          <w:t>9</w:t>
        </w:r>
      </w:fldSimple>
      <w:r>
        <w:t xml:space="preserve">，体量难以对冲境内主力流出。</w:t>
      </w:r>
    </w:p>
    <w:p>
      <w:pPr>
        <w:pStyle w:val="BodyText"/>
      </w:pPr>
      <w:r>
        <w:rPr>
          <w:bCs/>
          <w:b/>
        </w:rPr>
        <w:t xml:space="preserve">表 6-1 资金行为要点表（截至 2026-07-16）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资金维度</w:t>
            </w:r>
          </w:p>
        </w:tc>
        <w:tc>
          <w:tcPr/>
          <w:p>
            <w:pPr>
              <w:pStyle w:val="Compact"/>
              <w:jc w:val="left"/>
            </w:pPr>
            <w:r>
              <w:t xml:space="preserve">最新数据</w:t>
            </w:r>
          </w:p>
        </w:tc>
        <w:tc>
          <w:tcPr/>
          <w:p>
            <w:pPr>
              <w:pStyle w:val="Compact"/>
              <w:jc w:val="left"/>
            </w:pPr>
            <w:r>
              <w:t xml:space="preserve">行为含义</w:t>
            </w:r>
          </w:p>
        </w:tc>
      </w:tr>
      <w:tr>
        <w:tc>
          <w:tcPr/>
          <w:p>
            <w:pPr>
              <w:pStyle w:val="Compact"/>
              <w:jc w:val="left"/>
            </w:pPr>
            <w:r>
              <w:t xml:space="preserve">主力资金（7/1–7/16）</w:t>
            </w:r>
          </w:p>
        </w:tc>
        <w:tc>
          <w:tcPr/>
          <w:p>
            <w:pPr>
              <w:pStyle w:val="Compact"/>
              <w:jc w:val="left"/>
            </w:pPr>
            <w:r>
              <w:t xml:space="preserve">6 个披露日合计约 -28 亿元</w:t>
            </w:r>
            <w:r>
              <w:t xml:space="preserve"> </w:t>
            </w:r>
            <w:fldSimple w:instr="NOTEREF _Ref_Footnote_108 \h \f">
              <w:r>
                <w:rPr>
                  <w:vertAlign w:val="superscript"/>
                </w:rPr>
                <w:t>108</w:t>
              </w:r>
            </w:fldSimple>
            <w:r>
              <w:t xml:space="preserve"> </w:t>
            </w:r>
            <w:fldSimple w:instr="NOTEREF _Ref_Footnote_98 \h \f">
              <w:r>
                <w:rPr>
                  <w:vertAlign w:val="superscript"/>
                </w:rPr>
                <w:t>98</w:t>
              </w:r>
            </w:fldSimple>
            <w:r>
              <w:t xml:space="preserve"> </w:t>
            </w:r>
            <w:fldSimple w:instr="NOTEREF _Ref_Footnote_8 \h \f">
              <w:r>
                <w:rPr>
                  <w:vertAlign w:val="superscript"/>
                </w:rPr>
                <w:t>8</w:t>
              </w:r>
            </w:fldSimple>
          </w:p>
        </w:tc>
        <w:tc>
          <w:tcPr/>
          <w:p>
            <w:pPr>
              <w:pStyle w:val="Compact"/>
              <w:jc w:val="left"/>
            </w:pPr>
            <w:r>
              <w:t xml:space="preserve">单边净流出，派发特征明确</w:t>
            </w:r>
          </w:p>
        </w:tc>
      </w:tr>
      <w:tr>
        <w:tc>
          <w:tcPr/>
          <w:p>
            <w:pPr>
              <w:pStyle w:val="Compact"/>
              <w:jc w:val="left"/>
            </w:pPr>
            <w:r>
              <w:t xml:space="preserve">7/16 单日结构</w:t>
            </w:r>
          </w:p>
        </w:tc>
        <w:tc>
          <w:tcPr/>
          <w:p>
            <w:pPr>
              <w:pStyle w:val="Compact"/>
              <w:jc w:val="left"/>
            </w:pPr>
            <w:r>
              <w:t xml:space="preserve">主力 -2.2 亿、游资 -0.64 亿、散户 +2.84 亿</w:t>
            </w:r>
            <w:r>
              <w:t xml:space="preserve"> </w:t>
            </w:r>
            <w:fldSimple w:instr="NOTEREF _Ref_Footnote_8 \h \f">
              <w:r>
                <w:rPr>
                  <w:vertAlign w:val="superscript"/>
                </w:rPr>
                <w:t>8</w:t>
              </w:r>
            </w:fldSimple>
          </w:p>
        </w:tc>
        <w:tc>
          <w:tcPr/>
          <w:p>
            <w:pPr>
              <w:pStyle w:val="Compact"/>
              <w:jc w:val="left"/>
            </w:pPr>
            <w:r>
              <w:t xml:space="preserve">主力游资撤退、散户接盘</w:t>
            </w:r>
          </w:p>
        </w:tc>
      </w:tr>
      <w:tr>
        <w:tc>
          <w:tcPr/>
          <w:p>
            <w:pPr>
              <w:pStyle w:val="Compact"/>
              <w:jc w:val="left"/>
            </w:pPr>
            <w:r>
              <w:t xml:space="preserve">融资余额</w:t>
            </w:r>
          </w:p>
        </w:tc>
        <w:tc>
          <w:tcPr/>
          <w:p>
            <w:pPr>
              <w:pStyle w:val="Compact"/>
              <w:jc w:val="left"/>
            </w:pPr>
            <w:r>
              <w:t xml:space="preserve">33.53 亿元（7/14），占流通市值 4.86%，处近一年 80% 分位以上</w:t>
            </w:r>
            <w:r>
              <w:t xml:space="preserve"> </w:t>
            </w:r>
            <w:fldSimple w:instr="NOTEREF _Ref_Footnote_9 \h \f">
              <w:r>
                <w:rPr>
                  <w:vertAlign w:val="superscript"/>
                </w:rPr>
                <w:t>9</w:t>
              </w:r>
            </w:fldSimple>
          </w:p>
        </w:tc>
        <w:tc>
          <w:tcPr/>
          <w:p>
            <w:pPr>
              <w:pStyle w:val="Compact"/>
              <w:jc w:val="left"/>
            </w:pPr>
            <w:r>
              <w:t xml:space="preserve">杠杆高位未出清，存平仓抛压</w:t>
            </w:r>
          </w:p>
        </w:tc>
      </w:tr>
      <w:tr>
        <w:tc>
          <w:tcPr/>
          <w:p>
            <w:pPr>
              <w:pStyle w:val="Compact"/>
              <w:jc w:val="left"/>
            </w:pPr>
            <w:r>
              <w:t xml:space="preserve">融券余额</w:t>
            </w:r>
          </w:p>
        </w:tc>
        <w:tc>
          <w:tcPr/>
          <w:p>
            <w:pPr>
              <w:pStyle w:val="Compact"/>
              <w:jc w:val="left"/>
            </w:pPr>
            <w:r>
              <w:t xml:space="preserve">约 1547 万元（7/13）</w:t>
            </w:r>
            <w:r>
              <w:t xml:space="preserve"> </w:t>
            </w:r>
            <w:fldSimple w:instr="NOTEREF _Ref_Footnote_113 \h \f">
              <w:r>
                <w:rPr>
                  <w:vertAlign w:val="superscript"/>
                </w:rPr>
                <w:t>113</w:t>
              </w:r>
            </w:fldSimple>
          </w:p>
        </w:tc>
        <w:tc>
          <w:tcPr/>
          <w:p>
            <w:pPr>
              <w:pStyle w:val="Compact"/>
              <w:jc w:val="left"/>
            </w:pPr>
            <w:r>
              <w:t xml:space="preserve">空头规模可忽略，抛压源于多头撤退</w:t>
            </w:r>
          </w:p>
        </w:tc>
      </w:tr>
      <w:tr>
        <w:tc>
          <w:tcPr/>
          <w:p>
            <w:pPr>
              <w:pStyle w:val="Compact"/>
              <w:jc w:val="left"/>
            </w:pPr>
            <w:r>
              <w:t xml:space="preserve">龙虎榜</w:t>
            </w:r>
          </w:p>
        </w:tc>
        <w:tc>
          <w:tcPr/>
          <w:p>
            <w:pPr>
              <w:pStyle w:val="Compact"/>
              <w:jc w:val="left"/>
            </w:pPr>
            <w:r>
              <w:t xml:space="preserve">7 月暴跌期间无披露</w:t>
            </w:r>
            <w:r>
              <w:t xml:space="preserve"> </w:t>
            </w:r>
            <w:fldSimple w:instr="NOTEREF _Ref_Footnote_114 \h \f">
              <w:r>
                <w:rPr>
                  <w:vertAlign w:val="superscript"/>
                </w:rPr>
                <w:t>114</w:t>
              </w:r>
            </w:fldSimple>
          </w:p>
        </w:tc>
        <w:tc>
          <w:tcPr/>
          <w:p>
            <w:pPr>
              <w:pStyle w:val="Compact"/>
              <w:jc w:val="left"/>
            </w:pPr>
            <w:r>
              <w:t xml:space="preserve">游资动向不可见，信息缺口</w:t>
            </w:r>
          </w:p>
        </w:tc>
      </w:tr>
      <w:tr>
        <w:tc>
          <w:tcPr/>
          <w:p>
            <w:pPr>
              <w:pStyle w:val="Compact"/>
              <w:jc w:val="left"/>
            </w:pPr>
            <w:r>
              <w:t xml:space="preserve">北向资金</w:t>
            </w:r>
          </w:p>
        </w:tc>
        <w:tc>
          <w:tcPr/>
          <w:p>
            <w:pPr>
              <w:pStyle w:val="Compact"/>
              <w:jc w:val="left"/>
            </w:pPr>
            <w:r>
              <w:t xml:space="preserve">2026Q1 增持 318 万股至 642.49 万股</w:t>
            </w:r>
            <w:r>
              <w:t xml:space="preserve"> </w:t>
            </w:r>
            <w:fldSimple w:instr="NOTEREF _Ref_Footnote_9 \h \f">
              <w:r>
                <w:rPr>
                  <w:vertAlign w:val="superscript"/>
                </w:rPr>
                <w:t>9</w:t>
              </w:r>
            </w:fldSimple>
          </w:p>
        </w:tc>
        <w:tc>
          <w:tcPr/>
          <w:p>
            <w:pPr>
              <w:pStyle w:val="Compact"/>
              <w:jc w:val="left"/>
            </w:pPr>
            <w:r>
              <w:t xml:space="preserve">长线小幅增持，难对冲主力流出</w:t>
            </w:r>
          </w:p>
        </w:tc>
      </w:tr>
    </w:tbl>
    <w:p>
      <w:pPr>
        <w:pStyle w:val="BodyText"/>
      </w:pPr>
      <w:r>
        <w:t xml:space="preserve">上表的综合指向是：本轮下跌的资金性质是”获利盘系统性撤离＋散户与杠杆盘被动承接”，而非”恐慌盘一次性出清”。对照 6/15 主升浪中主力单日净流入 4.55 亿元时股价加速上行</w:t>
      </w:r>
      <w:fldSimple w:instr="NOTEREF _Ref_Footnote_112 \h \f">
        <w:r>
          <w:rPr>
            <w:vertAlign w:val="superscript"/>
          </w:rPr>
          <w:t>112</w:t>
        </w:r>
      </w:fldSimple>
      <w:r>
        <w:t xml:space="preserve">，当前流向方向完全相反。在主力连续净流出、融资余额维持 80% 分位高位的组合下，左侧抄底者实际是在与派发中的主力和未出清的杠杆盘做对手盘，胜率与赔率均不占优；资金面转正的先决条件，是主力单日净额转正并持续、融资余额水位与分位双降。</w:t>
      </w:r>
    </w:p>
    <w:bookmarkEnd w:id="83"/>
    <w:bookmarkEnd w:id="84"/>
    <w:bookmarkStart w:id="87" w:name="筹码与股东结构"/>
    <w:p>
      <w:pPr>
        <w:pStyle w:val="Heading3"/>
      </w:pPr>
      <w:r>
        <w:t xml:space="preserve">6.2 筹码与股东结构</w:t>
      </w:r>
    </w:p>
    <w:bookmarkStart w:id="85" w:name="Xcf8d920f3e7bf992003e86a6ec60864da327e10"/>
    <w:p>
      <w:pPr>
        <w:pStyle w:val="Heading4"/>
      </w:pPr>
      <w:r>
        <w:t xml:space="preserve">6.2.1 股东户数 4.88 万户同比 +140%，筹码显著分散；控股股东 4 月询价转让 442 万股</w:t>
      </w:r>
      <w:r>
        <w:t xml:space="preserve"> </w:t>
      </w:r>
      <w:r>
        <w:t xml:space="preserve">@100</w:t>
      </w:r>
      <w:r>
        <w:t xml:space="preserve"> </w:t>
      </w:r>
      <w:r>
        <w:t xml:space="preserve">元（10/13 解禁）；大基金二期退出前十</w:t>
      </w:r>
    </w:p>
    <w:p>
      <w:pPr>
        <w:pStyle w:val="FirstParagraph"/>
      </w:pPr>
      <w:r>
        <w:t xml:space="preserve">筹码结构已实质性受损：股东户数一年内翻倍以上，筹码由集中走向显著分散。截至 2026-03-31，股东户数 4.88 万户（48,842 户），环比 +3.84%、同比 +139.75%；人均流通股 9054 股，环比 -3.70%</w:t>
      </w:r>
      <w:fldSimple w:instr="NOTEREF _Ref_Footnote_9 \h \f">
        <w:r>
          <w:rPr>
            <w:vertAlign w:val="superscript"/>
          </w:rPr>
          <w:t>9</w:t>
        </w:r>
      </w:fldSimple>
      <w:r>
        <w:t xml:space="preserve"> </w:t>
      </w:r>
      <w:r>
        <w:rPr>
          <w:vertAlign w:val="superscript"/>
        </w:rPr>
        <w:footnoteReference w:id="115"/>
      </w:r>
      <w:r>
        <w:t xml:space="preserve">。股东户数在大涨阶段翻倍，通常对应筹码由机构与大户向散户分散，与 6 月以来的天量换手互为印证。前十大流通股东合计持股 43.25%，其中控股股东东方恒信 30.88%</w:t>
      </w:r>
      <w:fldSimple w:instr="NOTEREF _Ref_Footnote_15 \h \f">
        <w:r>
          <w:rPr>
            <w:vertAlign w:val="superscript"/>
          </w:rPr>
          <w:t>15</w:t>
        </w:r>
      </w:fldSimple>
      <w:r>
        <w:t xml:space="preserve">。</w:t>
      </w:r>
    </w:p>
    <w:p>
      <w:pPr>
        <w:pStyle w:val="BodyText"/>
      </w:pPr>
      <w:r>
        <w:t xml:space="preserve">供给端有两个尚未释放完毕的事件。其一，控股股东东方恒信 4 月以询价方式转让 442 万股（占总股本 1%），定价 100.00 元/股，由申万宏源证券（199 万股）、泽丰瑞熙私募（81 万股）、财通基金（74 万股）等 6 家机构受让，锁定至 2026-10-13 解禁</w:t>
      </w:r>
      <w:r>
        <w:rPr>
          <w:vertAlign w:val="superscript"/>
        </w:rPr>
        <w:footnoteReference w:id="116"/>
      </w:r>
      <w:r>
        <w:t xml:space="preserve"> </w:t>
      </w:r>
      <w:fldSimple w:instr="NOTEREF _Ref_Footnote_14 \h \f">
        <w:r>
          <w:rPr>
            <w:vertAlign w:val="superscript"/>
          </w:rPr>
          <w:t>14</w:t>
        </w:r>
      </w:fldSimple>
      <w:r>
        <w:t xml:space="preserve">；以 7/16 收盘计受让机构浮盈约 36.5%，若届时股价仍显著高于其成本则存在兑现动力——10 月中旬是确定的供给释放窗口</w:t>
      </w:r>
      <w:fldSimple w:instr="NOTEREF _Ref_Footnote_116 \h \f">
        <w:r>
          <w:rPr>
            <w:vertAlign w:val="superscript"/>
          </w:rPr>
          <w:t>116</w:t>
        </w:r>
      </w:fldSimple>
      <w:r>
        <w:t xml:space="preserve">。其二，国家集成电路产业投资基金二期（大基金二期）2024Q4 新进持有 329.7 万股（0.745%）</w:t>
      </w:r>
      <w:r>
        <w:rPr>
          <w:vertAlign w:val="superscript"/>
        </w:rPr>
        <w:footnoteReference w:id="117"/>
      </w:r>
      <w:r>
        <w:t xml:space="preserve">，而 2026-03-31 十大流通股东榜单（第十名门槛 0.45%）中已无其身影，iFinD 最新机构名单亦无</w:t>
      </w:r>
      <w:fldSimple w:instr="NOTEREF _Ref_Footnote_15 \h \f">
        <w:r>
          <w:rPr>
            <w:vertAlign w:val="superscript"/>
          </w:rPr>
          <w:t>15</w:t>
        </w:r>
      </w:fldSimple>
      <w:r>
        <w:t xml:space="preserve">，推断其已于 2025 年大涨期间减持至门槛以下或退出（负面证据推断，置信度中等）——产业资本的退出方向与控股股东减持一致。</w:t>
      </w:r>
    </w:p>
    <w:bookmarkEnd w:id="85"/>
    <w:bookmarkStart w:id="86" w:name="etf基金持仓变化近-1-月无新增减持公告"/>
    <w:p>
      <w:pPr>
        <w:pStyle w:val="Heading4"/>
      </w:pPr>
      <w:r>
        <w:t xml:space="preserve">6.2.2 ETF/基金持仓变化；近 1 月无新增减持公告</w:t>
      </w:r>
    </w:p>
    <w:p>
      <w:pPr>
        <w:pStyle w:val="FirstParagraph"/>
      </w:pPr>
      <w:r>
        <w:t xml:space="preserve">机构持仓以被动指数资金为主，主动定价的”压舱石”缺位。按 2026 年基金一季报，重仓东芯的公募基金共 36 家</w:t>
      </w:r>
      <w:fldSimple w:instr="NOTEREF _Ref_Footnote_8 \h \f">
        <w:r>
          <w:rPr>
            <w:vertAlign w:val="superscript"/>
          </w:rPr>
          <w:t>8</w:t>
        </w:r>
      </w:fldSimple>
      <w:r>
        <w:t xml:space="preserve">；但 iFinD 汇总显示，47 家机构合计持股 41.32% 中，一般法人占 35.92%，基金仅占 3.34%（约 1475.9 万股），且前十大持仓基金清一色为指数 ETF</w:t>
      </w:r>
      <w:fldSimple w:instr="NOTEREF _Ref_Footnote_115 \h \f">
        <w:r>
          <w:rPr>
            <w:vertAlign w:val="superscript"/>
          </w:rPr>
          <w:t>115</w:t>
        </w:r>
      </w:fldSimple>
      <w:r>
        <w:t xml:space="preserve">。2026Q1 嘉实上证科创板芯片 ETF 持 649.78 万股列第三大流通股东、当季减持 53.97 万股，科创 100ETF（588220）新进第十（198.22 万股），南方中证 1000ETF 退出前十</w:t>
      </w:r>
      <w:fldSimple w:instr="NOTEREF _Ref_Footnote_9 \h \f">
        <w:r>
          <w:rPr>
            <w:vertAlign w:val="superscript"/>
          </w:rPr>
          <w:t>9</w:t>
        </w:r>
      </w:fldSimple>
      <w:r>
        <w:t xml:space="preserve">。ETF 持仓随指数申赎被动增减，难以在下跌中形成稳定承接——这解释了本轮回调为何缺乏机构买盘缓冲。</w:t>
      </w:r>
    </w:p>
    <w:p>
      <w:pPr>
        <w:pStyle w:val="BodyText"/>
      </w:pPr>
      <w:r>
        <w:t xml:space="preserve">减持公告维度短期偏暖：2026-04-01 至 07-16 全部 117 条公告核查显示，期间无新增减持计划或进展公告</w:t>
      </w:r>
      <w:r>
        <w:rPr>
          <w:vertAlign w:val="superscript"/>
        </w:rPr>
        <w:footnoteReference w:id="118"/>
      </w:r>
      <w:r>
        <w:t xml:space="preserve">。但 5/22 董事会已审议通过发行 H 股并在香港联交所主板上市议案，细节未定，构成中期潜在摊薄</w:t>
      </w:r>
      <w:r>
        <w:rPr>
          <w:vertAlign w:val="superscript"/>
        </w:rPr>
        <w:footnoteReference w:id="119"/>
      </w:r>
      <w:r>
        <w:t xml:space="preserve">。</w:t>
      </w:r>
    </w:p>
    <w:bookmarkEnd w:id="86"/>
    <w:bookmarkEnd w:id="87"/>
    <w:bookmarkStart w:id="93" w:name="技术位置"/>
    <w:p>
      <w:pPr>
        <w:pStyle w:val="Heading3"/>
      </w:pPr>
      <w:r>
        <w:t xml:space="preserve">6.3 技术位置</w:t>
      </w:r>
    </w:p>
    <w:bookmarkStart w:id="91" w:name="Xd2f458f2422299dbc461e176ddd81a5f16d8c04"/>
    <w:p>
      <w:pPr>
        <w:pStyle w:val="Heading4"/>
      </w:pPr>
      <w:r>
        <w:t xml:space="preserve">6.3.1 关键价位地图：历史高点 209.55（7/1 盘中）→ 回撤 -34.9%；6 月平台 122-135；MA120 约 138.7；4/2 低点 104.01；控股股东受让价 100 元</w:t>
      </w:r>
    </w:p>
    <w:p>
      <w:pPr>
        <w:pStyle w:val="FirstParagraph"/>
      </w:pPr>
      <w:r>
        <w:t xml:space="preserve">先确立价格坐标。7/1 盘中创上市以来新高 209.55 元（经 2021 年上市至今全部月线复核），6/30 最高收盘 203.70 元；至 7/16 收盘 136.50 元，自盘中高点回撤 -34.9%，7 月上半月跌幅 -29.4%</w:t>
      </w:r>
      <w:fldSimple w:instr="NOTEREF _Ref_Footnote_3 \h \f">
        <w:r>
          <w:rPr>
            <w:vertAlign w:val="superscript"/>
          </w:rPr>
          <w:t>3</w:t>
        </w:r>
      </w:fldSimple>
      <w:r>
        <w:t xml:space="preserve">。年内另一极端坐标是 4/2 盘中低点 104.01 元，为近 6 个月最低</w:t>
      </w:r>
      <w:fldSimple w:instr="NOTEREF _Ref_Footnote_3 \h \f">
        <w:r>
          <w:rPr>
            <w:vertAlign w:val="superscript"/>
          </w:rPr>
          <w:t>3</w:t>
        </w:r>
      </w:fldSimple>
      <w:r>
        <w:t xml:space="preserve">。</w:t>
      </w:r>
    </w:p>
    <w:p>
      <w:pPr>
        <w:pStyle w:val="BodyText"/>
      </w:pPr>
      <w:r>
        <w:t xml:space="preserve">均线与量能显示趋势已转空但尚未恐慌。截至 7/16，MA5/MA10/MA20/MA30/MA60/MA120 分别为 151.6、162.6、170.5、157.4、150.4、138.7 元，收盘价已跌破全部常用均线，且恰在半年线 MA120（138.7 元）下方</w:t>
      </w:r>
      <w:fldSimple w:instr="NOTEREF _Ref_Footnote_3 \h \f">
        <w:r>
          <w:rPr>
            <w:vertAlign w:val="superscript"/>
          </w:rPr>
          <w:t>3</w:t>
        </w:r>
      </w:fldSimple>
      <w:r>
        <w:t xml:space="preserve">。量能上，7 月日均成交 2132 万股较 6 月 2545 万股萎缩，属缩量回调；但 7/16 单日 1882 万股未见恐慌放大</w:t>
      </w:r>
      <w:fldSimple w:instr="NOTEREF _Ref_Footnote_3 \h \f">
        <w:r>
          <w:rPr>
            <w:vertAlign w:val="superscript"/>
          </w:rPr>
          <w:t>3</w:t>
        </w:r>
      </w:fldSimple>
      <w:r>
        <w:t xml:space="preserve">——既无恐慌出清的爆量，也无衰竭后的地量，是”下跌中继”而非”底部确认”的量能形态。</w:t>
      </w:r>
    </w:p>
    <w:p>
      <w:pPr>
        <w:pStyle w:val="BodyText"/>
      </w:pPr>
      <w:r>
        <w:t xml:space="preserve">对 138 元附近的持仓成本而言，这一位置的含义是双面的：现价浮亏约 1.1%，恰处 MA120 与 6 月平台上沿的技术敏感位——若该区域企稳，成本线附近即出现反弹减亏窗口；若放量失守，则持仓将面对向 125 元乃至更深位置的浮亏扩张。</w:t>
      </w:r>
    </w:p>
    <w:p>
      <w:pPr>
        <w:pStyle w:val="BodyText"/>
      </w:pPr>
      <w:r>
        <w:rPr>
          <w:bCs/>
          <w:b/>
        </w:rPr>
        <w:t xml:space="preserve">图 6-1 东芯股份股价与关键价位（2026-01-15 至 2026-07-16）</w:t>
      </w:r>
    </w:p>
    <w:p>
      <w:pPr>
        <w:pStyle w:val="CaptionedFigure"/>
      </w:pPr>
      <w:r>
        <w:drawing>
          <wp:inline>
            <wp:extent cx="5334000" cy="3562986"/>
            <wp:effectExtent b="0" l="0" r="0" t="0"/>
            <wp:docPr descr="东芯股份股价与关键价位" title="" id="89" name="Picture"/>
            <a:graphic>
              <a:graphicData uri="http://schemas.openxmlformats.org/drawingml/2006/picture">
                <pic:pic>
                  <pic:nvPicPr>
                    <pic:cNvPr descr="dongxin_sec06_price.png" id="90" name="Picture"/>
                    <pic:cNvPicPr>
                      <a:picLocks noChangeArrowheads="1" noChangeAspect="1"/>
                    </pic:cNvPicPr>
                  </pic:nvPicPr>
                  <pic:blipFill>
                    <a:blip r:embed="rId88"/>
                    <a:stretch>
                      <a:fillRect/>
                    </a:stretch>
                  </pic:blipFill>
                  <pic:spPr bwMode="auto">
                    <a:xfrm>
                      <a:off x="0" y="0"/>
                      <a:ext cx="5334000" cy="3562986"/>
                    </a:xfrm>
                    <a:prstGeom prst="rect">
                      <a:avLst/>
                    </a:prstGeom>
                    <a:noFill/>
                    <a:ln w="9525">
                      <a:noFill/>
                      <a:headEnd/>
                      <a:tailEnd/>
                    </a:ln>
                  </pic:spPr>
                </pic:pic>
              </a:graphicData>
            </a:graphic>
          </wp:inline>
        </w:drawing>
      </w:r>
    </w:p>
    <w:p>
      <w:pPr>
        <w:pStyle w:val="ImageCaption"/>
      </w:pPr>
      <w:r>
        <w:t xml:space="preserve">东芯股份股价与关键价位</w:t>
      </w:r>
    </w:p>
    <w:bookmarkEnd w:id="91"/>
    <w:bookmarkStart w:id="92" w:name="Xa2a682745a8c4992736b2e68805dbd17925f0cd"/>
    <w:p>
      <w:pPr>
        <w:pStyle w:val="Heading4"/>
      </w:pPr>
      <w:r>
        <w:t xml:space="preserve">6.3.2 当前位置判定：跌破全部均线、位于 6 月平台上沿——技术上未企稳，需等待缩量/资金回流信号（表格：关键价位与含义）</w:t>
      </w:r>
    </w:p>
    <w:p>
      <w:pPr>
        <w:pStyle w:val="FirstParagraph"/>
      </w:pPr>
      <w:r>
        <w:t xml:space="preserve">综合均线、量能与资金结构，当前技术位置判定为</w:t>
      </w:r>
      <w:r>
        <w:rPr>
          <w:bCs/>
          <w:b/>
        </w:rPr>
        <w:t xml:space="preserve">“</w:t>
      </w:r>
      <w:r>
        <w:rPr>
          <w:bCs/>
          <w:b/>
        </w:rPr>
        <w:t xml:space="preserve">未企稳</w:t>
      </w:r>
      <w:r>
        <w:rPr>
          <w:bCs/>
          <w:b/>
        </w:rPr>
        <w:t xml:space="preserve">”</w:t>
      </w:r>
      <w:r>
        <w:t xml:space="preserve">：股价跌破全部常用均线后，正落在 6 月上旬平台（122–135 元）的上沿，这里是”下跌后的第一个潜在支撑区”，而非”已确认的底部”。</w:t>
      </w:r>
    </w:p>
    <w:p>
      <w:pPr>
        <w:pStyle w:val="BodyText"/>
      </w:pPr>
      <w:r>
        <w:rPr>
          <w:bCs/>
          <w:b/>
        </w:rPr>
        <w:t xml:space="preserve">表 6-2 关键价位地图：价位、性质与含义</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价位（元）</w:t>
            </w:r>
          </w:p>
        </w:tc>
        <w:tc>
          <w:tcPr/>
          <w:p>
            <w:pPr>
              <w:pStyle w:val="Compact"/>
              <w:jc w:val="left"/>
            </w:pPr>
            <w:r>
              <w:t xml:space="preserve">性质</w:t>
            </w:r>
          </w:p>
        </w:tc>
        <w:tc>
          <w:tcPr/>
          <w:p>
            <w:pPr>
              <w:pStyle w:val="Compact"/>
              <w:jc w:val="left"/>
            </w:pPr>
            <w:r>
              <w:t xml:space="preserve">含义</w:t>
            </w:r>
          </w:p>
        </w:tc>
      </w:tr>
      <w:tr>
        <w:tc>
          <w:tcPr/>
          <w:p>
            <w:pPr>
              <w:pStyle w:val="Compact"/>
              <w:jc w:val="left"/>
            </w:pPr>
            <w:r>
              <w:t xml:space="preserve">209.55</w:t>
            </w:r>
          </w:p>
        </w:tc>
        <w:tc>
          <w:tcPr/>
          <w:p>
            <w:pPr>
              <w:pStyle w:val="Compact"/>
              <w:jc w:val="left"/>
            </w:pPr>
            <w:r>
              <w:t xml:space="preserve">历史最高价（2026-07-01 盘中）</w:t>
            </w:r>
            <w:r>
              <w:t xml:space="preserve"> </w:t>
            </w:r>
            <w:fldSimple w:instr="NOTEREF _Ref_Footnote_3 \h \f">
              <w:r>
                <w:rPr>
                  <w:vertAlign w:val="superscript"/>
                </w:rPr>
                <w:t>3</w:t>
              </w:r>
            </w:fldSimple>
          </w:p>
        </w:tc>
        <w:tc>
          <w:tcPr/>
          <w:p>
            <w:pPr>
              <w:pStyle w:val="Compact"/>
              <w:jc w:val="left"/>
            </w:pPr>
            <w:r>
              <w:t xml:space="preserve">顶部与回撤基准，反弹长期压力</w:t>
            </w:r>
          </w:p>
        </w:tc>
      </w:tr>
      <w:tr>
        <w:tc>
          <w:tcPr/>
          <w:p>
            <w:pPr>
              <w:pStyle w:val="Compact"/>
              <w:jc w:val="left"/>
            </w:pPr>
            <w:r>
              <w:t xml:space="preserve">147–156</w:t>
            </w:r>
          </w:p>
        </w:tc>
        <w:tc>
          <w:tcPr/>
          <w:p>
            <w:pPr>
              <w:pStyle w:val="Compact"/>
              <w:jc w:val="left"/>
            </w:pPr>
            <w:r>
              <w:t xml:space="preserve">7 月中旬平台＋跳空区</w:t>
            </w:r>
          </w:p>
        </w:tc>
        <w:tc>
          <w:tcPr/>
          <w:p>
            <w:pPr>
              <w:pStyle w:val="Compact"/>
              <w:jc w:val="left"/>
            </w:pPr>
            <w:r>
              <w:t xml:space="preserve">反弹第一压力带</w:t>
            </w:r>
          </w:p>
        </w:tc>
      </w:tr>
      <w:tr>
        <w:tc>
          <w:tcPr/>
          <w:p>
            <w:pPr>
              <w:pStyle w:val="Compact"/>
              <w:jc w:val="left"/>
            </w:pPr>
            <w:r>
              <w:t xml:space="preserve">138.7</w:t>
            </w:r>
          </w:p>
        </w:tc>
        <w:tc>
          <w:tcPr/>
          <w:p>
            <w:pPr>
              <w:pStyle w:val="Compact"/>
              <w:jc w:val="left"/>
            </w:pPr>
            <w:r>
              <w:t xml:space="preserve">MA120（半年线）</w:t>
            </w:r>
            <w:r>
              <w:t xml:space="preserve"> </w:t>
            </w:r>
            <w:fldSimple w:instr="NOTEREF _Ref_Footnote_3 \h \f">
              <w:r>
                <w:rPr>
                  <w:vertAlign w:val="superscript"/>
                </w:rPr>
                <w:t>3</w:t>
              </w:r>
            </w:fldSimple>
          </w:p>
        </w:tc>
        <w:tc>
          <w:tcPr/>
          <w:p>
            <w:pPr>
              <w:pStyle w:val="Compact"/>
              <w:jc w:val="left"/>
            </w:pPr>
            <w:r>
              <w:t xml:space="preserve">趋势分界参考；138 元成本仓位的敏感位</w:t>
            </w:r>
          </w:p>
        </w:tc>
      </w:tr>
      <w:tr>
        <w:tc>
          <w:tcPr/>
          <w:p>
            <w:pPr>
              <w:pStyle w:val="Compact"/>
              <w:jc w:val="left"/>
            </w:pPr>
            <w:r>
              <w:t xml:space="preserve">135.10</w:t>
            </w:r>
          </w:p>
        </w:tc>
        <w:tc>
          <w:tcPr/>
          <w:p>
            <w:pPr>
              <w:pStyle w:val="Compact"/>
              <w:jc w:val="left"/>
            </w:pPr>
            <w:r>
              <w:t xml:space="preserve">7/16 盘中低点</w:t>
            </w:r>
            <w:r>
              <w:t xml:space="preserve"> </w:t>
            </w:r>
            <w:fldSimple w:instr="NOTEREF _Ref_Footnote_3 \h \f">
              <w:r>
                <w:rPr>
                  <w:vertAlign w:val="superscript"/>
                </w:rPr>
                <w:t>3</w:t>
              </w:r>
            </w:fldSimple>
          </w:p>
        </w:tc>
        <w:tc>
          <w:tcPr/>
          <w:p>
            <w:pPr>
              <w:pStyle w:val="Compact"/>
              <w:jc w:val="left"/>
            </w:pPr>
            <w:r>
              <w:t xml:space="preserve">最近支撑，失守则看 125 一线</w:t>
            </w:r>
          </w:p>
        </w:tc>
      </w:tr>
      <w:tr>
        <w:tc>
          <w:tcPr/>
          <w:p>
            <w:pPr>
              <w:pStyle w:val="Compact"/>
              <w:jc w:val="left"/>
            </w:pPr>
            <w:r>
              <w:t xml:space="preserve">122–135</w:t>
            </w:r>
          </w:p>
        </w:tc>
        <w:tc>
          <w:tcPr/>
          <w:p>
            <w:pPr>
              <w:pStyle w:val="Compact"/>
              <w:jc w:val="left"/>
            </w:pPr>
            <w:r>
              <w:t xml:space="preserve">6 月上旬平台</w:t>
            </w:r>
            <w:r>
              <w:t xml:space="preserve"> </w:t>
            </w:r>
            <w:fldSimple w:instr="NOTEREF _Ref_Footnote_3 \h \f">
              <w:r>
                <w:rPr>
                  <w:vertAlign w:val="superscript"/>
                </w:rPr>
                <w:t>3</w:t>
              </w:r>
            </w:fldSimple>
          </w:p>
        </w:tc>
        <w:tc>
          <w:tcPr/>
          <w:p>
            <w:pPr>
              <w:pStyle w:val="Compact"/>
              <w:jc w:val="left"/>
            </w:pPr>
            <w:r>
              <w:t xml:space="preserve">主升浪启动区，多空分水岭</w:t>
            </w:r>
          </w:p>
        </w:tc>
      </w:tr>
      <w:tr>
        <w:tc>
          <w:tcPr/>
          <w:p>
            <w:pPr>
              <w:pStyle w:val="Compact"/>
              <w:jc w:val="left"/>
            </w:pPr>
            <w:r>
              <w:t xml:space="preserve">116.74</w:t>
            </w:r>
          </w:p>
        </w:tc>
        <w:tc>
          <w:tcPr/>
          <w:p>
            <w:pPr>
              <w:pStyle w:val="Compact"/>
              <w:jc w:val="left"/>
            </w:pPr>
            <w:r>
              <w:t xml:space="preserve">6/8 低点</w:t>
            </w:r>
            <w:r>
              <w:t xml:space="preserve"> </w:t>
            </w:r>
            <w:fldSimple w:instr="NOTEREF _Ref_Footnote_3 \h \f">
              <w:r>
                <w:rPr>
                  <w:vertAlign w:val="superscript"/>
                </w:rPr>
                <w:t>3</w:t>
              </w:r>
            </w:fldSimple>
          </w:p>
        </w:tc>
        <w:tc>
          <w:tcPr/>
          <w:p>
            <w:pPr>
              <w:pStyle w:val="Compact"/>
              <w:jc w:val="left"/>
            </w:pPr>
            <w:r>
              <w:t xml:space="preserve">平台下沿失守后的次级支撑</w:t>
            </w:r>
          </w:p>
        </w:tc>
      </w:tr>
      <w:tr>
        <w:tc>
          <w:tcPr/>
          <w:p>
            <w:pPr>
              <w:pStyle w:val="Compact"/>
              <w:jc w:val="left"/>
            </w:pPr>
            <w:r>
              <w:t xml:space="preserve">104.01</w:t>
            </w:r>
          </w:p>
        </w:tc>
        <w:tc>
          <w:tcPr/>
          <w:p>
            <w:pPr>
              <w:pStyle w:val="Compact"/>
              <w:jc w:val="left"/>
            </w:pPr>
            <w:r>
              <w:t xml:space="preserve">4/2 盘中低点（近 6 个月最低）</w:t>
            </w:r>
            <w:r>
              <w:t xml:space="preserve"> </w:t>
            </w:r>
            <w:fldSimple w:instr="NOTEREF _Ref_Footnote_3 \h \f">
              <w:r>
                <w:rPr>
                  <w:vertAlign w:val="superscript"/>
                </w:rPr>
                <w:t>3</w:t>
              </w:r>
            </w:fldSimple>
          </w:p>
        </w:tc>
        <w:tc>
          <w:tcPr/>
          <w:p>
            <w:pPr>
              <w:pStyle w:val="Compact"/>
              <w:jc w:val="left"/>
            </w:pPr>
            <w:r>
              <w:t xml:space="preserve">年内极端回撤目标位</w:t>
            </w:r>
          </w:p>
        </w:tc>
      </w:tr>
      <w:tr>
        <w:tc>
          <w:tcPr/>
          <w:p>
            <w:pPr>
              <w:pStyle w:val="Compact"/>
              <w:jc w:val="left"/>
            </w:pPr>
            <w:r>
              <w:t xml:space="preserve">100.00</w:t>
            </w:r>
          </w:p>
        </w:tc>
        <w:tc>
          <w:tcPr/>
          <w:p>
            <w:pPr>
              <w:pStyle w:val="Compact"/>
              <w:jc w:val="left"/>
            </w:pPr>
            <w:r>
              <w:t xml:space="preserve">控股股东询价受让价</w:t>
            </w:r>
            <w:r>
              <w:t xml:space="preserve"> </w:t>
            </w:r>
            <w:fldSimple w:instr="NOTEREF _Ref_Footnote_116 \h \f">
              <w:r>
                <w:rPr>
                  <w:vertAlign w:val="superscript"/>
                </w:rPr>
                <w:t>116</w:t>
              </w:r>
            </w:fldSimple>
            <w:r>
              <w:t xml:space="preserve"> </w:t>
            </w:r>
            <w:fldSimple w:instr="NOTEREF _Ref_Footnote_14 \h \f">
              <w:r>
                <w:rPr>
                  <w:vertAlign w:val="superscript"/>
                </w:rPr>
                <w:t>14</w:t>
              </w:r>
            </w:fldSimple>
          </w:p>
        </w:tc>
        <w:tc>
          <w:tcPr/>
          <w:p>
            <w:pPr>
              <w:pStyle w:val="Compact"/>
              <w:jc w:val="left"/>
            </w:pPr>
            <w:r>
              <w:t xml:space="preserve">产业资本定价锚；10/13 解禁股成本线</w:t>
            </w:r>
          </w:p>
        </w:tc>
      </w:tr>
    </w:tbl>
    <w:p>
      <w:pPr>
        <w:pStyle w:val="BodyText"/>
      </w:pPr>
      <w:r>
        <w:t xml:space="preserve">从上表可见，135–139 元是多重技术意义的交汇区：6 月平台上沿、MA120、7/16 低点与存量持仓成本密集区叠加，短期多空争夺将围绕该区域展开；下方 122–135 元平台是本轮主升浪的真实启动区，若回踩缩量企稳则具备中期支撑有效性。100–104 元一线兼具”4 月低点＋控股股东受让价”双重锚定，产业资本在该价位的真实成交行为，使其成为极端情形下的估值底参考，而非短期必达目标。</w:t>
      </w:r>
    </w:p>
    <w:p>
      <w:pPr>
        <w:pStyle w:val="BodyText"/>
      </w:pPr>
      <w:r>
        <w:t xml:space="preserve">据此，</w:t>
      </w:r>
      <w:r>
        <w:t xml:space="preserve">“</w:t>
      </w:r>
      <w:r>
        <w:t xml:space="preserve">跌到位</w:t>
      </w:r>
      <w:r>
        <w:t xml:space="preserve">”</w:t>
      </w:r>
      <w:r>
        <w:t xml:space="preserve">应被定义为一组可观察信号而非某个具体价位：其一，</w:t>
      </w:r>
      <w:r>
        <w:rPr>
          <w:bCs/>
          <w:b/>
        </w:rPr>
        <w:t xml:space="preserve">量能信号</w:t>
      </w:r>
      <w:r>
        <w:t xml:space="preserve">——日成交萎缩至 1500 万股下方后地量企稳，或恐慌爆量后快速收复；其二，</w:t>
      </w:r>
      <w:r>
        <w:rPr>
          <w:bCs/>
          <w:b/>
        </w:rPr>
        <w:t xml:space="preserve">资金信号</w:t>
      </w:r>
      <w:r>
        <w:t xml:space="preserve">——主力资金单日转正并连续净流入、融资余额回落至 30 亿元下方（分位降至中性）；其三，</w:t>
      </w:r>
      <w:r>
        <w:rPr>
          <w:bCs/>
          <w:b/>
        </w:rPr>
        <w:t xml:space="preserve">价格信号</w:t>
      </w:r>
      <w:r>
        <w:t xml:space="preserve">——收复并站稳 MA120（138.7 元），或回踩 125 元一线缩量不破。反之，若放量跌破 122 元平台下沿，则下看 116.74 元（6/8 低点）乃至 104–108 元区间（4 月低点）。</w:t>
      </w:r>
    </w:p>
    <w:p>
      <w:pPr>
        <w:pStyle w:val="BodyText"/>
      </w:pPr>
      <w:r>
        <w:t xml:space="preserve">本章结论与第 5 章估值结论方向一致：抄底的安全边际不来自价位本身，而来自筹码出清与资金回流的确认。对持有 138 元成本仓位的投资者，当前浮亏有限，无需恐慌离场，也缺乏一次性补仓摊低成本的依据；合理的动作是把 135/125/122 元转化为分批操作的触发器，等待三类信号逐一验证，并结合第 7 章催化剂日历（8/22 半年报、10/13 解禁窗口）安排节奏，具体方案见第 8 章。</w:t>
      </w:r>
    </w:p>
    <w:bookmarkEnd w:id="92"/>
    <w:bookmarkEnd w:id="93"/>
    <w:bookmarkEnd w:id="94"/>
    <w:bookmarkStart w:id="102" w:name="催化剂日历与风险清单"/>
    <w:p>
      <w:pPr>
        <w:pStyle w:val="Heading2"/>
      </w:pPr>
      <w:r>
        <w:t xml:space="preserve">7. 催化剂日历与风险清单</w:t>
      </w:r>
    </w:p>
    <w:p>
      <w:pPr>
        <w:pStyle w:val="FirstParagraph"/>
      </w:pPr>
      <w:r>
        <w:t xml:space="preserve">承接前六章的多空证据，本章将其压缩为两个操作维度：</w:t>
      </w:r>
      <w:r>
        <w:rPr>
          <w:bCs/>
          <w:b/>
        </w:rPr>
        <w:t xml:space="preserve">未来 6 个月哪些事件会改变股价（日历锚点）</w:t>
      </w:r>
      <w:r>
        <w:t xml:space="preserve">，以及</w:t>
      </w:r>
      <w:r>
        <w:rPr>
          <w:bCs/>
          <w:b/>
        </w:rPr>
        <w:t xml:space="preserve">可能亏钱的点在哪里、如何提前识别（风险矩阵与监控信号）</w:t>
      </w:r>
      <w:r>
        <w:t xml:space="preserve">。结论先行：未来半年东芯的事件密度在利基存储标的中最高，8/22 半年报与 10/13 解禁分别是基本面与供给端的决定性锚点；风险端真正需要以仓位应对的是三个”中概率×高冲击”项——一致预期下修、合约价涨幅收窄演化为见顶、低价库存红利耗尽后毛利率回落，而它们的共同触发器恰好都落在半年报与 Q4 合约价谈判两个时点上。本章的日历与触发器将直接构成第 8 章分批建仓与止损纪律的时间表。</w:t>
      </w:r>
    </w:p>
    <w:bookmarkStart w:id="96" w:name="催化剂日历"/>
    <w:p>
      <w:pPr>
        <w:pStyle w:val="Heading3"/>
      </w:pPr>
      <w:r>
        <w:t xml:space="preserve">7.1 催化剂日历</w:t>
      </w:r>
    </w:p>
    <w:bookmarkStart w:id="95" w:name="X26bd2470644b920b969e53fc3559a09188050d0"/>
    <w:p>
      <w:pPr>
        <w:pStyle w:val="Heading4"/>
      </w:pPr>
      <w:r>
        <w:t xml:space="preserve">7.1.1 时间轴：7/17 砺算零售开售 → 7 月下旬长鑫挂牌 → 8/22 半年报 → Q3 合约价谈判 → 10/13 解禁 → Q4 合约价谈判 → H 股发行推进（表格：日期/事件/多空属性/应对）</w:t>
      </w:r>
    </w:p>
    <w:p>
      <w:pPr>
        <w:pStyle w:val="FirstParagraph"/>
      </w:pPr>
      <w:r>
        <w:t xml:space="preserve">未来 6 个月（2026-07-17 至 2027-01-17）的事件可按确定性分为三档：日期已官宣的（砺算零售开售、半年报、解禁）、窗口可推断的（长鑫挂牌、Q3/Q4 合约价谈判、三季报）、进程不确定的（长江存储递表、H 股发行落地）。</w:t>
      </w:r>
    </w:p>
    <w:p>
      <w:pPr>
        <w:pStyle w:val="BodyText"/>
      </w:pPr>
      <w:r>
        <w:rPr>
          <w:bCs/>
          <w:b/>
        </w:rPr>
        <w:t xml:space="preserve">表 7-1 东芯股份未来 6 个月催化剂日历（2026-07-17 → 2027-01-17）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日期/窗口</w:t>
            </w:r>
          </w:p>
        </w:tc>
        <w:tc>
          <w:tcPr/>
          <w:p>
            <w:pPr>
              <w:pStyle w:val="Compact"/>
              <w:jc w:val="left"/>
            </w:pPr>
            <w:r>
              <w:t xml:space="preserve">事件</w:t>
            </w:r>
          </w:p>
        </w:tc>
        <w:tc>
          <w:tcPr/>
          <w:p>
            <w:pPr>
              <w:pStyle w:val="Compact"/>
              <w:jc w:val="left"/>
            </w:pPr>
            <w:r>
              <w:t xml:space="preserve">多空属性</w:t>
            </w:r>
          </w:p>
        </w:tc>
        <w:tc>
          <w:tcPr/>
          <w:p>
            <w:pPr>
              <w:pStyle w:val="Compact"/>
              <w:jc w:val="left"/>
            </w:pPr>
            <w:r>
              <w:t xml:space="preserve">应对动作</w:t>
            </w:r>
          </w:p>
        </w:tc>
      </w:tr>
      <w:tr>
        <w:tc>
          <w:tcPr/>
          <w:p>
            <w:pPr>
              <w:pStyle w:val="Compact"/>
              <w:jc w:val="left"/>
            </w:pPr>
            <w:r>
              <w:t xml:space="preserve">2026-07-17 20:00</w:t>
            </w:r>
          </w:p>
        </w:tc>
        <w:tc>
          <w:tcPr/>
          <w:p>
            <w:pPr>
              <w:pStyle w:val="Compact"/>
              <w:jc w:val="left"/>
            </w:pPr>
            <w:r>
              <w:t xml:space="preserve">砺算 LX 7G100 零售版京东开售（2688 元）</w:t>
            </w:r>
            <w:r>
              <w:t xml:space="preserve"> </w:t>
            </w:r>
            <w:fldSimple w:instr="NOTEREF _Ref_Footnote_13 \h \f">
              <w:r>
                <w:rPr>
                  <w:vertAlign w:val="superscript"/>
                </w:rPr>
                <w:t>13</w:t>
              </w:r>
            </w:fldSimple>
          </w:p>
        </w:tc>
        <w:tc>
          <w:tcPr/>
          <w:p>
            <w:pPr>
              <w:pStyle w:val="Compact"/>
              <w:jc w:val="left"/>
            </w:pPr>
            <w:r>
              <w:t xml:space="preserve">偏多：首个市场化验证点</w:t>
            </w:r>
          </w:p>
        </w:tc>
        <w:tc>
          <w:tcPr/>
          <w:p>
            <w:pPr>
              <w:pStyle w:val="Compact"/>
              <w:jc w:val="left"/>
            </w:pPr>
            <w:r>
              <w:t xml:space="preserve">跟踪首销销量与口碑；放量超预期构成右侧信号，滞销则 GPU 期权折价</w:t>
            </w:r>
          </w:p>
        </w:tc>
      </w:tr>
      <w:tr>
        <w:tc>
          <w:tcPr/>
          <w:p>
            <w:pPr>
              <w:pStyle w:val="Compact"/>
              <w:jc w:val="left"/>
            </w:pPr>
            <w:r>
              <w:t xml:space="preserve">2026-07 月下旬（预计）</w:t>
            </w:r>
          </w:p>
        </w:tc>
        <w:tc>
          <w:tcPr/>
          <w:p>
            <w:pPr>
              <w:pStyle w:val="Compact"/>
              <w:jc w:val="left"/>
            </w:pPr>
            <w:r>
              <w:t xml:space="preserve">长鑫科技挂牌（发行 PE 278.03 倍、募资约 579 亿元，7/16 申购、7/20 缴款截止）</w:t>
            </w:r>
            <w:r>
              <w:t xml:space="preserve"> </w:t>
            </w:r>
            <w:fldSimple w:instr="NOTEREF _Ref_Footnote_99 \h \f">
              <w:r>
                <w:rPr>
                  <w:vertAlign w:val="superscript"/>
                </w:rPr>
                <w:t>99</w:t>
              </w:r>
            </w:fldSimple>
          </w:p>
        </w:tc>
        <w:tc>
          <w:tcPr/>
          <w:p>
            <w:pPr>
              <w:pStyle w:val="Compact"/>
              <w:jc w:val="left"/>
            </w:pPr>
            <w:r>
              <w:t xml:space="preserve">双向：板块情绪催化 vs 资金分流</w:t>
            </w:r>
          </w:p>
        </w:tc>
        <w:tc>
          <w:tcPr/>
          <w:p>
            <w:pPr>
              <w:pStyle w:val="Compact"/>
              <w:jc w:val="left"/>
            </w:pPr>
            <w:r>
              <w:t xml:space="preserve">按交易变量处理，首日脉冲不追高；其主流 DRAM 定位与东芯利基产品重叠度低</w:t>
            </w:r>
          </w:p>
        </w:tc>
      </w:tr>
      <w:tr>
        <w:tc>
          <w:tcPr/>
          <w:p>
            <w:pPr>
              <w:pStyle w:val="Compact"/>
              <w:jc w:val="left"/>
            </w:pPr>
            <w:r>
              <w:t xml:space="preserve">2026-08（窗口）</w:t>
            </w:r>
          </w:p>
        </w:tc>
        <w:tc>
          <w:tcPr/>
          <w:p>
            <w:pPr>
              <w:pStyle w:val="Compact"/>
              <w:jc w:val="left"/>
            </w:pPr>
            <w:r>
              <w:t xml:space="preserve">长江存储科创板 IPO 递表（截至 7/16 未见受理公告）</w:t>
            </w:r>
            <w:r>
              <w:t xml:space="preserve"> </w:t>
            </w:r>
            <w:r>
              <w:rPr>
                <w:vertAlign w:val="superscript"/>
              </w:rPr>
              <w:footnoteReference w:id="120"/>
            </w:r>
          </w:p>
        </w:tc>
        <w:tc>
          <w:tcPr/>
          <w:p>
            <w:pPr>
              <w:pStyle w:val="Compact"/>
              <w:jc w:val="left"/>
            </w:pPr>
            <w:r>
              <w:t xml:space="preserve">偏多：国产存储产业链情绪</w:t>
            </w:r>
          </w:p>
        </w:tc>
        <w:tc>
          <w:tcPr/>
          <w:p>
            <w:pPr>
              <w:pStyle w:val="Compact"/>
              <w:jc w:val="left"/>
            </w:pPr>
            <w:r>
              <w:t xml:space="preserve">时点不确定，仅作板块情绪观察项</w:t>
            </w:r>
          </w:p>
        </w:tc>
      </w:tr>
      <w:tr>
        <w:tc>
          <w:tcPr/>
          <w:p>
            <w:pPr>
              <w:pStyle w:val="Compact"/>
              <w:jc w:val="left"/>
            </w:pPr>
            <w:r>
              <w:t xml:space="preserve">2026-08-22</w:t>
            </w:r>
          </w:p>
        </w:tc>
        <w:tc>
          <w:tcPr/>
          <w:p>
            <w:pPr>
              <w:pStyle w:val="Compact"/>
              <w:jc w:val="left"/>
            </w:pPr>
            <w:r>
              <w:rPr>
                <w:bCs/>
                <w:b/>
              </w:rPr>
              <w:t xml:space="preserve">2026 年半年报预约披露</w:t>
            </w:r>
            <w:r>
              <w:t xml:space="preserve">；截至 7/17 未披露业绩预告（科创板非强制）</w:t>
            </w:r>
            <w:r>
              <w:t xml:space="preserve"> </w:t>
            </w:r>
            <w:r>
              <w:rPr>
                <w:vertAlign w:val="superscript"/>
              </w:rPr>
              <w:footnoteReference w:id="121"/>
            </w:r>
          </w:p>
        </w:tc>
        <w:tc>
          <w:tcPr/>
          <w:p>
            <w:pPr>
              <w:pStyle w:val="Compact"/>
              <w:jc w:val="left"/>
            </w:pPr>
            <w:r>
              <w:t xml:space="preserve">关键验证：方向取决于兑现度</w:t>
            </w:r>
          </w:p>
        </w:tc>
        <w:tc>
          <w:tcPr/>
          <w:p>
            <w:pPr>
              <w:pStyle w:val="Compact"/>
              <w:jc w:val="left"/>
            </w:pPr>
            <w:r>
              <w:t xml:space="preserve">披露前控制仓位；重点核对 H1 利润体量、毛利率、砺算亏损收窄幅度</w:t>
            </w:r>
          </w:p>
        </w:tc>
      </w:tr>
      <w:tr>
        <w:tc>
          <w:tcPr/>
          <w:p>
            <w:pPr>
              <w:pStyle w:val="Compact"/>
              <w:jc w:val="left"/>
            </w:pPr>
            <w:r>
              <w:t xml:space="preserve">2026-08 下旬~09</w:t>
            </w:r>
          </w:p>
        </w:tc>
        <w:tc>
          <w:tcPr/>
          <w:p>
            <w:pPr>
              <w:pStyle w:val="Compact"/>
              <w:jc w:val="left"/>
            </w:pPr>
            <w:r>
              <w:t xml:space="preserve">砺算零售首销数据、专业卡订单披露</w:t>
            </w:r>
          </w:p>
        </w:tc>
        <w:tc>
          <w:tcPr/>
          <w:p>
            <w:pPr>
              <w:pStyle w:val="Compact"/>
              <w:jc w:val="left"/>
            </w:pPr>
            <w:r>
              <w:t xml:space="preserve">偏多（若放量）</w:t>
            </w:r>
          </w:p>
        </w:tc>
        <w:tc>
          <w:tcPr/>
          <w:p>
            <w:pPr>
              <w:pStyle w:val="Compact"/>
              <w:jc w:val="left"/>
            </w:pPr>
            <w:r>
              <w:t xml:space="preserve">验证权益法亏损收窄路径，判断利润”出血点”何时止血</w:t>
            </w:r>
          </w:p>
        </w:tc>
      </w:tr>
      <w:tr>
        <w:tc>
          <w:tcPr/>
          <w:p>
            <w:pPr>
              <w:pStyle w:val="Compact"/>
              <w:jc w:val="left"/>
            </w:pPr>
            <w:r>
              <w:t xml:space="preserve">2026-09~10</w:t>
            </w:r>
          </w:p>
        </w:tc>
        <w:tc>
          <w:tcPr/>
          <w:p>
            <w:pPr>
              <w:pStyle w:val="Compact"/>
              <w:jc w:val="left"/>
            </w:pPr>
            <w:r>
              <w:t xml:space="preserve">Q4 存储合约价谈判开启；Q3 合约价落地（TrendForce 预计 Q3 DRAM 环比 +13~18%、NAND +10~15%，涨幅收窄）</w:t>
            </w:r>
            <w:r>
              <w:t xml:space="preserve"> </w:t>
            </w:r>
            <w:r>
              <w:rPr>
                <w:vertAlign w:val="superscript"/>
              </w:rPr>
              <w:footnoteReference w:id="122"/>
            </w:r>
          </w:p>
        </w:tc>
        <w:tc>
          <w:tcPr/>
          <w:p>
            <w:pPr>
              <w:pStyle w:val="Compact"/>
              <w:jc w:val="left"/>
            </w:pPr>
            <w:r>
              <w:t xml:space="preserve">多空分水岭</w:t>
            </w:r>
          </w:p>
        </w:tc>
        <w:tc>
          <w:tcPr/>
          <w:p>
            <w:pPr>
              <w:pStyle w:val="Compact"/>
              <w:jc w:val="left"/>
            </w:pPr>
            <w:r>
              <w:t xml:space="preserve">涨幅继续收窄→降低仓位应对；利基价格获支撑→持有逻辑延续</w:t>
            </w:r>
          </w:p>
        </w:tc>
      </w:tr>
      <w:tr>
        <w:tc>
          <w:tcPr/>
          <w:p>
            <w:pPr>
              <w:pStyle w:val="Compact"/>
              <w:jc w:val="left"/>
            </w:pPr>
            <w:r>
              <w:t xml:space="preserve">2026-10-13</w:t>
            </w:r>
          </w:p>
        </w:tc>
        <w:tc>
          <w:tcPr/>
          <w:p>
            <w:pPr>
              <w:pStyle w:val="Compact"/>
              <w:jc w:val="left"/>
            </w:pPr>
            <w:r>
              <w:t xml:space="preserve">442.25 万股询价受让股解禁（成本 100 元/股，按 7/16 收盘浮盈 36.5%）</w:t>
            </w:r>
            <w:r>
              <w:t xml:space="preserve"> </w:t>
            </w:r>
            <w:fldSimple w:instr="NOTEREF _Ref_Footnote_14 \h \f">
              <w:r>
                <w:rPr>
                  <w:vertAlign w:val="superscript"/>
                </w:rPr>
                <w:t>14</w:t>
              </w:r>
            </w:fldSimple>
          </w:p>
        </w:tc>
        <w:tc>
          <w:tcPr/>
          <w:p>
            <w:pPr>
              <w:pStyle w:val="Compact"/>
              <w:jc w:val="left"/>
            </w:pPr>
            <w:r>
              <w:t xml:space="preserve">偏空：供给释放</w:t>
            </w:r>
          </w:p>
        </w:tc>
        <w:tc>
          <w:tcPr/>
          <w:p>
            <w:pPr>
              <w:pStyle w:val="Compact"/>
              <w:jc w:val="left"/>
            </w:pPr>
            <w:r>
              <w:t xml:space="preserve">预设低吸窗口；跟踪解禁前后大宗交易与换手放大情况</w:t>
            </w:r>
          </w:p>
        </w:tc>
      </w:tr>
      <w:tr>
        <w:tc>
          <w:tcPr/>
          <w:p>
            <w:pPr>
              <w:pStyle w:val="Compact"/>
              <w:jc w:val="left"/>
            </w:pPr>
            <w:r>
              <w:t xml:space="preserve">2026-10 月下旬</w:t>
            </w:r>
          </w:p>
        </w:tc>
        <w:tc>
          <w:tcPr/>
          <w:p>
            <w:pPr>
              <w:pStyle w:val="Compact"/>
              <w:jc w:val="left"/>
            </w:pPr>
            <w:r>
              <w:t xml:space="preserve">2026 年三季报</w:t>
            </w:r>
          </w:p>
        </w:tc>
        <w:tc>
          <w:tcPr/>
          <w:p>
            <w:pPr>
              <w:pStyle w:val="Compact"/>
              <w:jc w:val="left"/>
            </w:pPr>
            <w:r>
              <w:t xml:space="preserve">验证</w:t>
            </w:r>
          </w:p>
        </w:tc>
        <w:tc>
          <w:tcPr/>
          <w:p>
            <w:pPr>
              <w:pStyle w:val="Compact"/>
              <w:jc w:val="left"/>
            </w:pPr>
            <w:r>
              <w:t xml:space="preserve">检验 iFinD 一致预期 2026E 归母净利 6.115 亿元的完成度</w:t>
            </w:r>
            <w:r>
              <w:t xml:space="preserve"> </w:t>
            </w:r>
            <w:r>
              <w:rPr>
                <w:vertAlign w:val="superscript"/>
              </w:rPr>
              <w:footnoteReference w:id="123"/>
            </w:r>
          </w:p>
        </w:tc>
      </w:tr>
      <w:tr>
        <w:tc>
          <w:tcPr/>
          <w:p>
            <w:pPr>
              <w:pStyle w:val="Compact"/>
              <w:jc w:val="left"/>
            </w:pPr>
            <w:r>
              <w:t xml:space="preserve">持续推进</w:t>
            </w:r>
          </w:p>
        </w:tc>
        <w:tc>
          <w:tcPr/>
          <w:p>
            <w:pPr>
              <w:pStyle w:val="Compact"/>
              <w:jc w:val="left"/>
            </w:pPr>
            <w:r>
              <w:t xml:space="preserve">H 股发行上市（6/8 股东会已通过，拟发行 ≤10% 总股本+15% 超配，待证监会备案与港交所聆讯）</w:t>
            </w:r>
            <w:r>
              <w:t xml:space="preserve"> </w:t>
            </w:r>
            <w:r>
              <w:rPr>
                <w:vertAlign w:val="superscript"/>
              </w:rPr>
              <w:footnoteReference w:id="124"/>
            </w:r>
          </w:p>
        </w:tc>
        <w:tc>
          <w:tcPr/>
          <w:p>
            <w:pPr>
              <w:pStyle w:val="Compact"/>
              <w:jc w:val="left"/>
            </w:pPr>
            <w:r>
              <w:t xml:space="preserve">偏空（摊薄）与偏多（融资补充研发/产能）并存</w:t>
            </w:r>
          </w:p>
        </w:tc>
        <w:tc>
          <w:tcPr/>
          <w:p>
            <w:pPr>
              <w:pStyle w:val="Compact"/>
              <w:jc w:val="left"/>
            </w:pPr>
            <w:r>
              <w:t xml:space="preserve">跟踪备案、聆讯与定价；发行方案公布时重估摊薄幅度</w:t>
            </w:r>
          </w:p>
        </w:tc>
      </w:tr>
    </w:tbl>
    <w:p>
      <w:pPr>
        <w:pStyle w:val="BodyText"/>
      </w:pPr>
      <w:r>
        <w:t xml:space="preserve">日历的结构含义有三。其一，</w:t>
      </w:r>
      <w:r>
        <w:rPr>
          <w:bCs/>
          <w:b/>
        </w:rPr>
        <w:t xml:space="preserve">8/22 半年报是基本面确认锚</w:t>
      </w:r>
      <w:r>
        <w:t xml:space="preserve">：iFinD 一致预期 2026E 归母净利 6.115 亿元，扣除 Q1 已兑现的 1.38 亿元，隐含 Q2~Q4 尚需合计约 4.7 亿元</w:t>
      </w:r>
      <w:fldSimple w:instr="NOTEREF _Ref_Footnote_123 \h \f">
        <w:r>
          <w:rPr>
            <w:vertAlign w:val="superscript"/>
          </w:rPr>
          <w:t>123</w:t>
        </w:r>
      </w:fldSimple>
      <w:r>
        <w:t xml:space="preserve">；半年报是检验该进度的第一道正式关口，而由于科创板半年报业绩预告非强制，</w:t>
      </w:r>
      <w:r>
        <w:t xml:space="preserve">“</w:t>
      </w:r>
      <w:r>
        <w:t xml:space="preserve">无预告</w:t>
      </w:r>
      <w:r>
        <w:t xml:space="preserve">”</w:t>
      </w:r>
      <w:r>
        <w:t xml:space="preserve">本身并不构成利空信号</w:t>
      </w:r>
      <w:fldSimple w:instr="NOTEREF _Ref_Footnote_121 \h \f">
        <w:r>
          <w:rPr>
            <w:vertAlign w:val="superscript"/>
          </w:rPr>
          <w:t>121</w:t>
        </w:r>
      </w:fldSimple>
      <w:r>
        <w:t xml:space="preserve">。其二，</w:t>
      </w:r>
      <w:r>
        <w:rPr>
          <w:bCs/>
          <w:b/>
        </w:rPr>
        <w:t xml:space="preserve">10 月是供给压力与基本面验证的叠加月</w:t>
      </w:r>
      <w:r>
        <w:t xml:space="preserve">——10/13 解禁、三季报、Q4 合约价谈判密集交汇，参照历次询价转让后的走势，供给事件落地前后易现情绪波动低点，波动率抬升反而可能提供更好的买点。其三，长鑫挂牌与长江存储递表属于板块情绪的”放大器”而非东芯的基本面变量：长鑫主做主流 DRAM、与东芯利基品类重叠度低，其 278 倍发行 PE 引发的估值讨论也不应直接映射到东芯</w:t>
      </w:r>
      <w:fldSimple w:instr="NOTEREF _Ref_Footnote_99 \h \f">
        <w:r>
          <w:rPr>
            <w:vertAlign w:val="superscript"/>
          </w:rPr>
          <w:t>99</w:t>
        </w:r>
      </w:fldSimple>
      <w:r>
        <w:t xml:space="preserve">。应对上，前两类事件用交易纪律处理，只有 8/22 与 Q4 谈判两类基本面事件才触发方向判断的修正。</w:t>
      </w:r>
    </w:p>
    <w:bookmarkEnd w:id="95"/>
    <w:bookmarkEnd w:id="96"/>
    <w:bookmarkStart w:id="101" w:name="风险清单"/>
    <w:p>
      <w:pPr>
        <w:pStyle w:val="Heading3"/>
      </w:pPr>
      <w:r>
        <w:t xml:space="preserve">7.2 风险清单</w:t>
      </w:r>
    </w:p>
    <w:p>
      <w:pPr>
        <w:pStyle w:val="FirstParagraph"/>
      </w:pPr>
      <w:r>
        <w:rPr>
          <w:bCs/>
          <w:b/>
        </w:rPr>
        <w:t xml:space="preserve">表 7-2 风险矩阵：类别、概率、冲击与监控信号</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风险类别</w:t>
            </w:r>
          </w:p>
        </w:tc>
        <w:tc>
          <w:tcPr/>
          <w:p>
            <w:pPr>
              <w:pStyle w:val="Compact"/>
              <w:jc w:val="left"/>
            </w:pPr>
            <w:r>
              <w:t xml:space="preserve">具体风险</w:t>
            </w:r>
          </w:p>
        </w:tc>
        <w:tc>
          <w:tcPr/>
          <w:p>
            <w:pPr>
              <w:pStyle w:val="Compact"/>
              <w:jc w:val="left"/>
            </w:pPr>
            <w:r>
              <w:t xml:space="preserve">发生概率</w:t>
            </w:r>
          </w:p>
        </w:tc>
        <w:tc>
          <w:tcPr/>
          <w:p>
            <w:pPr>
              <w:pStyle w:val="Compact"/>
              <w:jc w:val="left"/>
            </w:pPr>
            <w:r>
              <w:t xml:space="preserve">冲击程度</w:t>
            </w:r>
          </w:p>
        </w:tc>
        <w:tc>
          <w:tcPr/>
          <w:p>
            <w:pPr>
              <w:pStyle w:val="Compact"/>
              <w:jc w:val="left"/>
            </w:pPr>
            <w:r>
              <w:t xml:space="preserve">监控信号</w:t>
            </w:r>
          </w:p>
        </w:tc>
      </w:tr>
      <w:tr>
        <w:tc>
          <w:tcPr/>
          <w:p>
            <w:pPr>
              <w:pStyle w:val="Compact"/>
              <w:jc w:val="left"/>
            </w:pPr>
            <w:r>
              <w:t xml:space="preserve">估值</w:t>
            </w:r>
          </w:p>
        </w:tc>
        <w:tc>
          <w:tcPr/>
          <w:p>
            <w:pPr>
              <w:pStyle w:val="Compact"/>
              <w:jc w:val="left"/>
            </w:pPr>
            <w:r>
              <w:t xml:space="preserve">一致预期下修，约 99 倍 Forward PE 的定价锚失稳</w:t>
            </w:r>
            <w:r>
              <w:t xml:space="preserve"> </w:t>
            </w:r>
            <w:fldSimple w:instr="NOTEREF _Ref_Footnote_123 \h \f">
              <w:r>
                <w:rPr>
                  <w:vertAlign w:val="superscript"/>
                </w:rPr>
                <w:t>123</w:t>
              </w:r>
            </w:fldSimple>
          </w:p>
        </w:tc>
        <w:tc>
          <w:tcPr/>
          <w:p>
            <w:pPr>
              <w:pStyle w:val="Compact"/>
              <w:jc w:val="left"/>
            </w:pPr>
            <w:r>
              <w:t xml:space="preserve">中</w:t>
            </w:r>
          </w:p>
        </w:tc>
        <w:tc>
          <w:tcPr/>
          <w:p>
            <w:pPr>
              <w:pStyle w:val="Compact"/>
              <w:jc w:val="left"/>
            </w:pPr>
            <w:r>
              <w:t xml:space="preserve">高</w:t>
            </w:r>
          </w:p>
        </w:tc>
        <w:tc>
          <w:tcPr/>
          <w:p>
            <w:pPr>
              <w:pStyle w:val="Compact"/>
              <w:jc w:val="left"/>
            </w:pPr>
            <w:r>
              <w:t xml:space="preserve">券商盈利预测调整与评级变动；Q4 合约价是否走平</w:t>
            </w:r>
          </w:p>
        </w:tc>
      </w:tr>
      <w:tr>
        <w:tc>
          <w:tcPr/>
          <w:p>
            <w:pPr>
              <w:pStyle w:val="Compact"/>
              <w:jc w:val="left"/>
            </w:pPr>
            <w:r>
              <w:t xml:space="preserve">行业</w:t>
            </w:r>
          </w:p>
        </w:tc>
        <w:tc>
          <w:tcPr/>
          <w:p>
            <w:pPr>
              <w:pStyle w:val="Compact"/>
              <w:jc w:val="left"/>
            </w:pPr>
            <w:r>
              <w:t xml:space="preserve">Q3→Q4 合约价涨幅收窄演化为止涨乃至见顶</w:t>
            </w:r>
            <w:r>
              <w:t xml:space="preserve"> </w:t>
            </w:r>
            <w:fldSimple w:instr="NOTEREF _Ref_Footnote_122 \h \f">
              <w:r>
                <w:rPr>
                  <w:vertAlign w:val="superscript"/>
                </w:rPr>
                <w:t>122</w:t>
              </w:r>
            </w:fldSimple>
          </w:p>
        </w:tc>
        <w:tc>
          <w:tcPr/>
          <w:p>
            <w:pPr>
              <w:pStyle w:val="Compact"/>
              <w:jc w:val="left"/>
            </w:pPr>
            <w:r>
              <w:t xml:space="preserve">中</w:t>
            </w:r>
          </w:p>
        </w:tc>
        <w:tc>
          <w:tcPr/>
          <w:p>
            <w:pPr>
              <w:pStyle w:val="Compact"/>
              <w:jc w:val="left"/>
            </w:pPr>
            <w:r>
              <w:t xml:space="preserve">高</w:t>
            </w:r>
          </w:p>
        </w:tc>
        <w:tc>
          <w:tcPr/>
          <w:p>
            <w:pPr>
              <w:pStyle w:val="Compact"/>
              <w:jc w:val="left"/>
            </w:pPr>
            <w:r>
              <w:t xml:space="preserve">TrendForce 月度价格调查；现货价走势</w:t>
            </w:r>
          </w:p>
        </w:tc>
      </w:tr>
      <w:tr>
        <w:tc>
          <w:tcPr/>
          <w:p>
            <w:pPr>
              <w:pStyle w:val="Compact"/>
              <w:jc w:val="left"/>
            </w:pPr>
            <w:r>
              <w:t xml:space="preserve">基本面</w:t>
            </w:r>
          </w:p>
        </w:tc>
        <w:tc>
          <w:tcPr/>
          <w:p>
            <w:pPr>
              <w:pStyle w:val="Compact"/>
              <w:jc w:val="left"/>
            </w:pPr>
            <w:r>
              <w:t xml:space="preserve">低价库存红利耗尽后毛利率自 53.17% 回落</w:t>
            </w:r>
            <w:r>
              <w:t xml:space="preserve"> </w:t>
            </w:r>
            <w:r>
              <w:rPr>
                <w:vertAlign w:val="superscript"/>
              </w:rPr>
              <w:footnoteReference w:id="125"/>
            </w:r>
          </w:p>
        </w:tc>
        <w:tc>
          <w:tcPr/>
          <w:p>
            <w:pPr>
              <w:pStyle w:val="Compact"/>
              <w:jc w:val="left"/>
            </w:pPr>
            <w:r>
              <w:t xml:space="preserve">中</w:t>
            </w:r>
          </w:p>
        </w:tc>
        <w:tc>
          <w:tcPr/>
          <w:p>
            <w:pPr>
              <w:pStyle w:val="Compact"/>
              <w:jc w:val="left"/>
            </w:pPr>
            <w:r>
              <w:t xml:space="preserve">高</w:t>
            </w:r>
          </w:p>
        </w:tc>
        <w:tc>
          <w:tcPr/>
          <w:p>
            <w:pPr>
              <w:pStyle w:val="Compact"/>
              <w:jc w:val="left"/>
            </w:pPr>
            <w:r>
              <w:t xml:space="preserve">8/22 半年报毛利率；存货与新采购成本</w:t>
            </w:r>
          </w:p>
        </w:tc>
      </w:tr>
      <w:tr>
        <w:tc>
          <w:tcPr/>
          <w:p>
            <w:pPr>
              <w:pStyle w:val="Compact"/>
              <w:jc w:val="left"/>
            </w:pPr>
            <w:r>
              <w:t xml:space="preserve">基本面</w:t>
            </w:r>
          </w:p>
        </w:tc>
        <w:tc>
          <w:tcPr/>
          <w:p>
            <w:pPr>
              <w:pStyle w:val="Compact"/>
              <w:jc w:val="left"/>
            </w:pPr>
            <w:r>
              <w:t xml:space="preserve">砺算权益法亏损持续拖累利润</w:t>
            </w:r>
            <w:r>
              <w:t xml:space="preserve"> </w:t>
            </w:r>
            <w:fldSimple w:instr="NOTEREF _Ref_Footnote_125 \h \f">
              <w:r>
                <w:rPr>
                  <w:vertAlign w:val="superscript"/>
                </w:rPr>
                <w:t>125</w:t>
              </w:r>
            </w:fldSimple>
          </w:p>
        </w:tc>
        <w:tc>
          <w:tcPr/>
          <w:p>
            <w:pPr>
              <w:pStyle w:val="Compact"/>
              <w:jc w:val="left"/>
            </w:pPr>
            <w:r>
              <w:t xml:space="preserve">高</w:t>
            </w:r>
          </w:p>
        </w:tc>
        <w:tc>
          <w:tcPr/>
          <w:p>
            <w:pPr>
              <w:pStyle w:val="Compact"/>
              <w:jc w:val="left"/>
            </w:pPr>
            <w:r>
              <w:t xml:space="preserve">中</w:t>
            </w:r>
          </w:p>
        </w:tc>
        <w:tc>
          <w:tcPr/>
          <w:p>
            <w:pPr>
              <w:pStyle w:val="Compact"/>
              <w:jc w:val="left"/>
            </w:pPr>
            <w:r>
              <w:t xml:space="preserve">季报投资收益科目；砺算销量与订单</w:t>
            </w:r>
          </w:p>
        </w:tc>
      </w:tr>
      <w:tr>
        <w:tc>
          <w:tcPr/>
          <w:p>
            <w:pPr>
              <w:pStyle w:val="Compact"/>
              <w:jc w:val="left"/>
            </w:pPr>
            <w:r>
              <w:t xml:space="preserve">基本面</w:t>
            </w:r>
          </w:p>
        </w:tc>
        <w:tc>
          <w:tcPr/>
          <w:p>
            <w:pPr>
              <w:pStyle w:val="Compact"/>
              <w:jc w:val="left"/>
            </w:pPr>
            <w:r>
              <w:t xml:space="preserve">客户集中（前五大占 66.17%）放大大客户订单波动</w:t>
            </w:r>
            <w:r>
              <w:t xml:space="preserve"> </w:t>
            </w:r>
            <w:fldSimple w:instr="NOTEREF _Ref_Footnote_71 \h \f">
              <w:r>
                <w:rPr>
                  <w:vertAlign w:val="superscript"/>
                </w:rPr>
                <w:t>71</w:t>
              </w:r>
            </w:fldSimple>
          </w:p>
        </w:tc>
        <w:tc>
          <w:tcPr/>
          <w:p>
            <w:pPr>
              <w:pStyle w:val="Compact"/>
              <w:jc w:val="left"/>
            </w:pPr>
            <w:r>
              <w:t xml:space="preserve">中</w:t>
            </w:r>
          </w:p>
        </w:tc>
        <w:tc>
          <w:tcPr/>
          <w:p>
            <w:pPr>
              <w:pStyle w:val="Compact"/>
              <w:jc w:val="left"/>
            </w:pPr>
            <w:r>
              <w:t xml:space="preserve">中</w:t>
            </w:r>
          </w:p>
        </w:tc>
        <w:tc>
          <w:tcPr/>
          <w:p>
            <w:pPr>
              <w:pStyle w:val="Compact"/>
              <w:jc w:val="left"/>
            </w:pPr>
            <w:r>
              <w:t xml:space="preserve">定期报告客户结构；下游大客户拉货节奏</w:t>
            </w:r>
          </w:p>
        </w:tc>
      </w:tr>
      <w:tr>
        <w:tc>
          <w:tcPr/>
          <w:p>
            <w:pPr>
              <w:pStyle w:val="Compact"/>
              <w:jc w:val="left"/>
            </w:pPr>
            <w:r>
              <w:t xml:space="preserve">行业</w:t>
            </w:r>
          </w:p>
        </w:tc>
        <w:tc>
          <w:tcPr/>
          <w:p>
            <w:pPr>
              <w:pStyle w:val="Compact"/>
              <w:jc w:val="left"/>
            </w:pPr>
            <w:r>
              <w:t xml:space="preserve">手机等终端需求疲软向利基存储传导</w:t>
            </w:r>
            <w:r>
              <w:t xml:space="preserve"> </w:t>
            </w:r>
            <w:fldSimple w:instr="NOTEREF _Ref_Footnote_45 \h \f">
              <w:r>
                <w:rPr>
                  <w:vertAlign w:val="superscript"/>
                </w:rPr>
                <w:t>45</w:t>
              </w:r>
            </w:fldSimple>
          </w:p>
        </w:tc>
        <w:tc>
          <w:tcPr/>
          <w:p>
            <w:pPr>
              <w:pStyle w:val="Compact"/>
              <w:jc w:val="left"/>
            </w:pPr>
            <w:r>
              <w:t xml:space="preserve">中高</w:t>
            </w:r>
          </w:p>
        </w:tc>
        <w:tc>
          <w:tcPr/>
          <w:p>
            <w:pPr>
              <w:pStyle w:val="Compact"/>
              <w:jc w:val="left"/>
            </w:pPr>
            <w:r>
              <w:t xml:space="preserve">中</w:t>
            </w:r>
          </w:p>
        </w:tc>
        <w:tc>
          <w:tcPr/>
          <w:p>
            <w:pPr>
              <w:pStyle w:val="Compact"/>
              <w:jc w:val="left"/>
            </w:pPr>
            <w:r>
              <w:t xml:space="preserve">IDC/Counterpoint 季度出货数据</w:t>
            </w:r>
          </w:p>
        </w:tc>
      </w:tr>
      <w:tr>
        <w:tc>
          <w:tcPr/>
          <w:p>
            <w:pPr>
              <w:pStyle w:val="Compact"/>
              <w:jc w:val="left"/>
            </w:pPr>
            <w:r>
              <w:t xml:space="preserve">行业</w:t>
            </w:r>
          </w:p>
        </w:tc>
        <w:tc>
          <w:tcPr/>
          <w:p>
            <w:pPr>
              <w:pStyle w:val="Compact"/>
              <w:jc w:val="left"/>
            </w:pPr>
            <w:r>
              <w:t xml:space="preserve">2027 年后周期反转（供给再平衡）</w:t>
            </w:r>
            <w:r>
              <w:t xml:space="preserve"> </w:t>
            </w:r>
            <w:fldSimple w:instr="NOTEREF _Ref_Footnote_43 \h \f">
              <w:r>
                <w:rPr>
                  <w:vertAlign w:val="superscript"/>
                </w:rPr>
                <w:t>43</w:t>
              </w:r>
            </w:fldSimple>
          </w:p>
        </w:tc>
        <w:tc>
          <w:tcPr/>
          <w:p>
            <w:pPr>
              <w:pStyle w:val="Compact"/>
              <w:jc w:val="left"/>
            </w:pPr>
            <w:r>
              <w:t xml:space="preserve">低（未来 6 个月）</w:t>
            </w:r>
          </w:p>
        </w:tc>
        <w:tc>
          <w:tcPr/>
          <w:p>
            <w:pPr>
              <w:pStyle w:val="Compact"/>
              <w:jc w:val="left"/>
            </w:pPr>
            <w:r>
              <w:t xml:space="preserve">高</w:t>
            </w:r>
          </w:p>
        </w:tc>
        <w:tc>
          <w:tcPr/>
          <w:p>
            <w:pPr>
              <w:pStyle w:val="Compact"/>
              <w:jc w:val="left"/>
            </w:pPr>
            <w:r>
              <w:t xml:space="preserve">云厂商资本开支指引；原厂产能公告</w:t>
            </w:r>
            <w:r>
              <w:t xml:space="preserve"> </w:t>
            </w:r>
            <w:fldSimple w:instr="NOTEREF _Ref_Footnote_41 \h \f">
              <w:r>
                <w:rPr>
                  <w:vertAlign w:val="superscript"/>
                </w:rPr>
                <w:t>41</w:t>
              </w:r>
            </w:fldSimple>
          </w:p>
        </w:tc>
      </w:tr>
      <w:tr>
        <w:tc>
          <w:tcPr/>
          <w:p>
            <w:pPr>
              <w:pStyle w:val="Compact"/>
              <w:jc w:val="left"/>
            </w:pPr>
            <w:r>
              <w:t xml:space="preserve">交易/供给</w:t>
            </w:r>
          </w:p>
        </w:tc>
        <w:tc>
          <w:tcPr/>
          <w:p>
            <w:pPr>
              <w:pStyle w:val="Compact"/>
              <w:jc w:val="left"/>
            </w:pPr>
            <w:r>
              <w:t xml:space="preserve">10/13 解禁股兑现抛压（浮盈 36.5%）</w:t>
            </w:r>
            <w:r>
              <w:t xml:space="preserve"> </w:t>
            </w:r>
            <w:fldSimple w:instr="NOTEREF _Ref_Footnote_14 \h \f">
              <w:r>
                <w:rPr>
                  <w:vertAlign w:val="superscript"/>
                </w:rPr>
                <w:t>14</w:t>
              </w:r>
            </w:fldSimple>
          </w:p>
        </w:tc>
        <w:tc>
          <w:tcPr/>
          <w:p>
            <w:pPr>
              <w:pStyle w:val="Compact"/>
              <w:jc w:val="left"/>
            </w:pPr>
            <w:r>
              <w:t xml:space="preserve">高</w:t>
            </w:r>
          </w:p>
        </w:tc>
        <w:tc>
          <w:tcPr/>
          <w:p>
            <w:pPr>
              <w:pStyle w:val="Compact"/>
              <w:jc w:val="left"/>
            </w:pPr>
            <w:r>
              <w:t xml:space="preserve">中</w:t>
            </w:r>
          </w:p>
        </w:tc>
        <w:tc>
          <w:tcPr/>
          <w:p>
            <w:pPr>
              <w:pStyle w:val="Compact"/>
              <w:jc w:val="left"/>
            </w:pPr>
            <w:r>
              <w:t xml:space="preserve">解禁前后大宗交易、换手率</w:t>
            </w:r>
          </w:p>
        </w:tc>
      </w:tr>
      <w:tr>
        <w:tc>
          <w:tcPr/>
          <w:p>
            <w:pPr>
              <w:pStyle w:val="Compact"/>
              <w:jc w:val="left"/>
            </w:pPr>
            <w:r>
              <w:t xml:space="preserve">交易/供给</w:t>
            </w:r>
          </w:p>
        </w:tc>
        <w:tc>
          <w:tcPr/>
          <w:p>
            <w:pPr>
              <w:pStyle w:val="Compact"/>
              <w:jc w:val="left"/>
            </w:pPr>
            <w:r>
              <w:t xml:space="preserve">控股股东新一轮减持（前两轮已套现约 15.4 亿元）</w:t>
            </w:r>
            <w:r>
              <w:t xml:space="preserve"> </w:t>
            </w:r>
            <w:r>
              <w:rPr>
                <w:vertAlign w:val="superscript"/>
              </w:rPr>
              <w:footnoteReference w:id="126"/>
            </w:r>
          </w:p>
        </w:tc>
        <w:tc>
          <w:tcPr/>
          <w:p>
            <w:pPr>
              <w:pStyle w:val="Compact"/>
              <w:jc w:val="left"/>
            </w:pPr>
            <w:r>
              <w:t xml:space="preserve">中</w:t>
            </w:r>
          </w:p>
        </w:tc>
        <w:tc>
          <w:tcPr/>
          <w:p>
            <w:pPr>
              <w:pStyle w:val="Compact"/>
              <w:jc w:val="left"/>
            </w:pPr>
            <w:r>
              <w:t xml:space="preserve">中</w:t>
            </w:r>
          </w:p>
        </w:tc>
        <w:tc>
          <w:tcPr/>
          <w:p>
            <w:pPr>
              <w:pStyle w:val="Compact"/>
              <w:jc w:val="left"/>
            </w:pPr>
            <w:r>
              <w:t xml:space="preserve">询价转让/减持预披露公告</w:t>
            </w:r>
          </w:p>
        </w:tc>
      </w:tr>
      <w:tr>
        <w:tc>
          <w:tcPr/>
          <w:p>
            <w:pPr>
              <w:pStyle w:val="Compact"/>
              <w:jc w:val="left"/>
            </w:pPr>
            <w:r>
              <w:t xml:space="preserve">交易/供给</w:t>
            </w:r>
          </w:p>
        </w:tc>
        <w:tc>
          <w:tcPr/>
          <w:p>
            <w:pPr>
              <w:pStyle w:val="Compact"/>
              <w:jc w:val="left"/>
            </w:pPr>
            <w:r>
              <w:t xml:space="preserve">H 股发行摊薄 EPS 与 A/H 价差压制</w:t>
            </w:r>
            <w:r>
              <w:t xml:space="preserve"> </w:t>
            </w:r>
            <w:fldSimple w:instr="NOTEREF _Ref_Footnote_124 \h \f">
              <w:r>
                <w:rPr>
                  <w:vertAlign w:val="superscript"/>
                </w:rPr>
                <w:t>124</w:t>
              </w:r>
            </w:fldSimple>
          </w:p>
        </w:tc>
        <w:tc>
          <w:tcPr/>
          <w:p>
            <w:pPr>
              <w:pStyle w:val="Compact"/>
              <w:jc w:val="left"/>
            </w:pPr>
            <w:r>
              <w:t xml:space="preserve">中高</w:t>
            </w:r>
          </w:p>
        </w:tc>
        <w:tc>
          <w:tcPr/>
          <w:p>
            <w:pPr>
              <w:pStyle w:val="Compact"/>
              <w:jc w:val="left"/>
            </w:pPr>
            <w:r>
              <w:t xml:space="preserve">中</w:t>
            </w:r>
          </w:p>
        </w:tc>
        <w:tc>
          <w:tcPr/>
          <w:p>
            <w:pPr>
              <w:pStyle w:val="Compact"/>
              <w:jc w:val="left"/>
            </w:pPr>
            <w:r>
              <w:t xml:space="preserve">证监会备案、港交所聆讯与发行定价</w:t>
            </w:r>
          </w:p>
        </w:tc>
      </w:tr>
      <w:tr>
        <w:tc>
          <w:tcPr/>
          <w:p>
            <w:pPr>
              <w:pStyle w:val="Compact"/>
              <w:jc w:val="left"/>
            </w:pPr>
            <w:r>
              <w:t xml:space="preserve">交易/供给</w:t>
            </w:r>
          </w:p>
        </w:tc>
        <w:tc>
          <w:tcPr/>
          <w:p>
            <w:pPr>
              <w:pStyle w:val="Compact"/>
              <w:jc w:val="left"/>
            </w:pPr>
            <w:r>
              <w:t xml:space="preserve">20cm 高波动叠加杠杆盘多杀多</w:t>
            </w:r>
            <w:r>
              <w:t xml:space="preserve"> </w:t>
            </w:r>
            <w:fldSimple w:instr="NOTEREF _Ref_Footnote_9 \h \f">
              <w:r>
                <w:rPr>
                  <w:vertAlign w:val="superscript"/>
                </w:rPr>
                <w:t>9</w:t>
              </w:r>
            </w:fldSimple>
          </w:p>
        </w:tc>
        <w:tc>
          <w:tcPr/>
          <w:p>
            <w:pPr>
              <w:pStyle w:val="Compact"/>
              <w:jc w:val="left"/>
            </w:pPr>
            <w:r>
              <w:t xml:space="preserve">高</w:t>
            </w:r>
          </w:p>
        </w:tc>
        <w:tc>
          <w:tcPr/>
          <w:p>
            <w:pPr>
              <w:pStyle w:val="Compact"/>
              <w:jc w:val="left"/>
            </w:pPr>
            <w:r>
              <w:t xml:space="preserve">中</w:t>
            </w:r>
          </w:p>
        </w:tc>
        <w:tc>
          <w:tcPr/>
          <w:p>
            <w:pPr>
              <w:pStyle w:val="Compact"/>
              <w:jc w:val="left"/>
            </w:pPr>
            <w:r>
              <w:t xml:space="preserve">融资余额水位；单日涨跌幅与偏离值</w:t>
            </w:r>
          </w:p>
        </w:tc>
      </w:tr>
    </w:tbl>
    <w:p>
      <w:pPr>
        <w:pStyle w:val="BodyText"/>
      </w:pPr>
      <w:r>
        <w:t xml:space="preserve">矩阵的整体图景是：</w:t>
      </w:r>
      <w:r>
        <w:t xml:space="preserve">“</w:t>
      </w:r>
      <w:r>
        <w:t xml:space="preserve">高概率×高冲击</w:t>
      </w:r>
      <w:r>
        <w:t xml:space="preserve">”</w:t>
      </w:r>
      <w:r>
        <w:t xml:space="preserve">象限为空，真正需要以仓位应对的是三个”中概率×高冲击”项——估值下修、合约价见顶、毛利率回落，三者共享同一批触发器（8/22 半年报、Q4 合约价谈判），这正是将这两个时点设为日历锚点的原因。</w:t>
      </w:r>
      <w:r>
        <w:t xml:space="preserve">“</w:t>
      </w:r>
      <w:r>
        <w:t xml:space="preserve">高概率×中冲击</w:t>
      </w:r>
      <w:r>
        <w:t xml:space="preserve">”</w:t>
      </w:r>
      <w:r>
        <w:t xml:space="preserve">项（解禁兑现、20cm 波动、砺算拖累）不改变方向，但决定持有体验与买点选择；</w:t>
      </w:r>
      <w:r>
        <w:t xml:space="preserve">“</w:t>
      </w:r>
      <w:r>
        <w:t xml:space="preserve">2027 年后周期反转</w:t>
      </w:r>
      <w:r>
        <w:t xml:space="preserve">”</w:t>
      </w:r>
      <w:r>
        <w:t xml:space="preserve">属低概率×高冲击的尾部风险，未来 6 个月兑现概率低，但一旦出现云厂商资本开支下修信号，应直接上调其概率档位。以下按类别展开。</w:t>
      </w:r>
    </w:p>
    <w:bookmarkStart w:id="97" w:name="基本面风险q2-低价库存红利耗尽后毛利率能否守住客户集中度-66持续亏损历史"/>
    <w:p>
      <w:pPr>
        <w:pStyle w:val="Heading4"/>
      </w:pPr>
      <w:r>
        <w:t xml:space="preserve">7.2.1 基本面风险：Q2 低价库存红利耗尽后毛利率能否守住；客户集中度 66%；持续亏损历史</w:t>
      </w:r>
    </w:p>
    <w:p>
      <w:pPr>
        <w:pStyle w:val="FirstParagraph"/>
      </w:pPr>
      <w:r>
        <w:t xml:space="preserve">最核心的基本面疑问是毛利率的可持续性。2026Q1 毛利率 53.17% 部分建立在涨价前购入的低价库存之上（Q1 末存货 11.93 亿元）</w:t>
      </w:r>
      <w:fldSimple w:instr="NOTEREF _Ref_Footnote_125 \h \f">
        <w:r>
          <w:rPr>
            <w:vertAlign w:val="superscript"/>
          </w:rPr>
          <w:t>125</w:t>
        </w:r>
      </w:fldSimple>
      <w:r>
        <w:t xml:space="preserve">；随着低价库存消化与新采购成本上行，Q2 起毛利率能否守在 50% 附近是半年报的核心看点。同业已提供预演：模组厂德明利因低价库存红利逐步消化、毛利率预期放缓，7 月中旬连续两日跌停</w:t>
      </w:r>
      <w:fldSimple w:instr="NOTEREF _Ref_Footnote_7 \h \f">
        <w:r>
          <w:rPr>
            <w:vertAlign w:val="superscript"/>
          </w:rPr>
          <w:t>7</w:t>
        </w:r>
      </w:fldSimple>
      <w:r>
        <w:t xml:space="preserve">——市场对该类证伪的惩罚极为迅速。其次是亏损历史的惯性：公司 2024 年、2025 年归母净利分别约 -1.67 亿元、-1.95 亿元，连续两年亏损，2025 年研发费用 2.16 亿元、占营收 23.43%</w:t>
      </w:r>
      <w:fldSimple w:instr="NOTEREF _Ref_Footnote_71 \h \f">
        <w:r>
          <w:rPr>
            <w:vertAlign w:val="superscript"/>
          </w:rPr>
          <w:t>71</w:t>
        </w:r>
      </w:fldSimple>
      <w:r>
        <w:t xml:space="preserve">；即便 Q1 盈利 1.38 亿元，滚动 12 个月（TTM）净利仅约 0.02 亿元，扭亏尚属”单季验证”而非”趋势确认”。第三是结构性拖累与集中度：砺算权益法亏损 2025 年达 1.66 亿元、占当年归母亏损的 85% 以上，2026Q1 仍亏约 2100 万元</w:t>
      </w:r>
      <w:r>
        <w:rPr>
          <w:vertAlign w:val="superscript"/>
        </w:rPr>
        <w:footnoteReference w:id="127"/>
      </w:r>
      <w:r>
        <w:t xml:space="preserve"> </w:t>
      </w:r>
      <w:fldSimple w:instr="NOTEREF _Ref_Footnote_125 \h \f">
        <w:r>
          <w:rPr>
            <w:vertAlign w:val="superscript"/>
          </w:rPr>
          <w:t>125</w:t>
        </w:r>
      </w:fldSimple>
      <w:r>
        <w:t xml:space="preserve">；客户端前五大客户合计占年度销售总额 66.17%、第一大客户占 23.00%</w:t>
      </w:r>
      <w:fldSimple w:instr="NOTEREF _Ref_Footnote_71 \h \f">
        <w:r>
          <w:rPr>
            <w:vertAlign w:val="superscript"/>
          </w:rPr>
          <w:t>71</w:t>
        </w:r>
      </w:fldSimple>
      <w:r>
        <w:t xml:space="preserve">，涨价周期中大客户的接受度与砍单节奏对业绩的扰动被对称放大。</w:t>
      </w:r>
    </w:p>
    <w:bookmarkEnd w:id="97"/>
    <w:bookmarkStart w:id="98" w:name="行业风险q3-涨幅收窄演化为见顶手机需求疲软2027-后周期反转"/>
    <w:p>
      <w:pPr>
        <w:pStyle w:val="Heading4"/>
      </w:pPr>
      <w:r>
        <w:t xml:space="preserve">7.2.2 行业风险：Q3 涨幅收窄演化为见顶；手机需求疲软；2027 后周期反转</w:t>
      </w:r>
    </w:p>
    <w:p>
      <w:pPr>
        <w:pStyle w:val="FirstParagraph"/>
      </w:pPr>
      <w:r>
        <w:t xml:space="preserve">行业层面最需盯防的是”涨幅收窄”的性质切换。TrendForce 预计 Q3 传统 DRAM 合约价环比 +13~18%、NAND +10~15%，为近一年首次跌破 20%</w:t>
      </w:r>
      <w:fldSimple w:instr="NOTEREF _Ref_Footnote_122 \h \f">
        <w:r>
          <w:rPr>
            <w:vertAlign w:val="superscript"/>
          </w:rPr>
          <w:t>122</w:t>
        </w:r>
      </w:fldSimple>
      <w:r>
        <w:t xml:space="preserve">；目前主流解读是买方抵制而非供给改善——价格已接近下游”痛苦阈值”，PC OEM 库存偏高、支付意愿下降</w:t>
      </w:r>
      <w:fldSimple w:instr="NOTEREF _Ref_Footnote_44 \h \f">
        <w:r>
          <w:rPr>
            <w:vertAlign w:val="superscript"/>
          </w:rPr>
          <w:t>44</w:t>
        </w:r>
      </w:fldSimple>
      <w:r>
        <w:t xml:space="preserve">，但伯恩斯坦已明确预警消费需求破坏、Q3 涨势明显放缓</w:t>
      </w:r>
      <w:r>
        <w:rPr>
          <w:vertAlign w:val="superscript"/>
        </w:rPr>
        <w:footnoteReference w:id="128"/>
      </w:r>
      <w:r>
        <w:t xml:space="preserve">。若 Q4 谈判中涨幅进一步收窄至个位数乃至走平，</w:t>
      </w:r>
      <w:r>
        <w:t xml:space="preserve">“</w:t>
      </w:r>
      <w:r>
        <w:t xml:space="preserve">收窄</w:t>
      </w:r>
      <w:r>
        <w:t xml:space="preserve">”</w:t>
      </w:r>
      <w:r>
        <w:t xml:space="preserve">将被市场重新定价为”见顶前兆”。需求侧的隐忧来自手机：2026Q2 全球智能手机出货 2.775 亿部、同比 -6.7%，IDC 预计全年下滑 12.9%，存储成本上升被指为主因</w:t>
      </w:r>
      <w:fldSimple w:instr="NOTEREF _Ref_Footnote_45 \h \f">
        <w:r>
          <w:rPr>
            <w:vertAlign w:val="superscript"/>
          </w:rPr>
          <w:t>45</w:t>
        </w:r>
      </w:fldSimple>
      <w:r>
        <w:t xml:space="preserve">——终端萎缩终将通过库存链条向上游传导。更远的尾部风险在 2027 年后：兆易创新 6 月公告自警”2027 年后价格可能进入高位震荡”</w:t>
      </w:r>
      <w:fldSimple w:instr="NOTEREF _Ref_Footnote_43 \h \f">
        <w:r>
          <w:rPr>
            <w:vertAlign w:val="superscript"/>
          </w:rPr>
          <w:t>43</w:t>
        </w:r>
      </w:fldSimple>
      <w:r>
        <w:t xml:space="preserve">；华泰证券亦提示，市场一致预期仅覆盖至 2027Q2~Q3（NAND/DRAM ASP），且 2027 年云厂商资本开支预期已小幅下修</w:t>
      </w:r>
      <w:fldSimple w:instr="NOTEREF _Ref_Footnote_41 \h \f">
        <w:r>
          <w:rPr>
            <w:vertAlign w:val="superscript"/>
          </w:rPr>
          <w:t>41</w:t>
        </w:r>
      </w:fldSimple>
      <w:r>
        <w:t xml:space="preserve">。值得对照的是，公司 6 月末调研仍判断 Q3 利基价格”具备上行支撑”，Gartner 亦预计 NAND 涨价周期有望延续至 2027 年后</w:t>
      </w:r>
      <w:fldSimple w:instr="NOTEREF _Ref_Footnote_15 \h \f">
        <w:r>
          <w:rPr>
            <w:vertAlign w:val="superscript"/>
          </w:rPr>
          <w:t>15</w:t>
        </w:r>
      </w:fldSimple>
      <w:r>
        <w:t xml:space="preserve">——多空分歧尖锐本身即意味着定价的高波动。</w:t>
      </w:r>
    </w:p>
    <w:bookmarkEnd w:id="98"/>
    <w:bookmarkStart w:id="99" w:name="Xa315b02806ccb4b42c5cc20a692fd15b841f79b"/>
    <w:p>
      <w:pPr>
        <w:pStyle w:val="Heading4"/>
      </w:pPr>
      <w:r>
        <w:t xml:space="preserve">7.2.3 交易与供给风险：科创板 20cm 波动；H 股摊薄；10/13 解禁（受让成本 100 元、浮盈 36.5%）；控股股东减持史</w:t>
      </w:r>
    </w:p>
    <w:p>
      <w:pPr>
        <w:pStyle w:val="FirstParagraph"/>
      </w:pPr>
      <w:r>
        <w:t xml:space="preserve">交易层面，科创板 ±20% 涨跌幅放大了双向波动：6/16~6/30 连续 10 个交易日涨幅偏离值累计 24.74%，公司 7/1 自发股票交易风险提示公告</w:t>
      </w:r>
      <w:r>
        <w:rPr>
          <w:vertAlign w:val="superscript"/>
        </w:rPr>
        <w:footnoteReference w:id="129"/>
      </w:r>
      <w:r>
        <w:t xml:space="preserve">；随后股价自 7/1 盘中高点 209.55 元至 7/16 收盘回撤约 35%，7 月内单日跌逾 5% 的情形已出现 5 次</w:t>
      </w:r>
      <w:r>
        <w:rPr>
          <w:vertAlign w:val="superscript"/>
        </w:rPr>
        <w:footnoteReference w:id="130"/>
      </w:r>
      <w:r>
        <w:t xml:space="preserve">。融资余额 33.53 亿元（7/14）处近一年 80% 分位以上，杠杆资金未出清，下跌中易形成多杀多</w:t>
      </w:r>
      <w:fldSimple w:instr="NOTEREF _Ref_Footnote_9 \h \f">
        <w:r>
          <w:rPr>
            <w:vertAlign w:val="superscript"/>
          </w:rPr>
          <w:t>9</w:t>
        </w:r>
      </w:fldSimple>
      <w:r>
        <w:t xml:space="preserve">。供给端压力有明确的时间表：10/13 解禁的 442.25 万股受让成本 100 元、浮盈 36.5%，6 家受让机构存在兑现动机</w:t>
      </w:r>
      <w:fldSimple w:instr="NOTEREF _Ref_Footnote_14 \h \f">
        <w:r>
          <w:rPr>
            <w:vertAlign w:val="superscript"/>
          </w:rPr>
          <w:t>14</w:t>
        </w:r>
      </w:fldSimple>
      <w:r>
        <w:t xml:space="preserve">；更早的 2025-10 批次 1326.75 万股（成本 82.5 元）承诺限售已于 2026-04-16 届满，按现价浮盈约 65%，是否已减持未见专项披露</w:t>
      </w:r>
      <w:fldSimple w:instr="NOTEREF _Ref_Footnote_126 \h \f">
        <w:r>
          <w:rPr>
            <w:vertAlign w:val="superscript"/>
          </w:rPr>
          <w:t>126</w:t>
        </w:r>
      </w:fldSimple>
      <w:r>
        <w:t xml:space="preserve">。控股股东东方恒信 8 个月内两轮询价转让合计套现约 15.4 亿元、合计持股比例由 37.47% 降至 33.47%</w:t>
      </w:r>
      <w:fldSimple w:instr="NOTEREF _Ref_Footnote_126 \h \f">
        <w:r>
          <w:rPr>
            <w:vertAlign w:val="superscript"/>
          </w:rPr>
          <w:t>126</w:t>
        </w:r>
      </w:fldSimple>
      <w:r>
        <w:t xml:space="preserve"> </w:t>
      </w:r>
      <w:fldSimple w:instr="NOTEREF _Ref_Footnote_14 \h \f">
        <w:r>
          <w:rPr>
            <w:vertAlign w:val="superscript"/>
          </w:rPr>
          <w:t>14</w:t>
        </w:r>
      </w:fldSimple>
      <w:r>
        <w:t xml:space="preserve">，高管 LEE HYUNG SANG 6/24 亦以 170.00 元小额卖出 9000 股</w:t>
      </w:r>
      <w:fldSimple w:instr="NOTEREF _Ref_Footnote_4 \h \f">
        <w:r>
          <w:rPr>
            <w:vertAlign w:val="superscript"/>
          </w:rPr>
          <w:t>4</w:t>
        </w:r>
      </w:fldSimple>
      <w:r>
        <w:t xml:space="preserve">，产业资本的持续退出构成估值上方的隐性压制。此外，H 股发行（≤10% 总股本+15% 超配）若落地将摊薄 EPS，A/H 折价发行惯例亦可能压制 A 股估值</w:t>
      </w:r>
      <w:fldSimple w:instr="NOTEREF _Ref_Footnote_124 \h \f">
        <w:r>
          <w:rPr>
            <w:vertAlign w:val="superscript"/>
          </w:rPr>
          <w:t>124</w:t>
        </w:r>
      </w:fldSimple>
      <w:r>
        <w:t xml:space="preserve">。</w:t>
      </w:r>
    </w:p>
    <w:bookmarkEnd w:id="99"/>
    <w:bookmarkStart w:id="100" w:name="估值风险99-倍动态-pe-对涨价持续的高依赖一致预期下修的杀伤"/>
    <w:p>
      <w:pPr>
        <w:pStyle w:val="Heading4"/>
      </w:pPr>
      <w:r>
        <w:t xml:space="preserve">7.2.4 估值风险：99 倍动态 PE 对”涨价持续”的高依赖；一致预期下修的杀伤</w:t>
      </w:r>
    </w:p>
    <w:p>
      <w:pPr>
        <w:pStyle w:val="FirstParagraph"/>
      </w:pPr>
      <w:r>
        <w:t xml:space="preserve">估值风险的实质是定价对单一假设的高依赖。以 7/16 收盘市值约 604 亿元计，对应 iFinD 一致预期 2026E 归母净利 6.115 亿元的 Forward PE 约 99 倍</w:t>
      </w:r>
      <w:fldSimple w:instr="NOTEREF _Ref_Footnote_123 \h \f">
        <w:r>
          <w:rPr>
            <w:vertAlign w:val="superscript"/>
          </w:rPr>
          <w:t>123</w:t>
        </w:r>
      </w:fldSimple>
      <w:r>
        <w:t xml:space="preserve">，显著高于财新引 iFinD 口径的 A 股存储板块 2026E 预测 PE 中枢 55.20~59.80 倍</w:t>
      </w:r>
      <w:fldSimple w:instr="NOTEREF _Ref_Footnote_49 \h \f">
        <w:r>
          <w:rPr>
            <w:vertAlign w:val="superscript"/>
          </w:rPr>
          <w:t>49</w:t>
        </w:r>
      </w:fldSimple>
      <w:r>
        <w:t xml:space="preserve">，也高于兆易创新（约 72 倍）、普冉股份（约 73 倍）等可比设计公司</w:t>
      </w:r>
      <w:fldSimple w:instr="NOTEREF _Ref_Footnote_123 \h \f">
        <w:r>
          <w:rPr>
            <w:vertAlign w:val="superscript"/>
          </w:rPr>
          <w:t>123</w:t>
        </w:r>
      </w:fldSimple>
      <w:r>
        <w:t xml:space="preserve">。99 倍本质上是”涨价持续至 2027 年”的期权定价：一旦 Q4 合约价走平或半年报毛利率证伪，一致预期存在系统性下修空间，估值锚随之松动。这一传导链条已有预演——东吴证券 2026 年 1 月曾下调公司 2025 年预测至 -1.6 亿元，实际披露 -1.95 亿元、逊于已下修后的预期</w:t>
      </w:r>
      <w:r>
        <w:rPr>
          <w:vertAlign w:val="superscript"/>
        </w:rPr>
        <w:footnoteReference w:id="131"/>
      </w:r>
      <w:r>
        <w:t xml:space="preserve">；而当前券商覆盖稀少（近 90 天仅 3 家评级、无公开目标价）</w:t>
      </w:r>
      <w:r>
        <w:rPr>
          <w:vertAlign w:val="superscript"/>
        </w:rPr>
        <w:footnoteReference w:id="132"/>
      </w:r>
      <w:r>
        <w:t xml:space="preserve">，意味着预期修正可能以”跳变”而非”渐变”方式发生，杀伤力被进一步放大。</w:t>
      </w:r>
    </w:p>
    <w:p>
      <w:pPr>
        <w:pStyle w:val="BodyText"/>
      </w:pPr>
      <w:r>
        <w:t xml:space="preserve">综合而言，未来 6 个月东芯的多空博弈将围绕三个日历锚点（8/22 半年报、10/13 解禁、Q4 合约价谈判）与四类监控信号（毛利率、合约价、融资余额、减持/解禁公告）展开。第 8 章将据此给出分批建仓的触发价位、时间节奏与止损纪律，把本章的日历与风险清单转化为可执行的抄底方案。</w:t>
      </w:r>
    </w:p>
    <w:bookmarkEnd w:id="100"/>
    <w:bookmarkEnd w:id="101"/>
    <w:bookmarkEnd w:id="102"/>
    <w:bookmarkStart w:id="120" w:name="抄底实施方案"/>
    <w:p>
      <w:pPr>
        <w:pStyle w:val="Heading2"/>
      </w:pPr>
      <w:r>
        <w:t xml:space="preserve">8. 抄底实施方案</w:t>
      </w:r>
    </w:p>
    <w:p>
      <w:pPr>
        <w:pStyle w:val="FirstParagraph"/>
      </w:pPr>
      <w:r>
        <w:t xml:space="preserve">前七章分别论证了行业周期、公司弹性、财务质量、估值锚、资金筹码与催化日历，本章将其收敛为一套”价位触发＋信号确认＋日历调整”的可执行纪律。核心结论：</w:t>
      </w:r>
      <w:r>
        <w:rPr>
          <w:bCs/>
          <w:b/>
        </w:rPr>
        <w:t xml:space="preserve">采用左侧分四批建仓（120/110/100 元＋极端右侧批），既有 1600 股（成本 138.272 元）不割肉、作为底仓参与摊薄，逻辑止损与价格止损双轨并行</w:t>
      </w:r>
      <w:r>
        <w:t xml:space="preserve">；所有动作均绑定可观察信号，不依赖盘中情绪。</w:t>
      </w:r>
    </w:p>
    <w:bookmarkStart w:id="105" w:name="方案总纲"/>
    <w:p>
      <w:pPr>
        <w:pStyle w:val="Heading3"/>
      </w:pPr>
      <w:r>
        <w:t xml:space="preserve">8.1 方案总纲</w:t>
      </w:r>
    </w:p>
    <w:bookmarkStart w:id="103" w:name="定位左侧分批建仓博取涨价持续业绩上修滞涨补涨三重逻辑非一次性抄底"/>
    <w:p>
      <w:pPr>
        <w:pStyle w:val="Heading4"/>
      </w:pPr>
      <w:r>
        <w:t xml:space="preserve">8.1.1 定位：左侧分批建仓，博取”涨价持续＋业绩上修＋滞涨补涨”三重逻辑；非一次性抄底</w:t>
      </w:r>
    </w:p>
    <w:p>
      <w:pPr>
        <w:pStyle w:val="FirstParagraph"/>
      </w:pPr>
      <w:r>
        <w:t xml:space="preserve">本方案明确排除一次性抄底，依据有三。其一，拐点真实但估值不便宜：2026Q1 营收 4.79 亿元（+236.95%）、毛利率 53.17% 已兑现涨价弹性</w:t>
      </w:r>
      <w:fldSimple w:instr="NOTEREF _Ref_Footnote_5 \h \f">
        <w:r>
          <w:rPr>
            <w:vertAlign w:val="superscript"/>
          </w:rPr>
          <w:t>5</w:t>
        </w:r>
      </w:fldSimple>
      <w:r>
        <w:t xml:space="preserve">，而 136.50 元对应 2026E 一致预期动态 PE 约 99 倍，显著高于 A 股存储行业 55—60 倍中枢，当前买入本质是按牛市情景付费</w:t>
      </w:r>
      <w:r>
        <w:rPr>
          <w:vertAlign w:val="superscript"/>
        </w:rPr>
        <w:footnoteReference w:id="133"/>
      </w:r>
      <w:r>
        <w:t xml:space="preserve"> </w:t>
      </w:r>
      <w:fldSimple w:instr="NOTEREF _Ref_Footnote_49 \h \f">
        <w:r>
          <w:rPr>
            <w:vertAlign w:val="superscript"/>
          </w:rPr>
          <w:t>49</w:t>
        </w:r>
      </w:fldSimple>
      <w:r>
        <w:t xml:space="preserve">。其二，筹码未出清：7/1—7/16 主力资金净流出约 28 亿元，融资余额 33.53 亿元处近一年 80% 分位，左侧一次性买入是与派发中的主力和未出清的杠杆盘做对手盘</w:t>
      </w:r>
      <w:fldSimple w:instr="NOTEREF _Ref_Footnote_108 \h \f">
        <w:r>
          <w:rPr>
            <w:vertAlign w:val="superscript"/>
          </w:rPr>
          <w:t>108</w:t>
        </w:r>
      </w:fldSimple>
      <w:r>
        <w:t xml:space="preserve"> </w:t>
      </w:r>
      <w:fldSimple w:instr="NOTEREF _Ref_Footnote_9 \h \f">
        <w:r>
          <w:rPr>
            <w:vertAlign w:val="superscript"/>
          </w:rPr>
          <w:t>9</w:t>
        </w:r>
      </w:fldSimple>
      <w:r>
        <w:t xml:space="preserve">。其三，供给冲击有确定日历：8/22 半年报、10/13 解禁（442.25 万股、成本 100 元）是两个已知的节奏锚点，买点应围绕事件窗口分布</w:t>
      </w:r>
      <w:fldSimple w:instr="NOTEREF _Ref_Footnote_121 \h \f">
        <w:r>
          <w:rPr>
            <w:vertAlign w:val="superscript"/>
          </w:rPr>
          <w:t>121</w:t>
        </w:r>
      </w:fldSimple>
      <w:r>
        <w:t xml:space="preserve"> </w:t>
      </w:r>
      <w:fldSimple w:instr="NOTEREF _Ref_Footnote_116 \h \f">
        <w:r>
          <w:rPr>
            <w:vertAlign w:val="superscript"/>
          </w:rPr>
          <w:t>116</w:t>
        </w:r>
      </w:fldSimple>
      <w:r>
        <w:t xml:space="preserve">。方案博取的三重逻辑为：利基涨价持续（公司判断 SLC NAND 下半年价格趋势有望继续向上，Gartner 预计 NAND 涨价周期有望延续至 2027 年以后</w:t>
      </w:r>
      <w:r>
        <w:rPr>
          <w:vertAlign w:val="superscript"/>
        </w:rPr>
        <w:footnoteReference w:id="134"/>
      </w:r>
      <w:r>
        <w:t xml:space="preserve">）、业绩上修（华龙证券 2026E 预测 6.73 亿元，较一致预期 6.12 亿元高约 10%</w:t>
      </w:r>
      <w:fldSimple w:instr="NOTEREF _Ref_Footnote_12 \h \f">
        <w:r>
          <w:rPr>
            <w:vertAlign w:val="superscript"/>
          </w:rPr>
          <w:t>12</w:t>
        </w:r>
      </w:fldSimple>
      <w:r>
        <w:t xml:space="preserve"> </w:t>
      </w:r>
      <w:fldSimple w:instr="NOTEREF _Ref_Footnote_133 \h \f">
        <w:r>
          <w:rPr>
            <w:vertAlign w:val="superscript"/>
          </w:rPr>
          <w:t>133</w:t>
        </w:r>
      </w:fldSimple>
      <w:r>
        <w:t xml:space="preserve">）、滞涨补涨（东芯 YTD 仅 +3.9%，远落后普冉股份 +313%、兆易创新 +140%</w:t>
      </w:r>
      <w:fldSimple w:instr="NOTEREF _Ref_Footnote_8 \h \f">
        <w:r>
          <w:rPr>
            <w:vertAlign w:val="superscript"/>
          </w:rPr>
          <w:t>8</w:t>
        </w:r>
      </w:fldSimple>
      <w:r>
        <w:t xml:space="preserve">）。需同时承认，三重逻辑均属动量逻辑而非安全边际逻辑，故必须以纪律约束仓位。</w:t>
      </w:r>
    </w:p>
    <w:bookmarkEnd w:id="103"/>
    <w:bookmarkStart w:id="104" w:name="仓位框架目标仓位上限分档与既有持仓的摊薄定位"/>
    <w:p>
      <w:pPr>
        <w:pStyle w:val="Heading4"/>
      </w:pPr>
      <w:r>
        <w:t xml:space="preserve">8.1.2 仓位框架：目标仓位上限分档与既有持仓的摊薄定位</w:t>
      </w:r>
    </w:p>
    <w:p>
      <w:pPr>
        <w:pStyle w:val="FirstParagraph"/>
      </w:pPr>
      <w:r>
        <w:t xml:space="preserve">仓位上限按单票市值占组合比例分三档：</w:t>
      </w:r>
      <w:r>
        <w:rPr>
          <w:bCs/>
          <w:b/>
        </w:rPr>
        <w:t xml:space="preserve">保守 5%、中性 10%、激进 15%</w:t>
      </w:r>
      <w:r>
        <w:t xml:space="preserve">。本文补仓股数按用户既有持仓规模设计：既有 1600 股（市值约 21.8 万元）＋计划新增 3200 股（约 34.4 万元），全部执行后投入约 56.5 万元，倒推组合规模门槛为保守档约 1130 万元、中性档约 565 万元、激进档约 377 万元。组合规模不足者应按公式同比压缩：每批股数＝组合市值 × 目标比例 × 该批资金占比 ÷ 该批触发价。既有持仓成本 138.272 元恰处 MA120（138.7 元）附近，浮亏仅约 1.1%，定位为</w:t>
      </w:r>
      <w:r>
        <w:rPr>
          <w:bCs/>
          <w:b/>
        </w:rPr>
        <w:t xml:space="preserve">底仓</w:t>
      </w:r>
      <w:r>
        <w:t xml:space="preserve">：不割肉、不急于摊薄，待触发价出现后按批执行</w:t>
      </w:r>
      <w:fldSimple w:instr="NOTEREF _Ref_Footnote_3 \h \f">
        <w:r>
          <w:rPr>
            <w:vertAlign w:val="superscript"/>
          </w:rPr>
          <w:t>3</w:t>
        </w:r>
      </w:fldSimple>
      <w:r>
        <w:t xml:space="preserve">。</w:t>
      </w:r>
    </w:p>
    <w:bookmarkEnd w:id="104"/>
    <w:bookmarkEnd w:id="105"/>
    <w:bookmarkStart w:id="108" w:name="分批建仓计划"/>
    <w:p>
      <w:pPr>
        <w:pStyle w:val="Heading3"/>
      </w:pPr>
      <w:r>
        <w:t xml:space="preserve">8.2 分批建仓计划</w:t>
      </w:r>
    </w:p>
    <w:bookmarkStart w:id="106" w:name="四批触发位1203-元1103-元1003-元极端右侧批"/>
    <w:p>
      <w:pPr>
        <w:pStyle w:val="Heading4"/>
      </w:pPr>
      <w:r>
        <w:t xml:space="preserve">8.2.1 四批触发位：120±3 元／110±3 元／100±3 元＋极端右侧批</w:t>
      </w:r>
    </w:p>
    <w:p>
      <w:pPr>
        <w:pStyle w:val="FirstParagraph"/>
      </w:pPr>
      <w:r>
        <w:t xml:space="preserve">触发位锚定第 6 章价位地图：第一批对应 6 月平台（122—135 元）下沿与 6/8 低点 116.74 元上方；第二批对应 4—5 月整理密集区；第三批对应控股股东受让价 100 元、4/2 低点 104.01 元与基准情景估值锚上沿 106 元的共振区；极端批应对”跌过头”或”跌不到”两种意外</w:t>
      </w:r>
      <w:fldSimple w:instr="NOTEREF _Ref_Footnote_3 \h \f">
        <w:r>
          <w:rPr>
            <w:vertAlign w:val="superscript"/>
          </w:rPr>
          <w:t>3</w:t>
        </w:r>
      </w:fldSimple>
      <w:r>
        <w:t xml:space="preserve"> </w:t>
      </w:r>
      <w:fldSimple w:instr="NOTEREF _Ref_Footnote_116 \h \f">
        <w:r>
          <w:rPr>
            <w:vertAlign w:val="superscript"/>
          </w:rPr>
          <w:t>116</w:t>
        </w:r>
      </w:fldSimple>
      <w:r>
        <w:t xml:space="preserve">。</w:t>
      </w:r>
    </w:p>
    <w:p>
      <w:pPr>
        <w:pStyle w:val="BodyText"/>
      </w:pPr>
      <w:r>
        <w:rPr>
          <w:bCs/>
          <w:b/>
        </w:rPr>
        <w:t xml:space="preserve">表 8-1 四批建仓计划表（以既有 1600 股为参照系）</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批次</w:t>
            </w:r>
          </w:p>
        </w:tc>
        <w:tc>
          <w:tcPr/>
          <w:p>
            <w:pPr>
              <w:pStyle w:val="Compact"/>
              <w:jc w:val="left"/>
            </w:pPr>
            <w:r>
              <w:t xml:space="preserve">触发条件（信号→动作）</w:t>
            </w:r>
          </w:p>
        </w:tc>
        <w:tc>
          <w:tcPr/>
          <w:p>
            <w:pPr>
              <w:pStyle w:val="Compact"/>
              <w:jc w:val="left"/>
            </w:pPr>
            <w:r>
              <w:t xml:space="preserve">买入价位</w:t>
            </w:r>
          </w:p>
        </w:tc>
        <w:tc>
          <w:tcPr/>
          <w:p>
            <w:pPr>
              <w:pStyle w:val="Compact"/>
              <w:jc w:val="left"/>
            </w:pPr>
            <w:r>
              <w:t xml:space="preserve">仓位比例（占计划新增资金）</w:t>
            </w:r>
          </w:p>
        </w:tc>
        <w:tc>
          <w:tcPr/>
          <w:p>
            <w:pPr>
              <w:pStyle w:val="Compact"/>
              <w:jc w:val="left"/>
            </w:pPr>
            <w:r>
              <w:t xml:space="preserve">对应股数·金额</w:t>
            </w:r>
          </w:p>
        </w:tc>
        <w:tc>
          <w:tcPr/>
          <w:p>
            <w:pPr>
              <w:pStyle w:val="Compact"/>
              <w:jc w:val="left"/>
            </w:pPr>
            <w:r>
              <w:t xml:space="preserve">逻辑依据</w:t>
            </w:r>
          </w:p>
        </w:tc>
      </w:tr>
      <w:tr>
        <w:tc>
          <w:tcPr/>
          <w:p>
            <w:pPr>
              <w:pStyle w:val="Compact"/>
              <w:jc w:val="left"/>
            </w:pPr>
            <w:r>
              <w:t xml:space="preserve">第一批</w:t>
            </w:r>
          </w:p>
        </w:tc>
        <w:tc>
          <w:tcPr/>
          <w:p>
            <w:pPr>
              <w:pStyle w:val="Compact"/>
              <w:jc w:val="left"/>
            </w:pPr>
            <w:r>
              <w:t xml:space="preserve">盘中触及或收盘落入 117—123 元，且当日非放量跌停→次日执行</w:t>
            </w:r>
          </w:p>
        </w:tc>
        <w:tc>
          <w:tcPr/>
          <w:p>
            <w:pPr>
              <w:pStyle w:val="Compact"/>
              <w:jc w:val="left"/>
            </w:pPr>
            <w:r>
              <w:t xml:space="preserve">120±3 元</w:t>
            </w:r>
          </w:p>
        </w:tc>
        <w:tc>
          <w:tcPr/>
          <w:p>
            <w:pPr>
              <w:pStyle w:val="Compact"/>
              <w:jc w:val="left"/>
            </w:pPr>
            <w:r>
              <w:t xml:space="preserve">约 28%</w:t>
            </w:r>
          </w:p>
        </w:tc>
        <w:tc>
          <w:tcPr/>
          <w:p>
            <w:pPr>
              <w:pStyle w:val="Compact"/>
              <w:jc w:val="left"/>
            </w:pPr>
            <w:r>
              <w:t xml:space="preserve">800 股／约 9.6 万元</w:t>
            </w:r>
          </w:p>
        </w:tc>
        <w:tc>
          <w:tcPr/>
          <w:p>
            <w:pPr>
              <w:pStyle w:val="Compact"/>
              <w:jc w:val="left"/>
            </w:pPr>
            <w:r>
              <w:t xml:space="preserve">6 月平台下沿，主升浪启动区的第一支撑</w:t>
            </w:r>
            <w:r>
              <w:t xml:space="preserve"> </w:t>
            </w:r>
            <w:fldSimple w:instr="NOTEREF _Ref_Footnote_3 \h \f">
              <w:r>
                <w:rPr>
                  <w:vertAlign w:val="superscript"/>
                </w:rPr>
                <w:t>3</w:t>
              </w:r>
            </w:fldSimple>
          </w:p>
        </w:tc>
      </w:tr>
      <w:tr>
        <w:tc>
          <w:tcPr/>
          <w:p>
            <w:pPr>
              <w:pStyle w:val="Compact"/>
              <w:jc w:val="left"/>
            </w:pPr>
            <w:r>
              <w:t xml:space="preserve">第二批</w:t>
            </w:r>
          </w:p>
        </w:tc>
        <w:tc>
          <w:tcPr/>
          <w:p>
            <w:pPr>
              <w:pStyle w:val="Compact"/>
              <w:jc w:val="left"/>
            </w:pPr>
            <w:r>
              <w:t xml:space="preserve">落入 107—113 元→执行；若同步出现融资余额回落至 30 亿元下方→额度可上浮 50%</w:t>
            </w:r>
          </w:p>
        </w:tc>
        <w:tc>
          <w:tcPr/>
          <w:p>
            <w:pPr>
              <w:pStyle w:val="Compact"/>
              <w:jc w:val="left"/>
            </w:pPr>
            <w:r>
              <w:t xml:space="preserve">110±3 元</w:t>
            </w:r>
          </w:p>
        </w:tc>
        <w:tc>
          <w:tcPr/>
          <w:p>
            <w:pPr>
              <w:pStyle w:val="Compact"/>
              <w:jc w:val="left"/>
            </w:pPr>
            <w:r>
              <w:t xml:space="preserve">约 26%</w:t>
            </w:r>
          </w:p>
        </w:tc>
        <w:tc>
          <w:tcPr/>
          <w:p>
            <w:pPr>
              <w:pStyle w:val="Compact"/>
              <w:jc w:val="left"/>
            </w:pPr>
            <w:r>
              <w:t xml:space="preserve">800 股／约 8.8 万元</w:t>
            </w:r>
          </w:p>
        </w:tc>
        <w:tc>
          <w:tcPr/>
          <w:p>
            <w:pPr>
              <w:pStyle w:val="Compact"/>
              <w:jc w:val="left"/>
            </w:pPr>
            <w:r>
              <w:t xml:space="preserve">4—5 月整理区，逼近估值锚上沿 106 元</w:t>
            </w:r>
            <w:r>
              <w:t xml:space="preserve"> </w:t>
            </w:r>
            <w:fldSimple w:instr="NOTEREF _Ref_Footnote_3 \h \f">
              <w:r>
                <w:rPr>
                  <w:vertAlign w:val="superscript"/>
                </w:rPr>
                <w:t>3</w:t>
              </w:r>
            </w:fldSimple>
            <w:r>
              <w:t xml:space="preserve"> </w:t>
            </w:r>
            <w:fldSimple w:instr="NOTEREF _Ref_Footnote_133 \h \f">
              <w:r>
                <w:rPr>
                  <w:vertAlign w:val="superscript"/>
                </w:rPr>
                <w:t>133</w:t>
              </w:r>
            </w:fldSimple>
          </w:p>
        </w:tc>
      </w:tr>
      <w:tr>
        <w:tc>
          <w:tcPr/>
          <w:p>
            <w:pPr>
              <w:pStyle w:val="Compact"/>
              <w:jc w:val="left"/>
            </w:pPr>
            <w:r>
              <w:t xml:space="preserve">第三批</w:t>
            </w:r>
          </w:p>
        </w:tc>
        <w:tc>
          <w:tcPr/>
          <w:p>
            <w:pPr>
              <w:pStyle w:val="Compact"/>
              <w:jc w:val="left"/>
            </w:pPr>
            <w:r>
              <w:t xml:space="preserve">落入 97—103 元→执行</w:t>
            </w:r>
          </w:p>
        </w:tc>
        <w:tc>
          <w:tcPr/>
          <w:p>
            <w:pPr>
              <w:pStyle w:val="Compact"/>
              <w:jc w:val="left"/>
            </w:pPr>
            <w:r>
              <w:t xml:space="preserve">100±3 元</w:t>
            </w:r>
          </w:p>
        </w:tc>
        <w:tc>
          <w:tcPr/>
          <w:p>
            <w:pPr>
              <w:pStyle w:val="Compact"/>
              <w:jc w:val="left"/>
            </w:pPr>
            <w:r>
              <w:t xml:space="preserve">约 46%</w:t>
            </w:r>
          </w:p>
        </w:tc>
        <w:tc>
          <w:tcPr/>
          <w:p>
            <w:pPr>
              <w:pStyle w:val="Compact"/>
              <w:jc w:val="left"/>
            </w:pPr>
            <w:r>
              <w:t xml:space="preserve">1600 股／约 16.0 万元</w:t>
            </w:r>
          </w:p>
        </w:tc>
        <w:tc>
          <w:tcPr/>
          <w:p>
            <w:pPr>
              <w:pStyle w:val="Compact"/>
              <w:jc w:val="left"/>
            </w:pPr>
            <w:r>
              <w:t xml:space="preserve">控股股东受让价 100 元＋整数关口＋4/2 低点 104.01 元，产业资本成本锚</w:t>
            </w:r>
            <w:r>
              <w:t xml:space="preserve"> </w:t>
            </w:r>
            <w:fldSimple w:instr="NOTEREF _Ref_Footnote_116 \h \f">
              <w:r>
                <w:rPr>
                  <w:vertAlign w:val="superscript"/>
                </w:rPr>
                <w:t>116</w:t>
              </w:r>
            </w:fldSimple>
            <w:r>
              <w:t xml:space="preserve"> </w:t>
            </w:r>
            <w:fldSimple w:instr="NOTEREF _Ref_Footnote_3 \h \f">
              <w:r>
                <w:rPr>
                  <w:vertAlign w:val="superscript"/>
                </w:rPr>
                <w:t>3</w:t>
              </w:r>
            </w:fldSimple>
          </w:p>
        </w:tc>
      </w:tr>
      <w:tr>
        <w:tc>
          <w:tcPr/>
          <w:p>
            <w:pPr>
              <w:pStyle w:val="Compact"/>
              <w:jc w:val="left"/>
            </w:pPr>
            <w:r>
              <w:t xml:space="preserve">极端批</w:t>
            </w:r>
          </w:p>
        </w:tc>
        <w:tc>
          <w:tcPr/>
          <w:p>
            <w:pPr>
              <w:pStyle w:val="Compact"/>
              <w:jc w:val="left"/>
            </w:pPr>
            <w:r>
              <w:t xml:space="preserve">二选一：①跌破 100 元创年内新低后不左侧接刀，待”单日放量阳线收复 100 元”或”主力连续 2 日净流入转正＋日成交缩至 1500 万股以下”→右侧执行；②若始终未触及 120 元且 8/22 半年报确认基本面→剩余额度转右侧执行</w:t>
            </w:r>
          </w:p>
        </w:tc>
        <w:tc>
          <w:tcPr/>
          <w:p>
            <w:pPr>
              <w:pStyle w:val="Compact"/>
              <w:jc w:val="left"/>
            </w:pPr>
            <w:r>
              <w:t xml:space="preserve">不预设价位，以信号出现时市价为准</w:t>
            </w:r>
          </w:p>
        </w:tc>
        <w:tc>
          <w:tcPr/>
          <w:p>
            <w:pPr>
              <w:pStyle w:val="Compact"/>
              <w:jc w:val="left"/>
            </w:pPr>
            <w:r>
              <w:t xml:space="preserve">不设独立额度，动用未触发批次的剩余额度</w:t>
            </w:r>
          </w:p>
        </w:tc>
        <w:tc>
          <w:tcPr/>
          <w:p>
            <w:pPr>
              <w:pStyle w:val="Compact"/>
              <w:jc w:val="left"/>
            </w:pPr>
            <w:r>
              <w:t xml:space="preserve">视信号而定</w:t>
            </w:r>
          </w:p>
        </w:tc>
        <w:tc>
          <w:tcPr/>
          <w:p>
            <w:pPr>
              <w:pStyle w:val="Compact"/>
              <w:jc w:val="left"/>
            </w:pPr>
            <w:r>
              <w:t xml:space="preserve">恐慌下跌不接飞刀；同时避免”死等低价”踏空</w:t>
            </w:r>
            <w:r>
              <w:t xml:space="preserve"> </w:t>
            </w:r>
            <w:fldSimple w:instr="NOTEREF _Ref_Footnote_9 \h \f">
              <w:r>
                <w:rPr>
                  <w:vertAlign w:val="superscript"/>
                </w:rPr>
                <w:t>9</w:t>
              </w:r>
            </w:fldSimple>
            <w:r>
              <w:t xml:space="preserve"> </w:t>
            </w:r>
            <w:fldSimple w:instr="NOTEREF _Ref_Footnote_3 \h \f">
              <w:r>
                <w:rPr>
                  <w:vertAlign w:val="superscript"/>
                </w:rPr>
                <w:t>3</w:t>
              </w:r>
            </w:fldSimple>
          </w:p>
        </w:tc>
      </w:tr>
    </w:tbl>
    <w:p>
      <w:pPr>
        <w:pStyle w:val="BodyText"/>
      </w:pPr>
      <w:r>
        <w:t xml:space="preserve">上表的资金结构为倒金字塔（28%/26%/46%），依据是赔率随深度递增：100 元一线同时叠加产业资本真实成交成本（4 月询价转让 442.25 万股、6 家机构全额认购）、年内极端低点与估值锚三重支撑，是全部触发位中赔率最优的位置，故配置近一半额度</w:t>
      </w:r>
      <w:fldSimple w:instr="NOTEREF _Ref_Footnote_116 \h \f">
        <w:r>
          <w:rPr>
            <w:vertAlign w:val="superscript"/>
          </w:rPr>
          <w:t>116</w:t>
        </w:r>
      </w:fldSimple>
      <w:r>
        <w:t xml:space="preserve"> </w:t>
      </w:r>
      <w:fldSimple w:instr="NOTEREF _Ref_Footnote_96 \h \f">
        <w:r>
          <w:rPr>
            <w:vertAlign w:val="superscript"/>
          </w:rPr>
          <w:t>96</w:t>
        </w:r>
      </w:fldSimple>
      <w:r>
        <w:t xml:space="preserve">。极端批不预设价位的理由在于：跌破 100 元意味着估值锚失效，此时价格本身不再提供信息，只有量能与资金行为能确认底部；反之若股价始终强于预期，右侧信号（半年报确认＋收复 MA120）可替代价格信号，防止纪律异化为踏空。需强调，各批执行的前提是当时未出现 8.4 节的止损信号——触发价与止损证伪同时出现时，止损优先。</w:t>
      </w:r>
    </w:p>
    <w:bookmarkEnd w:id="106"/>
    <w:bookmarkStart w:id="107" w:name="时间锚点调整822-半年报1013-解禁与长鑫挂牌的应对"/>
    <w:p>
      <w:pPr>
        <w:pStyle w:val="Heading4"/>
      </w:pPr>
      <w:r>
        <w:t xml:space="preserve">8.2.2 时间锚点调整：8/22 半年报、10/13 解禁与长鑫挂牌的应对</w:t>
      </w:r>
    </w:p>
    <w:p>
      <w:pPr>
        <w:pStyle w:val="FirstParagraph"/>
      </w:pPr>
      <w:r>
        <w:t xml:space="preserve">价位触发之外叠加三条日历规则。</w:t>
      </w:r>
      <w:r>
        <w:rPr>
          <w:bCs/>
          <w:b/>
        </w:rPr>
        <w:t xml:space="preserve">其一，8/22 半年报前轻仓试探、确认后加码</w:t>
      </w:r>
      <w:r>
        <w:t xml:space="preserve">：半年报预约 8/22 披露，业绩预告截至 7/17 未出，Q2 单季盈利幅度未知</w:t>
      </w:r>
      <w:fldSimple w:instr="NOTEREF _Ref_Footnote_121 \h \f">
        <w:r>
          <w:rPr>
            <w:vertAlign w:val="superscript"/>
          </w:rPr>
          <w:t>121</w:t>
        </w:r>
      </w:fldSimple>
      <w:r>
        <w:t xml:space="preserve">；故披露前仅执行”已跌到触发价”的批次，不主动追价，总仓位控制在目标上限的六成以内。披露后若满足”Q2 单季归母净利≥1.5 亿元、毛利率≥50%、砺算权益法亏损环比收窄”三项中的两项→允许将未触发批次的额度上移至 135—140 元区间右侧执行；若毛利率低于 45% 或 Q2 净利不足 1.0 亿元→冻结全部未执行批次，转入止损观察（一致预期隐含 Q2—Q4 合计约 4.7 亿元利润，Q2 是线性外推的关键校验点</w:t>
      </w:r>
      <w:fldSimple w:instr="NOTEREF _Ref_Footnote_133 \h \f">
        <w:r>
          <w:rPr>
            <w:vertAlign w:val="superscript"/>
          </w:rPr>
          <w:t>133</w:t>
        </w:r>
      </w:fldSimple>
      <w:r>
        <w:t xml:space="preserve">）。</w:t>
      </w:r>
      <w:r>
        <w:rPr>
          <w:bCs/>
          <w:b/>
        </w:rPr>
        <w:t xml:space="preserve">其二，10/13 解禁前后利用供给冲击低吸</w:t>
      </w:r>
      <w:r>
        <w:t xml:space="preserve">：442.25 万股受让成本 100 元，以现价计浮盈约 36.5%，机构存在兑现动机</w:t>
      </w:r>
      <w:fldSimple w:instr="NOTEREF _Ref_Footnote_116 \h \f">
        <w:r>
          <w:rPr>
            <w:vertAlign w:val="superscript"/>
          </w:rPr>
          <w:t>116</w:t>
        </w:r>
      </w:fldSimple>
      <w:r>
        <w:t xml:space="preserve">；若解禁前两周因供给担忧下跌并与第二、三批触发位重合，按计划执行、不因事件回避——供给冲击造成的下跌恰是低吸窗口；解禁落地且未见大额减持公告，则视为利空出尽，可右侧补入半批。</w:t>
      </w:r>
      <w:r>
        <w:rPr>
          <w:bCs/>
          <w:b/>
        </w:rPr>
        <w:t xml:space="preserve">其三，长鑫科技挂牌（预计 7 月下旬）的情绪波动应对</w:t>
      </w:r>
      <w:r>
        <w:t xml:space="preserve">：其 278.03 倍发行 PE 与约 5792 亿元发行市值是板块情绪放大器而非东芯基本面变量</w:t>
      </w:r>
      <w:fldSimple w:instr="NOTEREF _Ref_Footnote_99 \h \f">
        <w:r>
          <w:rPr>
            <w:vertAlign w:val="superscript"/>
          </w:rPr>
          <w:t>99</w:t>
        </w:r>
      </w:fldSimple>
      <w:r>
        <w:t xml:space="preserve">；若挂牌引发板块分流、东芯单日跌超 5% 且无个股利空→允许提前执行第一批额度的一半；若挂牌带动板块整体大涨→维持原计划，不追高。</w:t>
      </w:r>
    </w:p>
    <w:bookmarkEnd w:id="107"/>
    <w:bookmarkEnd w:id="108"/>
    <w:bookmarkStart w:id="110" w:name="既有持仓处理"/>
    <w:p>
      <w:pPr>
        <w:pStyle w:val="Heading3"/>
      </w:pPr>
      <w:r>
        <w:t xml:space="preserve">8.3 既有持仓处理</w:t>
      </w:r>
    </w:p>
    <w:bookmarkStart w:id="109" w:name="元-1600-股不割肉按批摊薄测算表"/>
    <w:p>
      <w:pPr>
        <w:pStyle w:val="Heading4"/>
      </w:pPr>
      <w:r>
        <w:t xml:space="preserve">8.3.1 138.272 元 × 1600 股：不割肉，按批摊薄（测算表）</w:t>
      </w:r>
    </w:p>
    <w:p>
      <w:pPr>
        <w:pStyle w:val="FirstParagraph"/>
      </w:pPr>
      <w:r>
        <w:t xml:space="preserve">既有持仓现价浮亏约 0.28 万元（约 1.1%），不割肉的依据是：基本面拐点真实（Q1 归母净利 1.38 亿元扭亏</w:t>
      </w:r>
      <w:fldSimple w:instr="NOTEREF _Ref_Footnote_5 \h \f">
        <w:r>
          <w:rPr>
            <w:vertAlign w:val="superscript"/>
          </w:rPr>
          <w:t>5</w:t>
        </w:r>
      </w:fldSimple>
      <w:r>
        <w:t xml:space="preserve">）、浮亏幅度有限、成本位恰处 MA120 与 6 月平台上沿的技术敏感区</w:t>
      </w:r>
      <w:fldSimple w:instr="NOTEREF _Ref_Footnote_3 \h \f">
        <w:r>
          <w:rPr>
            <w:vertAlign w:val="superscript"/>
          </w:rPr>
          <w:t>3</w:t>
        </w:r>
      </w:fldSimple>
      <w:r>
        <w:t xml:space="preserve">。各批补仓触发后的成本摊薄测算如下。</w:t>
      </w:r>
    </w:p>
    <w:p>
      <w:pPr>
        <w:pStyle w:val="BodyText"/>
      </w:pPr>
      <w:r>
        <w:rPr>
          <w:bCs/>
          <w:b/>
        </w:rPr>
        <w:t xml:space="preserve">表 8-2 既有持仓分批补仓摊薄测算表（以 7/16 收盘 136.50 元为现价基准）</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方案</w:t>
            </w:r>
          </w:p>
        </w:tc>
        <w:tc>
          <w:tcPr/>
          <w:p>
            <w:pPr>
              <w:pStyle w:val="Compact"/>
              <w:jc w:val="left"/>
            </w:pPr>
            <w:r>
              <w:t xml:space="preserve">补仓路径</w:t>
            </w:r>
          </w:p>
        </w:tc>
        <w:tc>
          <w:tcPr/>
          <w:p>
            <w:pPr>
              <w:pStyle w:val="Compact"/>
              <w:jc w:val="left"/>
            </w:pPr>
            <w:r>
              <w:t xml:space="preserve">累计股数</w:t>
            </w:r>
          </w:p>
        </w:tc>
        <w:tc>
          <w:tcPr/>
          <w:p>
            <w:pPr>
              <w:pStyle w:val="Compact"/>
              <w:jc w:val="left"/>
            </w:pPr>
            <w:r>
              <w:t xml:space="preserve">累计投入</w:t>
            </w:r>
          </w:p>
        </w:tc>
        <w:tc>
          <w:tcPr/>
          <w:p>
            <w:pPr>
              <w:pStyle w:val="Compact"/>
              <w:jc w:val="left"/>
            </w:pPr>
            <w:r>
              <w:t xml:space="preserve">综合成本</w:t>
            </w:r>
          </w:p>
        </w:tc>
        <w:tc>
          <w:tcPr/>
          <w:p>
            <w:pPr>
              <w:pStyle w:val="Compact"/>
              <w:jc w:val="left"/>
            </w:pPr>
            <w:r>
              <w:t xml:space="preserve">成本降幅</w:t>
            </w:r>
          </w:p>
        </w:tc>
        <w:tc>
          <w:tcPr/>
          <w:p>
            <w:pPr>
              <w:pStyle w:val="Compact"/>
              <w:jc w:val="left"/>
            </w:pPr>
            <w:r>
              <w:t xml:space="preserve">现价对应浮动盈亏</w:t>
            </w:r>
          </w:p>
        </w:tc>
        <w:tc>
          <w:tcPr/>
          <w:p>
            <w:pPr>
              <w:pStyle w:val="Compact"/>
              <w:jc w:val="left"/>
            </w:pPr>
            <w:r>
              <w:t xml:space="preserve">跌至最低触发价时解套所需涨幅（与不补仓对照）</w:t>
            </w:r>
          </w:p>
        </w:tc>
      </w:tr>
      <w:tr>
        <w:tc>
          <w:tcPr/>
          <w:p>
            <w:pPr>
              <w:pStyle w:val="Compact"/>
              <w:jc w:val="left"/>
            </w:pPr>
            <w:r>
              <w:t xml:space="preserve">现状</w:t>
            </w:r>
          </w:p>
        </w:tc>
        <w:tc>
          <w:tcPr/>
          <w:p>
            <w:pPr>
              <w:pStyle w:val="Compact"/>
              <w:jc w:val="left"/>
            </w:pPr>
            <w:r>
              <w:t xml:space="preserve">不补仓</w:t>
            </w:r>
          </w:p>
        </w:tc>
        <w:tc>
          <w:tcPr/>
          <w:p>
            <w:pPr>
              <w:pStyle w:val="Compact"/>
              <w:jc w:val="left"/>
            </w:pPr>
            <w:r>
              <w:t xml:space="preserve">1600 股</w:t>
            </w:r>
          </w:p>
        </w:tc>
        <w:tc>
          <w:tcPr/>
          <w:p>
            <w:pPr>
              <w:pStyle w:val="Compact"/>
              <w:jc w:val="left"/>
            </w:pPr>
            <w:r>
              <w:t xml:space="preserve">22.12 万元</w:t>
            </w:r>
          </w:p>
        </w:tc>
        <w:tc>
          <w:tcPr/>
          <w:p>
            <w:pPr>
              <w:pStyle w:val="Compact"/>
              <w:jc w:val="left"/>
            </w:pPr>
            <w:r>
              <w:t xml:space="preserve">138.27 元</w:t>
            </w:r>
          </w:p>
        </w:tc>
        <w:tc>
          <w:tcPr/>
          <w:p>
            <w:pPr>
              <w:pStyle w:val="Compact"/>
              <w:jc w:val="left"/>
            </w:pPr>
            <w:r>
              <w:t xml:space="preserve">—</w:t>
            </w:r>
          </w:p>
        </w:tc>
        <w:tc>
          <w:tcPr/>
          <w:p>
            <w:pPr>
              <w:pStyle w:val="Compact"/>
              <w:jc w:val="left"/>
            </w:pPr>
            <w:r>
              <w:t xml:space="preserve">-0.28 万元</w:t>
            </w:r>
          </w:p>
        </w:tc>
        <w:tc>
          <w:tcPr/>
          <w:p>
            <w:pPr>
              <w:pStyle w:val="Compact"/>
              <w:jc w:val="left"/>
            </w:pPr>
            <w:r>
              <w:t xml:space="preserve">—</w:t>
            </w:r>
          </w:p>
        </w:tc>
      </w:tr>
      <w:tr>
        <w:tc>
          <w:tcPr/>
          <w:p>
            <w:pPr>
              <w:pStyle w:val="Compact"/>
              <w:jc w:val="left"/>
            </w:pPr>
            <w:r>
              <w:t xml:space="preserve">方案一</w:t>
            </w:r>
          </w:p>
        </w:tc>
        <w:tc>
          <w:tcPr/>
          <w:p>
            <w:pPr>
              <w:pStyle w:val="Compact"/>
              <w:jc w:val="left"/>
            </w:pPr>
            <w:r>
              <w:t xml:space="preserve">+800 股</w:t>
            </w:r>
            <w:r>
              <w:t xml:space="preserve"> </w:t>
            </w:r>
            <w:r>
              <w:t xml:space="preserve">@120</w:t>
            </w:r>
            <w:r>
              <w:t xml:space="preserve"> </w:t>
            </w:r>
            <w:r>
              <w:t xml:space="preserve">元</w:t>
            </w:r>
          </w:p>
        </w:tc>
        <w:tc>
          <w:tcPr/>
          <w:p>
            <w:pPr>
              <w:pStyle w:val="Compact"/>
              <w:jc w:val="left"/>
            </w:pPr>
            <w:r>
              <w:t xml:space="preserve">2400 股</w:t>
            </w:r>
          </w:p>
        </w:tc>
        <w:tc>
          <w:tcPr/>
          <w:p>
            <w:pPr>
              <w:pStyle w:val="Compact"/>
              <w:jc w:val="left"/>
            </w:pPr>
            <w:r>
              <w:t xml:space="preserve">31.72 万元</w:t>
            </w:r>
          </w:p>
        </w:tc>
        <w:tc>
          <w:tcPr/>
          <w:p>
            <w:pPr>
              <w:pStyle w:val="Compact"/>
              <w:jc w:val="left"/>
            </w:pPr>
            <w:r>
              <w:t xml:space="preserve">132.18 元</w:t>
            </w:r>
          </w:p>
        </w:tc>
        <w:tc>
          <w:tcPr/>
          <w:p>
            <w:pPr>
              <w:pStyle w:val="Compact"/>
              <w:jc w:val="left"/>
            </w:pPr>
            <w:r>
              <w:t xml:space="preserve">-4.4%</w:t>
            </w:r>
          </w:p>
        </w:tc>
        <w:tc>
          <w:tcPr/>
          <w:p>
            <w:pPr>
              <w:pStyle w:val="Compact"/>
              <w:jc w:val="left"/>
            </w:pPr>
            <w:r>
              <w:t xml:space="preserve">+1.04 万元</w:t>
            </w:r>
          </w:p>
        </w:tc>
        <w:tc>
          <w:tcPr/>
          <w:p>
            <w:pPr>
              <w:pStyle w:val="Compact"/>
              <w:jc w:val="left"/>
            </w:pPr>
            <w:r>
              <w:t xml:space="preserve">跌至 120 元后需 +10.2%（不补仓需 +15.2%）</w:t>
            </w:r>
          </w:p>
        </w:tc>
      </w:tr>
      <w:tr>
        <w:tc>
          <w:tcPr/>
          <w:p>
            <w:pPr>
              <w:pStyle w:val="Compact"/>
              <w:jc w:val="left"/>
            </w:pPr>
            <w:r>
              <w:t xml:space="preserve">方案二</w:t>
            </w:r>
          </w:p>
        </w:tc>
        <w:tc>
          <w:tcPr/>
          <w:p>
            <w:pPr>
              <w:pStyle w:val="Compact"/>
              <w:jc w:val="left"/>
            </w:pPr>
            <w:r>
              <w:t xml:space="preserve">再 +800 股</w:t>
            </w:r>
            <w:r>
              <w:t xml:space="preserve"> </w:t>
            </w:r>
            <w:r>
              <w:t xml:space="preserve">@110</w:t>
            </w:r>
            <w:r>
              <w:t xml:space="preserve"> </w:t>
            </w:r>
            <w:r>
              <w:t xml:space="preserve">元</w:t>
            </w:r>
          </w:p>
        </w:tc>
        <w:tc>
          <w:tcPr/>
          <w:p>
            <w:pPr>
              <w:pStyle w:val="Compact"/>
              <w:jc w:val="left"/>
            </w:pPr>
            <w:r>
              <w:t xml:space="preserve">3200 股</w:t>
            </w:r>
          </w:p>
        </w:tc>
        <w:tc>
          <w:tcPr/>
          <w:p>
            <w:pPr>
              <w:pStyle w:val="Compact"/>
              <w:jc w:val="left"/>
            </w:pPr>
            <w:r>
              <w:t xml:space="preserve">40.52 万元</w:t>
            </w:r>
          </w:p>
        </w:tc>
        <w:tc>
          <w:tcPr/>
          <w:p>
            <w:pPr>
              <w:pStyle w:val="Compact"/>
              <w:jc w:val="left"/>
            </w:pPr>
            <w:r>
              <w:t xml:space="preserve">126.64 元</w:t>
            </w:r>
          </w:p>
        </w:tc>
        <w:tc>
          <w:tcPr/>
          <w:p>
            <w:pPr>
              <w:pStyle w:val="Compact"/>
              <w:jc w:val="left"/>
            </w:pPr>
            <w:r>
              <w:t xml:space="preserve">-8.4%</w:t>
            </w:r>
          </w:p>
        </w:tc>
        <w:tc>
          <w:tcPr/>
          <w:p>
            <w:pPr>
              <w:pStyle w:val="Compact"/>
              <w:jc w:val="left"/>
            </w:pPr>
            <w:r>
              <w:t xml:space="preserve">+3.16 万元</w:t>
            </w:r>
          </w:p>
        </w:tc>
        <w:tc>
          <w:tcPr/>
          <w:p>
            <w:pPr>
              <w:pStyle w:val="Compact"/>
              <w:jc w:val="left"/>
            </w:pPr>
            <w:r>
              <w:t xml:space="preserve">跌至 110 元后需 +15.1%（不补仓需 +25.7%）</w:t>
            </w:r>
          </w:p>
        </w:tc>
      </w:tr>
      <w:tr>
        <w:tc>
          <w:tcPr/>
          <w:p>
            <w:pPr>
              <w:pStyle w:val="Compact"/>
              <w:jc w:val="left"/>
            </w:pPr>
            <w:r>
              <w:t xml:space="preserve">方案三</w:t>
            </w:r>
          </w:p>
        </w:tc>
        <w:tc>
          <w:tcPr/>
          <w:p>
            <w:pPr>
              <w:pStyle w:val="Compact"/>
              <w:jc w:val="left"/>
            </w:pPr>
            <w:r>
              <w:t xml:space="preserve">再 +1600 股</w:t>
            </w:r>
            <w:r>
              <w:t xml:space="preserve"> </w:t>
            </w:r>
            <w:r>
              <w:t xml:space="preserve">@100</w:t>
            </w:r>
            <w:r>
              <w:t xml:space="preserve"> </w:t>
            </w:r>
            <w:r>
              <w:t xml:space="preserve">元</w:t>
            </w:r>
          </w:p>
        </w:tc>
        <w:tc>
          <w:tcPr/>
          <w:p>
            <w:pPr>
              <w:pStyle w:val="Compact"/>
              <w:jc w:val="left"/>
            </w:pPr>
            <w:r>
              <w:t xml:space="preserve">4800 股</w:t>
            </w:r>
          </w:p>
        </w:tc>
        <w:tc>
          <w:tcPr/>
          <w:p>
            <w:pPr>
              <w:pStyle w:val="Compact"/>
              <w:jc w:val="left"/>
            </w:pPr>
            <w:r>
              <w:t xml:space="preserve">56.52 万元</w:t>
            </w:r>
          </w:p>
        </w:tc>
        <w:tc>
          <w:tcPr/>
          <w:p>
            <w:pPr>
              <w:pStyle w:val="Compact"/>
              <w:jc w:val="left"/>
            </w:pPr>
            <w:r>
              <w:t xml:space="preserve">117.76 元</w:t>
            </w:r>
          </w:p>
        </w:tc>
        <w:tc>
          <w:tcPr/>
          <w:p>
            <w:pPr>
              <w:pStyle w:val="Compact"/>
              <w:jc w:val="left"/>
            </w:pPr>
            <w:r>
              <w:t xml:space="preserve">-14.8%</w:t>
            </w:r>
          </w:p>
        </w:tc>
        <w:tc>
          <w:tcPr/>
          <w:p>
            <w:pPr>
              <w:pStyle w:val="Compact"/>
              <w:jc w:val="left"/>
            </w:pPr>
            <w:r>
              <w:t xml:space="preserve">+9.00 万元</w:t>
            </w:r>
          </w:p>
        </w:tc>
        <w:tc>
          <w:tcPr/>
          <w:p>
            <w:pPr>
              <w:pStyle w:val="Compact"/>
              <w:jc w:val="left"/>
            </w:pPr>
            <w:r>
              <w:t xml:space="preserve">跌至 100 元后需 +17.8%（不补仓需 +38.3%）</w:t>
            </w:r>
          </w:p>
        </w:tc>
      </w:tr>
    </w:tbl>
    <w:p>
      <w:pPr>
        <w:pStyle w:val="BodyText"/>
      </w:pPr>
      <w:r>
        <w:t xml:space="preserve">注：投入与成本按成交金额精确计算（1600×138.272＋Σ补仓股数×触发价），未计佣金；解套涨幅＝综合成本 ÷ 最低触发价 − 1。</w:t>
      </w:r>
    </w:p>
    <w:p>
      <w:pPr>
        <w:pStyle w:val="BodyText"/>
      </w:pPr>
      <w:r>
        <w:t xml:space="preserve">摊薄的本质是”用新增资金换解套弹性”：方案三全部执行后综合成本降至 117.76 元，即便股价跌至 100 元，解套所需涨幅也从 +38.3% 收窄至 +17.8%，不足原要求的一半；而若股价未深跌、第三批未触发，底仓与已补批次在现价附近已接近盈亏平衡。但摊薄的代价必须同时明示：总投入由 22.1 万元升至 56.5 万元，若执行后股价继续跌至 90 元，持仓浮亏将扩大至约 -23.6%（约 -13.3 万元），绝对亏损额远超不补仓情形。</w:t>
      </w:r>
      <w:r>
        <w:rPr>
          <w:bCs/>
          <w:b/>
        </w:rPr>
        <w:t xml:space="preserve">摊薄只降低解套所需涨幅，同时放大风险敞口</w:t>
      </w:r>
      <w:r>
        <w:t xml:space="preserve">——这正是摊薄策略必须与单票仓位上限（8.4.2）和双轨止损（8.4.1）联用、且补仓必须等触发价而非提前的原因。</w:t>
      </w:r>
    </w:p>
    <w:bookmarkEnd w:id="109"/>
    <w:bookmarkEnd w:id="110"/>
    <w:bookmarkStart w:id="113" w:name="止损与风控纪律"/>
    <w:p>
      <w:pPr>
        <w:pStyle w:val="Heading3"/>
      </w:pPr>
      <w:r>
        <w:t xml:space="preserve">8.4 止损与风控纪律</w:t>
      </w:r>
    </w:p>
    <w:bookmarkStart w:id="111" w:name="逻辑止损与价格止损双轨"/>
    <w:p>
      <w:pPr>
        <w:pStyle w:val="Heading4"/>
      </w:pPr>
      <w:r>
        <w:t xml:space="preserve">8.4.1 逻辑止损与价格止损双轨</w:t>
      </w:r>
    </w:p>
    <w:p>
      <w:pPr>
        <w:pStyle w:val="FirstParagraph"/>
      </w:pPr>
      <w:r>
        <w:rPr>
          <w:bCs/>
          <w:b/>
        </w:rPr>
        <w:t xml:space="preserve">逻辑止损</w:t>
      </w:r>
      <w:r>
        <w:t xml:space="preserve">针对涨价周期证伪，任一信号触发→清掉全部已补批次、底仓减半，不问价位：①Q4 合约价环比走平或转跌——TrendForce 口径 Q3 NAND 合约价涨幅已收窄至 +10%~15%，若 9—10 月开启的 Q4 谈判进一步收窄至零以下，则”涨价持续”的核心假设不成立</w:t>
      </w:r>
      <w:fldSimple w:instr="NOTEREF _Ref_Footnote_122 \h \f">
        <w:r>
          <w:rPr>
            <w:vertAlign w:val="superscript"/>
          </w:rPr>
          <w:t>122</w:t>
        </w:r>
      </w:fldSimple>
      <w:r>
        <w:t xml:space="preserve">；②8/22 半年报毛利率低于 45%（Q1 为 53.17%）或 Q2 单季归母净利低于 1.0 亿元</w:t>
      </w:r>
      <w:fldSimple w:instr="NOTEREF _Ref_Footnote_5 \h \f">
        <w:r>
          <w:rPr>
            <w:vertAlign w:val="superscript"/>
          </w:rPr>
          <w:t>5</w:t>
        </w:r>
      </w:fldSimple>
      <w:r>
        <w:t xml:space="preserve"> </w:t>
      </w:r>
      <w:fldSimple w:instr="NOTEREF _Ref_Footnote_133 \h \f">
        <w:r>
          <w:rPr>
            <w:vertAlign w:val="superscript"/>
          </w:rPr>
          <w:t>133</w:t>
        </w:r>
      </w:fldSimple>
      <w:r>
        <w:t xml:space="preserve">；③海外原厂恢复利基产能、同业龙头指引下修等周期见顶旁证——当前机构分歧本就尖锐（伯恩斯坦预警涨势放缓，杰富瑞则认为供需紧张或延续至 2028），对分歧的跟踪重于对结论的站队</w:t>
      </w:r>
      <w:fldSimple w:instr="NOTEREF _Ref_Footnote_128 \h \f">
        <w:r>
          <w:rPr>
            <w:vertAlign w:val="superscript"/>
          </w:rPr>
          <w:t>128</w:t>
        </w:r>
      </w:fldSimple>
      <w:r>
        <w:t xml:space="preserve">。</w:t>
      </w:r>
      <w:r>
        <w:rPr>
          <w:bCs/>
          <w:b/>
        </w:rPr>
        <w:t xml:space="preserve">价格止损</w:t>
      </w:r>
      <w:r>
        <w:t xml:space="preserve">针对估值锚失效：连续 2 个交易日收盘低于 100 元，或单日收盘低于 97 元，且不同时满足极端批的企稳条件→已补仓位全部退出、底仓 1600 股减至 800 股；若跌破后缩量企稳（日成交低于 1500 万股＋连续 3 日收盘不创新低）→不执行价格止损，但也不补仓，转由极端批规则接管</w:t>
      </w:r>
      <w:fldSimple w:instr="NOTEREF _Ref_Footnote_3 \h \f">
        <w:r>
          <w:rPr>
            <w:vertAlign w:val="superscript"/>
          </w:rPr>
          <w:t>3</w:t>
        </w:r>
      </w:fldSimple>
      <w:r>
        <w:t xml:space="preserve">。</w:t>
      </w:r>
    </w:p>
    <w:bookmarkEnd w:id="111"/>
    <w:bookmarkStart w:id="112" w:name="仓位上限20cm-波动缓冲与禁止融资加仓"/>
    <w:p>
      <w:pPr>
        <w:pStyle w:val="Heading4"/>
      </w:pPr>
      <w:r>
        <w:t xml:space="preserve">8.4.2 仓位上限、20cm 波动缓冲与禁止融资加仓</w:t>
      </w:r>
    </w:p>
    <w:p>
      <w:pPr>
        <w:pStyle w:val="FirstParagraph"/>
      </w:pPr>
      <w:r>
        <w:t xml:space="preserve">三条硬性纪律。</w:t>
      </w:r>
      <w:r>
        <w:rPr>
          <w:bCs/>
          <w:b/>
        </w:rPr>
        <w:t xml:space="preserve">单票上限</w:t>
      </w:r>
      <w:r>
        <w:t xml:space="preserve">：保守 5%／中性 10%／激进 15%，超过上限的浮盈部分在反弹至 147—156 元压力带时分批兑现，再看好也不突破上限</w:t>
      </w:r>
      <w:fldSimple w:instr="NOTEREF _Ref_Footnote_3 \h \f">
        <w:r>
          <w:rPr>
            <w:vertAlign w:val="superscript"/>
          </w:rPr>
          <w:t>3</w:t>
        </w:r>
      </w:fldSimple>
      <w:r>
        <w:t xml:space="preserve">。</w:t>
      </w:r>
      <w:r>
        <w:rPr>
          <w:bCs/>
          <w:b/>
        </w:rPr>
        <w:t xml:space="preserve">20cm 缓冲</w:t>
      </w:r>
      <w:r>
        <w:t xml:space="preserve">：科创板单日涨跌幅 ±20%，7 月以来已出现 5 个单日跌幅超 5% 的交易日（7/1 -5.11%、7/2 -8.89%、7/10 -7.00%、7/13 -6.01%、7/16 -7.35%），10% 仓位对应单日最大组合冲击约 -2.0%；仓位设定须通过”连续两日 -20% 仍可承受”的压力测试，通不过则降档</w:t>
      </w:r>
      <w:fldSimple w:instr="NOTEREF _Ref_Footnote_3 \h \f">
        <w:r>
          <w:rPr>
            <w:vertAlign w:val="superscript"/>
          </w:rPr>
          <w:t>3</w:t>
        </w:r>
      </w:fldSimple>
      <w:r>
        <w:t xml:space="preserve">。</w:t>
      </w:r>
      <w:r>
        <w:rPr>
          <w:bCs/>
          <w:b/>
        </w:rPr>
        <w:t xml:space="preserve">禁止融资加仓</w:t>
      </w:r>
      <w:r>
        <w:t xml:space="preserve">：融资余额 33.53 亿元、占流通市值 4.86%、处近一年 80% 分位，下跌途中融资盘仍在逆势接刀（7/16 前 5 日融资净流入 1.14 亿元），杠杆盘互为对手盘、多杀多风险未释放；左侧分批建仓的持有期不确定，与融资利息成本不匹配，且 20cm 波动下融资仓位面临强制平仓螺旋</w:t>
      </w:r>
      <w:fldSimple w:instr="NOTEREF _Ref_Footnote_9 \h \f">
        <w:r>
          <w:rPr>
            <w:vertAlign w:val="superscript"/>
          </w:rPr>
          <w:t>9</w:t>
        </w:r>
      </w:fldSimple>
      <w:r>
        <w:t xml:space="preserve"> </w:t>
      </w:r>
      <w:fldSimple w:instr="NOTEREF _Ref_Footnote_8 \h \f">
        <w:r>
          <w:rPr>
            <w:vertAlign w:val="superscript"/>
          </w:rPr>
          <w:t>8</w:t>
        </w:r>
      </w:fldSimple>
      <w:r>
        <w:t xml:space="preserve">。</w:t>
      </w:r>
    </w:p>
    <w:bookmarkEnd w:id="112"/>
    <w:bookmarkEnd w:id="113"/>
    <w:bookmarkStart w:id="117" w:name="情景树与应对"/>
    <w:p>
      <w:pPr>
        <w:pStyle w:val="Heading3"/>
      </w:pPr>
      <w:r>
        <w:t xml:space="preserve">8.5 情景树与应对</w:t>
      </w:r>
    </w:p>
    <w:p>
      <w:pPr>
        <w:pStyle w:val="FirstParagraph"/>
      </w:pPr>
      <w:r>
        <w:t xml:space="preserve">以下三情景的概率权重（约 30%/45%/25%）仅为纪律设计服务的示意性赋值，非预测结论。</w:t>
      </w:r>
    </w:p>
    <w:bookmarkStart w:id="114" w:name="牛市情景涨价持续至-2027h2砺算超预期持有右侧补足分批止盈"/>
    <w:p>
      <w:pPr>
        <w:pStyle w:val="Heading4"/>
      </w:pPr>
      <w:r>
        <w:t xml:space="preserve">8.5.1 牛市情景（涨价持续至 2027H2＋砺算超预期）：持有＋右侧补足＋分批止盈</w:t>
      </w:r>
    </w:p>
    <w:p>
      <w:pPr>
        <w:pStyle w:val="FirstParagraph"/>
      </w:pPr>
      <w:r>
        <w:t xml:space="preserve">若 Q3/Q4 合约价超预期、2026E 一致预期上修至 8 亿元量级、板块给予 80—90 倍 PE，对应股价区间 144.7—162.8 元（较现价 +6.0%~+19.2%）</w:t>
      </w:r>
      <w:fldSimple w:instr="NOTEREF _Ref_Footnote_133 \h \f">
        <w:r>
          <w:rPr>
            <w:vertAlign w:val="superscript"/>
          </w:rPr>
          <w:t>133</w:t>
        </w:r>
      </w:fldSimple>
      <w:r>
        <w:t xml:space="preserve">。应对：已建仓部分持有不动；半年报与 Q3 合约价双双确认后，允许按 8.2.2 将剩余额度于 135—140 元右侧补足；144.7 元上方停止一切加仓；触及 162.8 元后每上涨 10% 减持持仓的四分之一，兑现顺序为先减右侧补足部分、再减摊薄批次、底仓最后。</w:t>
      </w:r>
    </w:p>
    <w:bookmarkEnd w:id="114"/>
    <w:bookmarkStart w:id="115" w:name="基准情景涨价延续但涨幅收窄持有依托压力支撑带做波段"/>
    <w:p>
      <w:pPr>
        <w:pStyle w:val="Heading4"/>
      </w:pPr>
      <w:r>
        <w:t xml:space="preserve">8.5.2 基准情景（涨价延续但涨幅收窄）：持有＋依托压力支撑带做波段</w:t>
      </w:r>
    </w:p>
    <w:p>
      <w:pPr>
        <w:pStyle w:val="FirstParagraph"/>
      </w:pPr>
      <w:r>
        <w:t xml:space="preserve">若一致预期兑现但估值向 55—70 倍收敛，合理区间 75.8—106.0 元，当前价位存在均值回归压力</w:t>
      </w:r>
      <w:fldSimple w:instr="NOTEREF _Ref_Footnote_133 \h \f">
        <w:r>
          <w:rPr>
            <w:vertAlign w:val="superscript"/>
          </w:rPr>
          <w:t>133</w:t>
        </w:r>
      </w:fldSimple>
      <w:r>
        <w:t xml:space="preserve"> </w:t>
      </w:r>
      <w:fldSimple w:instr="NOTEREF _Ref_Footnote_49 \h \f">
        <w:r>
          <w:rPr>
            <w:vertAlign w:val="superscript"/>
          </w:rPr>
          <w:t>49</w:t>
        </w:r>
      </w:fldSimple>
      <w:r>
        <w:t xml:space="preserve">。应对：底仓持有，已补批次做波段——反弹至 147—156 元压力带减持已补部分的二分之一，回落至 120 元下方按原计划接回；不做右侧加仓，把收益来源从”方向”切换为”成本差”。</w:t>
      </w:r>
    </w:p>
    <w:bookmarkEnd w:id="115"/>
    <w:bookmarkStart w:id="116" w:name="熊市情景周期见顶解禁砸盘触发器接管仓位校准而非预测点位"/>
    <w:p>
      <w:pPr>
        <w:pStyle w:val="Heading4"/>
      </w:pPr>
      <w:r>
        <w:t xml:space="preserve">8.5.3 熊市情景（周期见顶＋解禁砸盘）：触发器接管，仓位校准而非预测点位</w:t>
      </w:r>
    </w:p>
    <w:p>
      <w:pPr>
        <w:pStyle w:val="FirstParagraph"/>
      </w:pPr>
      <w:r>
        <w:t xml:space="preserve">若 Q4 合约价走平叠加 10/13 解禁抛压共振，按 8.4.1 执行：逻辑止损信号出现即清新增仓、底仓减半；价格触发（有效跌破 100 元且无企稳信号）即退出补仓仓位</w:t>
      </w:r>
      <w:fldSimple w:instr="NOTEREF _Ref_Footnote_116 \h \f">
        <w:r>
          <w:rPr>
            <w:vertAlign w:val="superscript"/>
          </w:rPr>
          <w:t>116</w:t>
        </w:r>
      </w:fldSimple>
      <w:r>
        <w:t xml:space="preserve"> </w:t>
      </w:r>
      <w:fldSimple w:instr="NOTEREF _Ref_Footnote_122 \h \f">
        <w:r>
          <w:rPr>
            <w:vertAlign w:val="superscript"/>
          </w:rPr>
          <w:t>122</w:t>
        </w:r>
      </w:fldSimple>
      <w:r>
        <w:t xml:space="preserve">。熊市估值锚 36—41 元（2023 年下行期公司曾营收腰斩、亏损 3.06 亿元）的意义在于界定最坏情形损失边界（约 -70%），用于校准仓位上限，而非目标价预测</w:t>
      </w:r>
      <w:fldSimple w:instr="NOTEREF _Ref_Footnote_107 \h \f">
        <w:r>
          <w:rPr>
            <w:vertAlign w:val="superscript"/>
          </w:rPr>
          <w:t>107</w:t>
        </w:r>
      </w:fldSimple>
      <w:r>
        <w:t xml:space="preserve">。</w:t>
      </w:r>
    </w:p>
    <w:bookmarkEnd w:id="116"/>
    <w:bookmarkEnd w:id="117"/>
    <w:bookmarkStart w:id="119" w:name="监控清单"/>
    <w:p>
      <w:pPr>
        <w:pStyle w:val="Heading3"/>
      </w:pPr>
      <w:r>
        <w:t xml:space="preserve">8.6 监控清单</w:t>
      </w:r>
    </w:p>
    <w:bookmarkStart w:id="118" w:name="周度月度跟踪指标表"/>
    <w:p>
      <w:pPr>
        <w:pStyle w:val="Heading4"/>
      </w:pPr>
      <w:r>
        <w:t xml:space="preserve">8.6.1 周度／月度跟踪指标表</w:t>
      </w:r>
    </w:p>
    <w:p>
      <w:pPr>
        <w:pStyle w:val="FirstParagraph"/>
      </w:pPr>
      <w:r>
        <w:rPr>
          <w:bCs/>
          <w:b/>
        </w:rPr>
        <w:t xml:space="preserve">表 8-3 监控清单：指标、频率、阈值与动作</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频率</w:t>
            </w:r>
          </w:p>
        </w:tc>
        <w:tc>
          <w:tcPr/>
          <w:p>
            <w:pPr>
              <w:pStyle w:val="Compact"/>
              <w:jc w:val="left"/>
            </w:pPr>
            <w:r>
              <w:t xml:space="preserve">数据来源</w:t>
            </w:r>
          </w:p>
        </w:tc>
        <w:tc>
          <w:tcPr/>
          <w:p>
            <w:pPr>
              <w:pStyle w:val="Compact"/>
              <w:jc w:val="left"/>
            </w:pPr>
            <w:r>
              <w:t xml:space="preserve">关键阈值／信号</w:t>
            </w:r>
          </w:p>
        </w:tc>
        <w:tc>
          <w:tcPr/>
          <w:p>
            <w:pPr>
              <w:pStyle w:val="Compact"/>
              <w:jc w:val="left"/>
            </w:pPr>
            <w:r>
              <w:t xml:space="preserve">触发动作</w:t>
            </w:r>
          </w:p>
        </w:tc>
      </w:tr>
      <w:tr>
        <w:tc>
          <w:tcPr/>
          <w:p>
            <w:pPr>
              <w:pStyle w:val="Compact"/>
              <w:jc w:val="left"/>
            </w:pPr>
            <w:r>
              <w:t xml:space="preserve">主力资金净额（周合计）</w:t>
            </w:r>
          </w:p>
        </w:tc>
        <w:tc>
          <w:tcPr/>
          <w:p>
            <w:pPr>
              <w:pStyle w:val="Compact"/>
              <w:jc w:val="left"/>
            </w:pPr>
            <w:r>
              <w:t xml:space="preserve">周度</w:t>
            </w:r>
          </w:p>
        </w:tc>
        <w:tc>
          <w:tcPr/>
          <w:p>
            <w:pPr>
              <w:pStyle w:val="Compact"/>
              <w:jc w:val="left"/>
            </w:pPr>
            <w:r>
              <w:t xml:space="preserve">东方财富／证券之星</w:t>
            </w:r>
          </w:p>
        </w:tc>
        <w:tc>
          <w:tcPr/>
          <w:p>
            <w:pPr>
              <w:pStyle w:val="Compact"/>
              <w:jc w:val="left"/>
            </w:pPr>
            <w:r>
              <w:t xml:space="preserve">单周净流出＞5 亿元；或转正／流出收窄至 1 亿元内</w:t>
            </w:r>
            <w:r>
              <w:t xml:space="preserve"> </w:t>
            </w:r>
            <w:fldSimple w:instr="NOTEREF _Ref_Footnote_108 \h \f">
              <w:r>
                <w:rPr>
                  <w:vertAlign w:val="superscript"/>
                </w:rPr>
                <w:t>108</w:t>
              </w:r>
            </w:fldSimple>
          </w:p>
        </w:tc>
        <w:tc>
          <w:tcPr/>
          <w:p>
            <w:pPr>
              <w:pStyle w:val="Compact"/>
              <w:jc w:val="left"/>
            </w:pPr>
            <w:r>
              <w:t xml:space="preserve">前者→暂停执行新批次；后者→企稳加分，恢复正常执行</w:t>
            </w:r>
          </w:p>
        </w:tc>
      </w:tr>
      <w:tr>
        <w:tc>
          <w:tcPr/>
          <w:p>
            <w:pPr>
              <w:pStyle w:val="Compact"/>
              <w:jc w:val="left"/>
            </w:pPr>
            <w:r>
              <w:t xml:space="preserve">融资余额</w:t>
            </w:r>
          </w:p>
        </w:tc>
        <w:tc>
          <w:tcPr/>
          <w:p>
            <w:pPr>
              <w:pStyle w:val="Compact"/>
              <w:jc w:val="left"/>
            </w:pPr>
            <w:r>
              <w:t xml:space="preserve">周度</w:t>
            </w:r>
          </w:p>
        </w:tc>
        <w:tc>
          <w:tcPr/>
          <w:p>
            <w:pPr>
              <w:pStyle w:val="Compact"/>
              <w:jc w:val="left"/>
            </w:pPr>
            <w:r>
              <w:t xml:space="preserve">交易所／东方财富</w:t>
            </w:r>
          </w:p>
        </w:tc>
        <w:tc>
          <w:tcPr/>
          <w:p>
            <w:pPr>
              <w:pStyle w:val="Compact"/>
              <w:jc w:val="left"/>
            </w:pPr>
            <w:r>
              <w:t xml:space="preserve">＞35 亿元；＜30 亿元</w:t>
            </w:r>
            <w:r>
              <w:t xml:space="preserve"> </w:t>
            </w:r>
            <w:fldSimple w:instr="NOTEREF _Ref_Footnote_9 \h \f">
              <w:r>
                <w:rPr>
                  <w:vertAlign w:val="superscript"/>
                </w:rPr>
                <w:t>9</w:t>
              </w:r>
            </w:fldSimple>
          </w:p>
        </w:tc>
        <w:tc>
          <w:tcPr/>
          <w:p>
            <w:pPr>
              <w:pStyle w:val="Compact"/>
              <w:jc w:val="left"/>
            </w:pPr>
            <w:r>
              <w:t xml:space="preserve">前者→风险升档、冻结加仓；后者→出清确认，第二批额度可上浮</w:t>
            </w:r>
          </w:p>
        </w:tc>
      </w:tr>
      <w:tr>
        <w:tc>
          <w:tcPr/>
          <w:p>
            <w:pPr>
              <w:pStyle w:val="Compact"/>
              <w:jc w:val="left"/>
            </w:pPr>
            <w:r>
              <w:t xml:space="preserve">存储合约／现货价</w:t>
            </w:r>
          </w:p>
        </w:tc>
        <w:tc>
          <w:tcPr/>
          <w:p>
            <w:pPr>
              <w:pStyle w:val="Compact"/>
              <w:jc w:val="left"/>
            </w:pPr>
            <w:r>
              <w:t xml:space="preserve">周度</w:t>
            </w:r>
          </w:p>
        </w:tc>
        <w:tc>
          <w:tcPr/>
          <w:p>
            <w:pPr>
              <w:pStyle w:val="Compact"/>
              <w:jc w:val="left"/>
            </w:pPr>
            <w:r>
              <w:t xml:space="preserve">TrendForce 及产业链报价</w:t>
            </w:r>
          </w:p>
        </w:tc>
        <w:tc>
          <w:tcPr/>
          <w:p>
            <w:pPr>
              <w:pStyle w:val="Compact"/>
              <w:jc w:val="left"/>
            </w:pPr>
            <w:r>
              <w:t xml:space="preserve">SLC NAND 现货价连续 2 周环比转负</w:t>
            </w:r>
            <w:r>
              <w:t xml:space="preserve"> </w:t>
            </w:r>
            <w:fldSimple w:instr="NOTEREF _Ref_Footnote_122 \h \f">
              <w:r>
                <w:rPr>
                  <w:vertAlign w:val="superscript"/>
                </w:rPr>
                <w:t>122</w:t>
              </w:r>
            </w:fldSimple>
          </w:p>
        </w:tc>
        <w:tc>
          <w:tcPr/>
          <w:p>
            <w:pPr>
              <w:pStyle w:val="Compact"/>
              <w:jc w:val="left"/>
            </w:pPr>
            <w:r>
              <w:t xml:space="preserve">周期预警信号，进入逻辑止损观察</w:t>
            </w:r>
          </w:p>
        </w:tc>
      </w:tr>
      <w:tr>
        <w:tc>
          <w:tcPr/>
          <w:p>
            <w:pPr>
              <w:pStyle w:val="Compact"/>
              <w:jc w:val="left"/>
            </w:pPr>
            <w:r>
              <w:t xml:space="preserve">量价结构</w:t>
            </w:r>
          </w:p>
        </w:tc>
        <w:tc>
          <w:tcPr/>
          <w:p>
            <w:pPr>
              <w:pStyle w:val="Compact"/>
              <w:jc w:val="left"/>
            </w:pPr>
            <w:r>
              <w:t xml:space="preserve">周度</w:t>
            </w:r>
          </w:p>
        </w:tc>
        <w:tc>
          <w:tcPr/>
          <w:p>
            <w:pPr>
              <w:pStyle w:val="Compact"/>
              <w:jc w:val="left"/>
            </w:pPr>
            <w:r>
              <w:t xml:space="preserve">行情软件</w:t>
            </w:r>
          </w:p>
        </w:tc>
        <w:tc>
          <w:tcPr/>
          <w:p>
            <w:pPr>
              <w:pStyle w:val="Compact"/>
              <w:jc w:val="left"/>
            </w:pPr>
            <w:r>
              <w:t xml:space="preserve">日成交＜1500 万股；收盘＜122 元</w:t>
            </w:r>
            <w:r>
              <w:t xml:space="preserve"> </w:t>
            </w:r>
            <w:fldSimple w:instr="NOTEREF _Ref_Footnote_3 \h \f">
              <w:r>
                <w:rPr>
                  <w:vertAlign w:val="superscript"/>
                </w:rPr>
                <w:t>3</w:t>
              </w:r>
            </w:fldSimple>
          </w:p>
        </w:tc>
        <w:tc>
          <w:tcPr/>
          <w:p>
            <w:pPr>
              <w:pStyle w:val="Compact"/>
              <w:jc w:val="left"/>
            </w:pPr>
            <w:r>
              <w:t xml:space="preserve">前者→地量企稳信号；后者→平台失守，按 8.4.1 降档</w:t>
            </w:r>
          </w:p>
        </w:tc>
      </w:tr>
      <w:tr>
        <w:tc>
          <w:tcPr/>
          <w:p>
            <w:pPr>
              <w:pStyle w:val="Compact"/>
              <w:jc w:val="left"/>
            </w:pPr>
            <w:r>
              <w:t xml:space="preserve">股东户数</w:t>
            </w:r>
          </w:p>
        </w:tc>
        <w:tc>
          <w:tcPr/>
          <w:p>
            <w:pPr>
              <w:pStyle w:val="Compact"/>
              <w:jc w:val="left"/>
            </w:pPr>
            <w:r>
              <w:t xml:space="preserve">月度（季报／互动易）</w:t>
            </w:r>
          </w:p>
        </w:tc>
        <w:tc>
          <w:tcPr/>
          <w:p>
            <w:pPr>
              <w:pStyle w:val="Compact"/>
              <w:jc w:val="left"/>
            </w:pPr>
            <w:r>
              <w:t xml:space="preserve">公司披露</w:t>
            </w:r>
          </w:p>
        </w:tc>
        <w:tc>
          <w:tcPr/>
          <w:p>
            <w:pPr>
              <w:pStyle w:val="Compact"/>
              <w:jc w:val="left"/>
            </w:pPr>
            <w:r>
              <w:t xml:space="preserve">环比增幅＞10%</w:t>
            </w:r>
            <w:r>
              <w:t xml:space="preserve"> </w:t>
            </w:r>
            <w:fldSimple w:instr="NOTEREF _Ref_Footnote_9 \h \f">
              <w:r>
                <w:rPr>
                  <w:vertAlign w:val="superscript"/>
                </w:rPr>
                <w:t>9</w:t>
              </w:r>
            </w:fldSimple>
          </w:p>
        </w:tc>
        <w:tc>
          <w:tcPr/>
          <w:p>
            <w:pPr>
              <w:pStyle w:val="Compact"/>
              <w:jc w:val="left"/>
            </w:pPr>
            <w:r>
              <w:t xml:space="preserve">筹码继续分散，仓位档位下调一档</w:t>
            </w:r>
          </w:p>
        </w:tc>
      </w:tr>
      <w:tr>
        <w:tc>
          <w:tcPr/>
          <w:p>
            <w:pPr>
              <w:pStyle w:val="Compact"/>
              <w:jc w:val="left"/>
            </w:pPr>
            <w:r>
              <w:t xml:space="preserve">砺算销售进展</w:t>
            </w:r>
          </w:p>
        </w:tc>
        <w:tc>
          <w:tcPr/>
          <w:p>
            <w:pPr>
              <w:pStyle w:val="Compact"/>
              <w:jc w:val="left"/>
            </w:pPr>
            <w:r>
              <w:t xml:space="preserve">月度</w:t>
            </w:r>
          </w:p>
        </w:tc>
        <w:tc>
          <w:tcPr/>
          <w:p>
            <w:pPr>
              <w:pStyle w:val="Compact"/>
              <w:jc w:val="left"/>
            </w:pPr>
            <w:r>
              <w:t xml:space="preserve">京东销量／公司公告／投关记录</w:t>
            </w:r>
          </w:p>
        </w:tc>
        <w:tc>
          <w:tcPr/>
          <w:p>
            <w:pPr>
              <w:pStyle w:val="Compact"/>
              <w:jc w:val="left"/>
            </w:pPr>
            <w:r>
              <w:t xml:space="preserve">零售版（2688 元）月销＞1 万块；或 3 个月累计＜5000 块</w:t>
            </w:r>
            <w:r>
              <w:t xml:space="preserve"> </w:t>
            </w:r>
            <w:fldSimple w:instr="NOTEREF _Ref_Footnote_13 \h \f">
              <w:r>
                <w:rPr>
                  <w:vertAlign w:val="superscript"/>
                </w:rPr>
                <w:t>13</w:t>
              </w:r>
            </w:fldSimple>
          </w:p>
        </w:tc>
        <w:tc>
          <w:tcPr/>
          <w:p>
            <w:pPr>
              <w:pStyle w:val="Compact"/>
              <w:jc w:val="left"/>
            </w:pPr>
            <w:r>
              <w:t xml:space="preserve">前者→GPU 期权重估，右侧补足依据增强；后者→下调期权价值假设</w:t>
            </w:r>
          </w:p>
        </w:tc>
      </w:tr>
      <w:tr>
        <w:tc>
          <w:tcPr/>
          <w:p>
            <w:pPr>
              <w:pStyle w:val="Compact"/>
              <w:jc w:val="left"/>
            </w:pPr>
            <w:r>
              <w:t xml:space="preserve">公告关键词扫描</w:t>
            </w:r>
          </w:p>
        </w:tc>
        <w:tc>
          <w:tcPr/>
          <w:p>
            <w:pPr>
              <w:pStyle w:val="Compact"/>
              <w:jc w:val="left"/>
            </w:pPr>
            <w:r>
              <w:t xml:space="preserve">每日</w:t>
            </w:r>
          </w:p>
        </w:tc>
        <w:tc>
          <w:tcPr/>
          <w:p>
            <w:pPr>
              <w:pStyle w:val="Compact"/>
              <w:jc w:val="left"/>
            </w:pPr>
            <w:r>
              <w:t xml:space="preserve">上交所／iFinD 公告</w:t>
            </w:r>
          </w:p>
        </w:tc>
        <w:tc>
          <w:tcPr/>
          <w:p>
            <w:pPr>
              <w:pStyle w:val="Compact"/>
              <w:jc w:val="left"/>
            </w:pPr>
            <w:r>
              <w:t xml:space="preserve">“</w:t>
            </w:r>
            <w:r>
              <w:t xml:space="preserve">减持／询价转让／业绩预告／H 股进展</w:t>
            </w:r>
            <w:r>
              <w:t xml:space="preserve">”</w:t>
            </w:r>
            <w:r>
              <w:t xml:space="preserve"> </w:t>
            </w:r>
            <w:r>
              <w:rPr>
                <w:vertAlign w:val="superscript"/>
              </w:rPr>
              <w:footnoteReference w:id="135"/>
            </w:r>
          </w:p>
        </w:tc>
        <w:tc>
          <w:tcPr/>
          <w:p>
            <w:pPr>
              <w:pStyle w:val="Compact"/>
              <w:jc w:val="left"/>
            </w:pPr>
            <w:r>
              <w:t xml:space="preserve">出现新增减持计划→暂停加仓 5 个交易日复核</w:t>
            </w:r>
          </w:p>
        </w:tc>
      </w:tr>
      <w:tr>
        <w:tc>
          <w:tcPr/>
          <w:p>
            <w:pPr>
              <w:pStyle w:val="Compact"/>
              <w:jc w:val="left"/>
            </w:pPr>
            <w:r>
              <w:t xml:space="preserve">事件日历</w:t>
            </w:r>
          </w:p>
        </w:tc>
        <w:tc>
          <w:tcPr/>
          <w:p>
            <w:pPr>
              <w:pStyle w:val="Compact"/>
              <w:jc w:val="left"/>
            </w:pPr>
            <w:r>
              <w:t xml:space="preserve">事件驱动</w:t>
            </w:r>
          </w:p>
        </w:tc>
        <w:tc>
          <w:tcPr/>
          <w:p>
            <w:pPr>
              <w:pStyle w:val="Compact"/>
              <w:jc w:val="left"/>
            </w:pPr>
            <w:r>
              <w:t xml:space="preserve">第 7 章催化日历</w:t>
            </w:r>
          </w:p>
        </w:tc>
        <w:tc>
          <w:tcPr/>
          <w:p>
            <w:pPr>
              <w:pStyle w:val="Compact"/>
              <w:jc w:val="left"/>
            </w:pPr>
            <w:r>
              <w:t xml:space="preserve">8/22 半年报、9—10 月 Q4 合约价谈判、10/13 解禁、长鑫挂牌</w:t>
            </w:r>
            <w:r>
              <w:t xml:space="preserve"> </w:t>
            </w:r>
            <w:fldSimple w:instr="NOTEREF _Ref_Footnote_121 \h \f">
              <w:r>
                <w:rPr>
                  <w:vertAlign w:val="superscript"/>
                </w:rPr>
                <w:t>121</w:t>
              </w:r>
            </w:fldSimple>
            <w:r>
              <w:t xml:space="preserve"> </w:t>
            </w:r>
            <w:fldSimple w:instr="NOTEREF _Ref_Footnote_116 \h \f">
              <w:r>
                <w:rPr>
                  <w:vertAlign w:val="superscript"/>
                </w:rPr>
                <w:t>116</w:t>
              </w:r>
            </w:fldSimple>
          </w:p>
        </w:tc>
        <w:tc>
          <w:tcPr/>
          <w:p>
            <w:pPr>
              <w:pStyle w:val="Compact"/>
              <w:jc w:val="left"/>
            </w:pPr>
            <w:r>
              <w:t xml:space="preserve">按 8.2.2 与 8.5 既定规则执行，不临场决策</w:t>
            </w:r>
          </w:p>
        </w:tc>
      </w:tr>
    </w:tbl>
    <w:p>
      <w:pPr>
        <w:pStyle w:val="BodyText"/>
      </w:pPr>
      <w:r>
        <w:t xml:space="preserve">该清单的设计原则是把”盯盘”转化为”对表”：每个指标都预置了阈值与动作，执行层只需核对信号是否成立，避免在 20cm 波动中被盘中情绪改写计划。其中资金流向与融资余额是”抄底能否启动”的先行指标，合约价与半年报是”逻辑是否成立”的验证指标，股东户数与公告是”筹码是否恶化”的否决指标——三组指标任一恶化都有对应的降档或冻结动作，构成方案的闭环。</w:t>
      </w:r>
    </w:p>
    <w:p>
      <w:pPr>
        <w:pStyle w:val="BodyText"/>
      </w:pPr>
      <w:r>
        <w:rPr>
          <w:bCs/>
          <w:b/>
        </w:rPr>
        <w:t xml:space="preserve">风险提示</w:t>
      </w:r>
      <w:r>
        <w:t xml:space="preserve">：本章为研究分析框架，所载价位、比例与触发条件均为示例性纪律设计，</w:t>
      </w:r>
      <w:r>
        <w:rPr>
          <w:bCs/>
          <w:b/>
        </w:rPr>
        <w:t xml:space="preserve">不构成投资建议</w:t>
      </w:r>
      <w:r>
        <w:t xml:space="preserve">；东芯股份为科创板股票，单日涨跌幅 ±20%，7 月上半月已回撤 -29.4%，实际波动可能显著超出测算假设，仓位必须与自身风险承受能力匹配；所有触发器应以盘后数据复核执行，避免盘中情绪化操作。前瞻地看，本方案的命运最终系于两个验证点：8/22 半年报校准盈利弹性、9—10 月 Q4 合约价谈判校准周期持续性——两者均获确认，则方案进入收获段，2027 年视角下”存储主业＋砺算期权”的双击逻辑方才完整；任一证伪，则纪律接管，宁可放弃机会也不放大错误。</w:t>
      </w:r>
    </w:p>
    <w:bookmarkEnd w:id="118"/>
    <w:bookmarkEnd w:id="119"/>
    <w:bookmarkEnd w:id="120"/>
    <w:bookmarkEnd w:id="121"/>
    <w:bookmarkStart w:id="122" w:name="references"/>
    <w:p>
      <w:pPr>
        <w:pStyle w:val="Heading1"/>
      </w:pPr>
      <w:r>
        <w:t xml:space="preserve">References</w:t>
      </w:r>
    </w:p>
    <w:p>
      <w:pPr>
        <w:pStyle w:val="FirstParagraph"/>
      </w:pPr>
      <w:fldSimple w:instr="NOTEREF _Ref_Footnote_1 \h \f">
        <w:r>
          <w:rPr>
            <w:vertAlign w:val="superscript"/>
          </w:rPr>
          <w:t>1</w:t>
        </w:r>
      </w:fldSimple>
      <w:r>
        <w:t xml:space="preserve"> </w:t>
      </w:r>
      <w:r>
        <w:t xml:space="preserve">iFinD（同花顺金融数据终端） | 东芯股份 2025 年报主营构成（分部数据）：NAND 65.2%/MCP 25.0%/DRAM 5.8%/NOR 3.6% | 终端数据接口（ifind_get_stock_business_segmentation，segment_2025） | 2026-07-17</w:t>
      </w:r>
    </w:p>
    <w:p>
      <w:pPr>
        <w:pStyle w:val="BodyText"/>
      </w:pPr>
      <w:fldSimple w:instr="NOTEREF _Ref_Footnote_2 \h \f">
        <w:r>
          <w:rPr>
            <w:vertAlign w:val="superscript"/>
          </w:rPr>
          <w:t>2</w:t>
        </w:r>
      </w:fldSimple>
      <w:r>
        <w:t xml:space="preserve"> </w:t>
      </w:r>
      <w:r>
        <w:t xml:space="preserve">TrendForce 集邦咨询 | 2026H1 SLC NAND 合约价累计上涨 130-150%；预估 2H26 SLC 合约价较 1H26 调涨 120-170% | https://www.trendforce.cn/presscenter/news/20260713-13143.html | 2026-07-13</w:t>
      </w:r>
    </w:p>
    <w:p>
      <w:pPr>
        <w:pStyle w:val="BodyText"/>
      </w:pPr>
      <w:fldSimple w:instr="NOTEREF _Ref_Footnote_3 \h \f">
        <w:r>
          <w:rPr>
            <w:vertAlign w:val="superscript"/>
          </w:rPr>
          <w:t>3</w:t>
        </w:r>
      </w:fldSimple>
      <w:r>
        <w:t xml:space="preserve"> </w:t>
      </w:r>
      <w:r>
        <w:t xml:space="preserve">iFinD 同花顺 | ifind_get_price 不复权日线：历史高点 209.55（2026-07-01 盘中）、4/2 低点 104.01、7/16 收盘 136.50（-34.9% 回撤） | 本地数据文件 dongxin_price_6m.csv | 2026-07-17 查询</w:t>
      </w:r>
    </w:p>
    <w:p>
      <w:pPr>
        <w:pStyle w:val="BodyText"/>
      </w:pPr>
      <w:fldSimple w:instr="NOTEREF _Ref_Footnote_4 \h \f">
        <w:r>
          <w:rPr>
            <w:vertAlign w:val="superscript"/>
          </w:rPr>
          <w:t>4</w:t>
        </w:r>
      </w:fldSimple>
      <w:r>
        <w:t xml:space="preserve"> </w:t>
      </w:r>
      <w:r>
        <w:t xml:space="preserve">搜狐证券行情中心 | 东芯股份 2026-07-16 收盘 136.50 元（-7.35%），总市值 603.85 亿元 | https://q.stock.sohu.com/cn/688110/index.shtml | 2026-07-16</w:t>
      </w:r>
    </w:p>
    <w:p>
      <w:pPr>
        <w:pStyle w:val="BodyText"/>
      </w:pPr>
      <w:fldSimple w:instr="NOTEREF _Ref_Footnote_5 \h \f">
        <w:r>
          <w:rPr>
            <w:vertAlign w:val="superscript"/>
          </w:rPr>
          <w:t>5</w:t>
        </w:r>
      </w:fldSimple>
      <w:r>
        <w:t xml:space="preserve"> </w:t>
      </w:r>
      <w:r>
        <w:t xml:space="preserve">东芯股份 2026 年第一季度报告（新浪财经公告库） | 营收 4.79 亿元（+236.95%）、毛利率 53.17%、归母净利 1.38 亿元、经营现金流净额 +4,091 万元 | http://vip.stock.finance.sina.com.cn/corp/view/vCB_AllBulletinDetail.php?stockid=688110&amp;id=12273988 | 2026-04-30</w:t>
      </w:r>
    </w:p>
    <w:p>
      <w:pPr>
        <w:pStyle w:val="BodyText"/>
      </w:pPr>
      <w:fldSimple w:instr="NOTEREF _Ref_Footnote_6 \h \f">
        <w:r>
          <w:rPr>
            <w:vertAlign w:val="superscript"/>
          </w:rPr>
          <w:t>6</w:t>
        </w:r>
      </w:fldSimple>
      <w:r>
        <w:t xml:space="preserve"> </w:t>
      </w:r>
      <w:r>
        <w:t xml:space="preserve">iFinD（同花顺金融数据终端） | 可比公司行情与一致预期（2026-07-16 收盘）：东芯 YTD +3.9%、普冉 +313.5%、兆易 +140.2%；2026E PE 东芯 98.8 倍/兆易 72.2 倍/普冉 72.8 倍 | 终端数据接口（ifind_get_price / ifind_get_forecast） | 2026-07-16/17</w:t>
      </w:r>
    </w:p>
    <w:p>
      <w:pPr>
        <w:pStyle w:val="BodyText"/>
      </w:pPr>
      <w:fldSimple w:instr="NOTEREF _Ref_Footnote_7 \h \f">
        <w:r>
          <w:rPr>
            <w:vertAlign w:val="superscript"/>
          </w:rPr>
          <w:t>7</w:t>
        </w:r>
      </w:fldSimple>
      <w:r>
        <w:t xml:space="preserve"> </w:t>
      </w:r>
      <w:r>
        <w:t xml:space="preserve">财新网 | A 股存储芯片板块 7 月 16 日普遍回调：兆易创新、长电科技跌停，东芯股份收跌 7.35%；隔夜美光/西部数据跌超 8% | https://www.caixin.com/2026-07-16/102464922.html | 2026-07-16</w:t>
      </w:r>
    </w:p>
    <w:p>
      <w:pPr>
        <w:pStyle w:val="BodyText"/>
      </w:pPr>
      <w:fldSimple w:instr="NOTEREF _Ref_Footnote_8 \h \f">
        <w:r>
          <w:rPr>
            <w:vertAlign w:val="superscript"/>
          </w:rPr>
          <w:t>8</w:t>
        </w:r>
      </w:fldSimple>
      <w:r>
        <w:t xml:space="preserve"> </w:t>
      </w:r>
      <w:r>
        <w:t xml:space="preserve">证券之星（网易转载） | 7 月 16 日东芯股份主力净流出 2.2 亿元、散户净流入 2.84 亿元；7 月见顶以来主力近单边净流出（已披露 6 个交易日合计约 -28 亿元） | https://www.163.com/dy/article/L1VLR1GC051984TV.html | 2026-07-16</w:t>
      </w:r>
    </w:p>
    <w:p>
      <w:pPr>
        <w:pStyle w:val="BodyText"/>
      </w:pPr>
      <w:fldSimple w:instr="NOTEREF _Ref_Footnote_9 \h \f">
        <w:r>
          <w:rPr>
            <w:vertAlign w:val="superscript"/>
          </w:rPr>
          <w:t>9</w:t>
        </w:r>
      </w:fldSimple>
      <w:r>
        <w:t xml:space="preserve"> </w:t>
      </w:r>
      <w:r>
        <w:t xml:space="preserve">新浪财经 + iFinD | 融资余额 33.53 亿元（占流通市值 4.86%，近一年 80% 分位以上）；股东户数 4.88 万户、同比 +139.75% | https://finance.sina.com.cn/stock/aiassist/lr/2026-07-14/doc-inihtrnk8503337.shtml | 2026-07-14</w:t>
      </w:r>
    </w:p>
    <w:p>
      <w:pPr>
        <w:pStyle w:val="BodyText"/>
      </w:pPr>
      <w:fldSimple w:instr="NOTEREF _Ref_Footnote_10 \h \f">
        <w:r>
          <w:rPr>
            <w:vertAlign w:val="superscript"/>
          </w:rPr>
          <w:t>10</w:t>
        </w:r>
      </w:fldSimple>
      <w:r>
        <w:t xml:space="preserve"> </w:t>
      </w:r>
      <w:r>
        <w:t xml:space="preserve">iFinD（同花顺金融数据终端） | 一致预期：2026E 归母净利 6.115 亿元（+413.9%）；按 603.8 亿市值对应 2026E PE 约 98.7 倍 | 终端数据接口（ifind_get_forecast） | 2026-07-17</w:t>
      </w:r>
    </w:p>
    <w:p>
      <w:pPr>
        <w:pStyle w:val="BodyText"/>
      </w:pPr>
      <w:fldSimple w:instr="NOTEREF _Ref_Footnote_11 \h \f">
        <w:r>
          <w:rPr>
            <w:vertAlign w:val="superscript"/>
          </w:rPr>
          <w:t>11</w:t>
        </w:r>
      </w:fldSimple>
      <w:r>
        <w:t xml:space="preserve"> </w:t>
      </w:r>
      <w:r>
        <w:t xml:space="preserve">新浪财经专栏（引野村报告） | 全球存储紧缺局面至少持续到 2027 年 | https://www.sina.cn/news/detail/5317355178560532.html | 2026-07-05</w:t>
      </w:r>
    </w:p>
    <w:p>
      <w:pPr>
        <w:pStyle w:val="BodyText"/>
      </w:pPr>
      <w:fldSimple w:instr="NOTEREF _Ref_Footnote_12 \h \f">
        <w:r>
          <w:rPr>
            <w:vertAlign w:val="superscript"/>
          </w:rPr>
          <w:t>12</w:t>
        </w:r>
      </w:fldSimple>
      <w:r>
        <w:t xml:space="preserve"> </w:t>
      </w:r>
      <w:r>
        <w:t xml:space="preserve">华龙证券研报（新浪财经转载） | 首次覆盖”增持”：预计 2026-2028 年归母净利润 6.73/7.49/8.57 亿元 | https://stock.finance.sina.com.cn/stock/go.php/vReport_Show/kind/company/rptid/836162109762/index.phtml | 2026-06-30</w:t>
      </w:r>
    </w:p>
    <w:p>
      <w:pPr>
        <w:pStyle w:val="BodyText"/>
      </w:pPr>
      <w:fldSimple w:instr="NOTEREF _Ref_Footnote_13 \h \f">
        <w:r>
          <w:rPr>
            <w:vertAlign w:val="superscript"/>
          </w:rPr>
          <w:t>13</w:t>
        </w:r>
      </w:fldSimple>
      <w:r>
        <w:t xml:space="preserve"> </w:t>
      </w:r>
      <w:r>
        <w:t xml:space="preserve">IT之家 | 砺算 LX 7G100 消费级显卡零售版 7 月 17 日 20:00 京东开售，售价 2688 元 | https://www.ithome.com/0/966/235.htm | 2026-07-15</w:t>
      </w:r>
    </w:p>
    <w:p>
      <w:pPr>
        <w:pStyle w:val="BodyText"/>
      </w:pPr>
      <w:fldSimple w:instr="NOTEREF _Ref_Footnote_14 \h \f">
        <w:r>
          <w:rPr>
            <w:vertAlign w:val="superscript"/>
          </w:rPr>
          <w:t>14</w:t>
        </w:r>
      </w:fldSimple>
      <w:r>
        <w:t xml:space="preserve"> </w:t>
      </w:r>
      <w:r>
        <w:t xml:space="preserve">财联社 + 搜狐证券解禁表 | 东方恒信询价转让 442 万股、定价 100.00 元/股，受让 6 家机构锁定 6 个月，2026-10-13 解禁（占总股本 1.00%） | https://www.cls.cn/detail/2360094 ; https://q.stock.sohu.com/cn/688110/xsjj.shtml | 2026-04-08~14；2026-07-07（查询）</w:t>
      </w:r>
    </w:p>
    <w:p>
      <w:pPr>
        <w:pStyle w:val="BodyText"/>
      </w:pPr>
      <w:fldSimple w:instr="NOTEREF _Ref_Footnote_15 \h \f">
        <w:r>
          <w:rPr>
            <w:vertAlign w:val="superscript"/>
          </w:rPr>
          <w:t>15</w:t>
        </w:r>
      </w:fldSimple>
      <w:r>
        <w:t xml:space="preserve"> </w:t>
      </w:r>
      <w:r>
        <w:t xml:space="preserve">东方财富公告库 | 东芯股份 2026 年半年报预约 2026 年 8 月 22 日披露 | https://data.eastmoney.com/notices/detail/688110/AN202607091826843352.html | 2026-07</w:t>
      </w:r>
    </w:p>
    <w:p>
      <w:pPr>
        <w:pStyle w:val="BodyText"/>
      </w:pPr>
      <w:fldSimple w:instr="NOTEREF _Ref_Footnote_16 \h \f">
        <w:r>
          <w:rPr>
            <w:vertAlign w:val="superscript"/>
          </w:rPr>
          <w:t>16</w:t>
        </w:r>
      </w:fldSimple>
      <w:r>
        <w:t xml:space="preserve"> </w:t>
      </w:r>
      <w:r>
        <w:t xml:space="preserve">财联社/界面新闻（腾讯新闻转载） | 东芯股份董事会通过发行 H 股并在港交所主板上市议案：拟发行不超过总股本 10%（超额配售权行使前）+15% 绿鞋 | https://news.qq.com/rain/a/20260522A0ARBU00 | 2026-05-22</w:t>
      </w:r>
    </w:p>
    <w:p>
      <w:pPr>
        <w:pStyle w:val="BodyText"/>
      </w:pPr>
      <w:fldSimple w:instr="NOTEREF _Ref_Footnote_17 \h \f">
        <w:r>
          <w:rPr>
            <w:vertAlign w:val="superscript"/>
          </w:rPr>
          <w:t>17</w:t>
        </w:r>
      </w:fldSimple>
      <w:r>
        <w:t xml:space="preserve"> </w:t>
      </w:r>
      <w:r>
        <w:t xml:space="preserve">iFinD（同花顺金融数据终端） | 东芯股份公司资料：主营中小容量通用型存储芯片（Fabless），产品 NAND/NOR/DRAM/MCP；实际控制人蒋学明、蒋雨舟合计约 20.64%；公司官网 www.dosilicon.com | 终端数据接口（ifind_get_stock_info） | 2026-07-17</w:t>
      </w:r>
    </w:p>
    <w:p>
      <w:pPr>
        <w:pStyle w:val="BodyText"/>
      </w:pPr>
      <w:fldSimple w:instr="NOTEREF _Ref_Footnote_18 \h \f">
        <w:r>
          <w:rPr>
            <w:vertAlign w:val="superscript"/>
          </w:rPr>
          <w:t>18</w:t>
        </w:r>
      </w:fldSimple>
      <w:r>
        <w:t xml:space="preserve"> </w:t>
      </w:r>
      <w:r>
        <w:t xml:space="preserve">东芯股份 2025 年年度报告（新浪财经公告库） | 营收 9.21 亿元（+43.76%）、归母净利 -1.95 亿元；上海砺算 2025 年净利 -4.45 亿元，确认投资亏损约 1.66 亿元 | https://vip.stock.finance.sina.com.cn/corp/view/vCB_AllBulletinDetail.php?stockid=688110&amp;id=12150601 | 2026-04</w:t>
      </w:r>
    </w:p>
    <w:p>
      <w:pPr>
        <w:pStyle w:val="BodyText"/>
      </w:pPr>
      <w:fldSimple w:instr="NOTEREF _Ref_Footnote_19 \h \f">
        <w:r>
          <w:rPr>
            <w:vertAlign w:val="superscript"/>
          </w:rPr>
          <w:t>19</w:t>
        </w:r>
      </w:fldSimple>
      <w:r>
        <w:t xml:space="preserve"> </w:t>
      </w:r>
      <w:r>
        <w:t xml:space="preserve">iFinD（同花顺金融数据终端） | 东芯股份估值指标：PB（MRQ）16.80 倍、PS（LYR）65.53 倍、PE（LYR）亏损 | 终端数据接口（ifind_get_forecast 附带估值字段） | 2026-07-17</w:t>
      </w:r>
    </w:p>
    <w:p>
      <w:pPr>
        <w:pStyle w:val="BodyText"/>
      </w:pPr>
      <w:fldSimple w:instr="NOTEREF _Ref_Footnote_20 \h \f">
        <w:r>
          <w:rPr>
            <w:vertAlign w:val="superscript"/>
          </w:rPr>
          <w:t>20</w:t>
        </w:r>
      </w:fldSimple>
      <w:r>
        <w:t xml:space="preserve"> </w:t>
      </w:r>
      <w:r>
        <w:t xml:space="preserve">天眼查 | 东芯股份十大股东（2026-03-31）：东方恒信集团 30.88%（136,579,279 股）+ 东芯科创 3.59%，合计约 34.47% | 天眼查上市信息-十大股东数据接口 | 2026-03-31（数据期）</w:t>
      </w:r>
    </w:p>
    <w:p>
      <w:pPr>
        <w:pStyle w:val="BodyText"/>
      </w:pPr>
      <w:fldSimple w:instr="NOTEREF _Ref_Footnote_21 \h \f">
        <w:r>
          <w:rPr>
            <w:vertAlign w:val="superscript"/>
          </w:rPr>
          <w:t>21</w:t>
        </w:r>
      </w:fldSimple>
      <w:r>
        <w:t xml:space="preserve"> </w:t>
      </w:r>
      <w:r>
        <w:t xml:space="preserve">新浪财经 | 实际控制人蒋学明：东方恒信集团实控人、东芯股份董事长 | https://www.sina.cn/news/detail/5289552970517936.html | 2026-04-19</w:t>
      </w:r>
    </w:p>
    <w:p>
      <w:pPr>
        <w:pStyle w:val="BodyText"/>
      </w:pPr>
      <w:fldSimple w:instr="NOTEREF _Ref_Footnote_22 \h \f">
        <w:r>
          <w:rPr>
            <w:vertAlign w:val="superscript"/>
          </w:rPr>
          <w:t>22</w:t>
        </w:r>
      </w:fldSimple>
      <w:r>
        <w:t xml:space="preserve"> </w:t>
      </w:r>
      <w:r>
        <w:t xml:space="preserve">天眼查 | 东芯股份司法/经营风险核查：行政处罚、经营异常、被执行/失信、股权出质、裁判文书均无记录；仅存 2015/2019 年已结历史案件 | 天眼查司法风险/经营风险数据接口 | 2026-07-17（查询日）</w:t>
      </w:r>
    </w:p>
    <w:p>
      <w:pPr>
        <w:pStyle w:val="BodyText"/>
      </w:pPr>
      <w:fldSimple w:instr="NOTEREF _Ref_Footnote_23 \h \f">
        <w:r>
          <w:rPr>
            <w:vertAlign w:val="superscript"/>
          </w:rPr>
          <w:t>23</w:t>
        </w:r>
      </w:fldSimple>
      <w:r>
        <w:t xml:space="preserve"> </w:t>
      </w:r>
      <w:r>
        <w:t xml:space="preserve">每日经济新闻（雪球转载公告）+ 天眼查 | 东方恒信及东芯科创 2025-08 减持：合计持股由 1.74 亿股降至 1.66 亿股，占比 39.37%→37.47%；至 2026Q1 进一步降至约 34.47% | https://xueqiu.com/4642157440/349415331 | 2025-08-27（公告）；2026-03-31（股东数据）</w:t>
      </w:r>
    </w:p>
    <w:p>
      <w:pPr>
        <w:pStyle w:val="BodyText"/>
      </w:pPr>
      <w:fldSimple w:instr="NOTEREF _Ref_Footnote_24 \h \f">
        <w:r>
          <w:rPr>
            <w:vertAlign w:val="superscript"/>
          </w:rPr>
          <w:t>24</w:t>
        </w:r>
      </w:fldSimple>
      <w:r>
        <w:t xml:space="preserve"> </w:t>
      </w:r>
      <w:r>
        <w:t xml:space="preserve">财联社 | 东芯股份拟 2.11 亿元增资上海砺算，持股比例将达 35.87% | https://www.cls.cn/detail/2131654 | 2025-08-31</w:t>
      </w:r>
    </w:p>
    <w:p>
      <w:pPr>
        <w:pStyle w:val="BodyText"/>
      </w:pPr>
      <w:fldSimple w:instr="NOTEREF _Ref_Footnote_25 \h \f">
        <w:r>
          <w:rPr>
            <w:vertAlign w:val="superscript"/>
          </w:rPr>
          <w:t>25</w:t>
        </w:r>
      </w:fldSimple>
      <w:r>
        <w:t xml:space="preserve"> </w:t>
      </w:r>
      <w:r>
        <w:t xml:space="preserve">东芯股份投资者关系活动记录表（东方财富公告库） | 公司指引：预计下半年利基型存储芯片市场价格仍将保持上行趋势 | https://data.eastmoney.com/notices/detail/688110/AN202607031826694863.html | 2026-07-03</w:t>
      </w:r>
    </w:p>
    <w:p>
      <w:pPr>
        <w:pStyle w:val="BodyText"/>
      </w:pPr>
      <w:fldSimple w:instr="NOTEREF _Ref_Footnote_26 \h \f">
        <w:r>
          <w:rPr>
            <w:vertAlign w:val="superscript"/>
          </w:rPr>
          <w:t>26</w:t>
        </w:r>
      </w:fldSimple>
      <w:r>
        <w:t xml:space="preserve"> </w:t>
      </w:r>
      <w:r>
        <w:t xml:space="preserve">经济观察网（上证报） | TrendForce：2026Q3 DRAM 合约价涨幅收窄至季增 13%-18%，NAND 季增 10%-15% | http://www.eeo.com.cn/2026/0708/948759.shtml | 2026-07-08</w:t>
      </w:r>
    </w:p>
    <w:p>
      <w:pPr>
        <w:pStyle w:val="BodyText"/>
      </w:pPr>
      <w:fldSimple w:instr="NOTEREF _Ref_Footnote_27 \h \f">
        <w:r>
          <w:rPr>
            <w:vertAlign w:val="superscript"/>
          </w:rPr>
          <w:t>27</w:t>
        </w:r>
      </w:fldSimple>
      <w:r>
        <w:t xml:space="preserve"> </w:t>
      </w:r>
      <w:r>
        <w:t xml:space="preserve">东方财富（转华夏时报/新京报） | 兆易创新风险提示公告：产品价格已处于历史高位，后续伴随产能边际增加价格将出现相当幅度回落 | https://wap.eastmoney.com/a/202606303787340673.html | 2026-06-30</w:t>
      </w:r>
    </w:p>
    <w:p>
      <w:pPr>
        <w:pStyle w:val="BodyText"/>
      </w:pPr>
      <w:fldSimple w:instr="NOTEREF _Ref_Footnote_28 \h \f">
        <w:r>
          <w:rPr>
            <w:vertAlign w:val="superscript"/>
          </w:rPr>
          <w:t>28</w:t>
        </w:r>
      </w:fldSimple>
      <w:r>
        <w:t xml:space="preserve"> </w:t>
      </w:r>
      <w:r>
        <w:t xml:space="preserve">理杏仁 | 东芯股份限售解禁：2024-12-10 首发限售 1.66 亿股（37.47%）已流通；当前总股本 4.4238 亿股已全流通，下一次解禁 2026-10-13 仅 442.25 万股（1.00%） | https://www.lixinger.com/equity/company/detail/sh/688110/688110/capital-structure/restricted-shares-lifted | 2026-07-17（查询）</w:t>
      </w:r>
    </w:p>
    <w:p>
      <w:pPr>
        <w:pStyle w:val="BodyText"/>
      </w:pPr>
      <w:fldSimple w:instr="NOTEREF _Ref_Footnote_29 \h \f">
        <w:r>
          <w:rPr>
            <w:vertAlign w:val="superscript"/>
          </w:rPr>
          <w:t>29</w:t>
        </w:r>
      </w:fldSimple>
      <w:r>
        <w:t xml:space="preserve"> </w:t>
      </w:r>
      <w:r>
        <w:t xml:space="preserve">财新数据 | 存储板块上半年业绩预喜 利润高增能否持续？ | https://database.caixin.com/2026-07-14/102464037.html | 2026-07-14</w:t>
      </w:r>
    </w:p>
    <w:p>
      <w:pPr>
        <w:pStyle w:val="BodyText"/>
      </w:pPr>
      <w:fldSimple w:instr="NOTEREF _Ref_Footnote_30 \h \f">
        <w:r>
          <w:rPr>
            <w:vertAlign w:val="superscript"/>
          </w:rPr>
          <w:t>30</w:t>
        </w:r>
      </w:fldSimple>
      <w:r>
        <w:t xml:space="preserve"> </w:t>
      </w:r>
      <w:r>
        <w:t xml:space="preserve">财闻网（转引国信证券研报、SEMI中国、瑞银） | HBM投片占全球DRAM晶圆产能12%-15%、数据中心与AI服务器消耗约一半DRAM产能 | https://www.caiwennews.com/article/1513527.shtml | 2026-07-14</w:t>
      </w:r>
    </w:p>
    <w:p>
      <w:pPr>
        <w:pStyle w:val="BodyText"/>
      </w:pPr>
      <w:fldSimple w:instr="NOTEREF _Ref_Footnote_31 \h \f">
        <w:r>
          <w:rPr>
            <w:vertAlign w:val="superscript"/>
          </w:rPr>
          <w:t>31</w:t>
        </w:r>
      </w:fldSimple>
      <w:r>
        <w:t xml:space="preserve"> </w:t>
      </w:r>
      <w:r>
        <w:t xml:space="preserve">新浪财经（转央视财经，引WSTS） | 2026年全球半导体与存储芯片市场规模预测（存储+249.5%至约8039亿美元） | https://finance.sina.com.cn/jjxw/2026-06-04/doc-iniaeuqa0592115.shtml | 2026-06-04</w:t>
      </w:r>
    </w:p>
    <w:p>
      <w:pPr>
        <w:pStyle w:val="BodyText"/>
      </w:pPr>
      <w:fldSimple w:instr="NOTEREF _Ref_Footnote_32 \h \f">
        <w:r>
          <w:rPr>
            <w:vertAlign w:val="superscript"/>
          </w:rPr>
          <w:t>32</w:t>
        </w:r>
      </w:fldSimple>
      <w:r>
        <w:t xml:space="preserve"> </w:t>
      </w:r>
      <w:r>
        <w:t xml:space="preserve">网易财经/东方财富财富号/腾讯新闻（超能网） | 原厂退出利基存储：三星停DDR3/DDR4、美光停供DDR4、三星停2D NAND、铠侠停SLC/MLC新订单 | https://www.163.com/dy/article/L0P9KTL50531M1CO.html ; https://caifuhao2.eastmoney.com/news/20260625201407423318170 ; https://news.qq.com/rain/a/20250422A07V3E00 | 2026-07-01 / 2026-06-26 / 2025-04-22</w:t>
      </w:r>
    </w:p>
    <w:p>
      <w:pPr>
        <w:pStyle w:val="BodyText"/>
      </w:pPr>
      <w:fldSimple w:instr="NOTEREF _Ref_Footnote_33 \h \f">
        <w:r>
          <w:rPr>
            <w:vertAlign w:val="superscript"/>
          </w:rPr>
          <w:t>33</w:t>
        </w:r>
      </w:fldSimple>
      <w:r>
        <w:t xml:space="preserve"> </w:t>
      </w:r>
      <w:r>
        <w:t xml:space="preserve">东方财富财富号（引TrendForce数据） | 利基存储晶圆投入产出比约为HBM的1/5、产线关停不可逆 | https://caifuhao2.eastmoney.com/news/20260625201407423318170 | 2026-06-26</w:t>
      </w:r>
    </w:p>
    <w:p>
      <w:pPr>
        <w:pStyle w:val="BodyText"/>
      </w:pPr>
      <w:fldSimple w:instr="NOTEREF _Ref_Footnote_34 \h \f">
        <w:r>
          <w:rPr>
            <w:vertAlign w:val="superscript"/>
          </w:rPr>
          <w:t>34</w:t>
        </w:r>
      </w:fldSimple>
      <w:r>
        <w:t xml:space="preserve"> </w:t>
      </w:r>
      <w:r>
        <w:t xml:space="preserve">TrendForce | 利基型闪存合约价新闻稿（NOR 2026H1 +100~120%、SLC NAND +130~150%；2026H2高容量NOR +60~65%、SLC NAND +70~75%） | https://www.trendforce.com/presscenter/news/20260616-13102.html | 2026-06-16</w:t>
      </w:r>
    </w:p>
    <w:p>
      <w:pPr>
        <w:pStyle w:val="BodyText"/>
      </w:pPr>
      <w:fldSimple w:instr="NOTEREF _Ref_Footnote_35 \h \f">
        <w:r>
          <w:rPr>
            <w:vertAlign w:val="superscript"/>
          </w:rPr>
          <w:t>35</w:t>
        </w:r>
      </w:fldSimple>
      <w:r>
        <w:t xml:space="preserve"> </w:t>
      </w:r>
      <w:r>
        <w:t xml:space="preserve">东方财富（转科创板日报，引TrendForce最新价格调查） | MLC短缺转单SLC，2026H2 SLC合约价预估调涨120~170% | https://finance.eastmoney.com/a/202607133803697158.html | 2026-07-13</w:t>
      </w:r>
    </w:p>
    <w:p>
      <w:pPr>
        <w:pStyle w:val="BodyText"/>
      </w:pPr>
      <w:fldSimple w:instr="NOTEREF _Ref_Footnote_36 \h \f">
        <w:r>
          <w:rPr>
            <w:vertAlign w:val="superscript"/>
          </w:rPr>
          <w:t>36</w:t>
        </w:r>
      </w:fldSimple>
      <w:r>
        <w:t xml:space="preserve"> </w:t>
      </w:r>
      <w:r>
        <w:t xml:space="preserve">证券市场周刊（引摩根士丹利研报） | DDR4 2026Q3环比再涨约20%，2026H2供需缺口19</w:t>
      </w:r>
      <w:r>
        <w:rPr>
          <w:vertAlign w:val="subscript"/>
        </w:rPr>
        <w:t xml:space="preserve">20%、2027-2028年维持18</w:t>
      </w:r>
      <w:r>
        <w:t xml:space="preserve">20% | https://static.weeklyonstock.com/26/0610/qdy185239.html | 2026-06-10</w:t>
      </w:r>
    </w:p>
    <w:p>
      <w:pPr>
        <w:pStyle w:val="BodyText"/>
      </w:pPr>
      <w:fldSimple w:instr="NOTEREF _Ref_Footnote_37 \h \f">
        <w:r>
          <w:rPr>
            <w:vertAlign w:val="superscript"/>
          </w:rPr>
          <w:t>37</w:t>
        </w:r>
      </w:fldSimple>
      <w:r>
        <w:t xml:space="preserve"> </w:t>
      </w:r>
      <w:r>
        <w:t xml:space="preserve">东芯股份投资者关系活动记录（同花顺）/新浪财经（券商调研解读） | DDR4切回DDR3回流需求；聚辰半导体7月6日起全系列NOR提价25% | https://stock.10jqka.com.cn/20260604/c677200661.shtml ; https://www.sina.cn/news/detail/5315868751826183.html | 2026-06-03 / 2026-07-01</w:t>
      </w:r>
    </w:p>
    <w:p>
      <w:pPr>
        <w:pStyle w:val="BodyText"/>
      </w:pPr>
      <w:fldSimple w:instr="NOTEREF _Ref_Footnote_38 \h \f">
        <w:r>
          <w:rPr>
            <w:vertAlign w:val="superscript"/>
          </w:rPr>
          <w:t>38</w:t>
        </w:r>
      </w:fldSimple>
      <w:r>
        <w:t xml:space="preserve"> </w:t>
      </w:r>
      <w:r>
        <w:t xml:space="preserve">TrendForce News | Winbond Expects DRAM Prices to Jump Nearly 4x by June 2026, Capacity Booked Through 2027 | https://www.trendforce.com/news/2026/02/11/news-winbond-expects-dram-prices-to-jump-nearly-4x-by-june-2026-capacity-booked-through-2027/ | 2026-02-11</w:t>
      </w:r>
    </w:p>
    <w:p>
      <w:pPr>
        <w:pStyle w:val="BodyText"/>
      </w:pPr>
      <w:fldSimple w:instr="NOTEREF _Ref_Footnote_39 \h \f">
        <w:r>
          <w:rPr>
            <w:vertAlign w:val="superscript"/>
          </w:rPr>
          <w:t>39</w:t>
        </w:r>
      </w:fldSimple>
      <w:r>
        <w:t xml:space="preserve"> </w:t>
      </w:r>
      <w:r>
        <w:t xml:space="preserve">证券市场周刊（同花顺转载，引弗若斯特沙利文） | 2025年全球专用型存储市场规模约157亿美元（利基DRAM 99亿、NOR 31亿、SLC NAND 27亿） | https://news.10jqka.com.cn/20260610/c677359046.shtml | 2026-06-10</w:t>
      </w:r>
    </w:p>
    <w:p>
      <w:pPr>
        <w:pStyle w:val="BodyText"/>
      </w:pPr>
      <w:fldSimple w:instr="NOTEREF _Ref_Footnote_40 \h \f">
        <w:r>
          <w:rPr>
            <w:vertAlign w:val="superscript"/>
          </w:rPr>
          <w:t>40</w:t>
        </w:r>
      </w:fldSimple>
      <w:r>
        <w:t xml:space="preserve"> </w:t>
      </w:r>
      <w:r>
        <w:t xml:space="preserve">搜狐（转IT之家，引TrendForce 7月9日报告） | 服务器DRAM合约价上行持续至2027H2、2027年RDIMM供给按容量仅+15~20% | https://www.sohu.com/a/1048353151_121124376 | 2026-07-10</w:t>
      </w:r>
    </w:p>
    <w:p>
      <w:pPr>
        <w:pStyle w:val="BodyText"/>
      </w:pPr>
      <w:fldSimple w:instr="NOTEREF _Ref_Footnote_41 \h \f">
        <w:r>
          <w:rPr>
            <w:vertAlign w:val="superscript"/>
          </w:rPr>
          <w:t>41</w:t>
        </w:r>
      </w:fldSimple>
      <w:r>
        <w:t xml:space="preserve"> </w:t>
      </w:r>
      <w:r>
        <w:t xml:space="preserve">财新 | 韩股为何如此疯狂？（华泰：DRAM ASP增长至少延续至2027Q3、NAND至少至2027Q2；2027年云厂商资本开支一致预期小幅下修；申万宏源”周期洗礼”提示） | https://database.caixin.com/2026-07-02/102459865.html | 2026-07-02</w:t>
      </w:r>
    </w:p>
    <w:p>
      <w:pPr>
        <w:pStyle w:val="BodyText"/>
      </w:pPr>
      <w:fldSimple w:instr="NOTEREF _Ref_Footnote_42 \h \f">
        <w:r>
          <w:rPr>
            <w:vertAlign w:val="superscript"/>
          </w:rPr>
          <w:t>42</w:t>
        </w:r>
      </w:fldSimple>
      <w:r>
        <w:t xml:space="preserve"> </w:t>
      </w:r>
      <w:r>
        <w:t xml:space="preserve">新浪财经（引IDC） | 内存供应紧张贯穿2026年并持续至2027年中；IDC预计2026全年手机出货-12.9% | https://finance.sina.com.cn/tech/roll/2026-04-21/doc-inhvfqch6308174.shtml | 2026-04-21</w:t>
      </w:r>
    </w:p>
    <w:p>
      <w:pPr>
        <w:pStyle w:val="BodyText"/>
      </w:pPr>
      <w:fldSimple w:instr="NOTEREF _Ref_Footnote_43 \h \f">
        <w:r>
          <w:rPr>
            <w:vertAlign w:val="superscript"/>
          </w:rPr>
          <w:t>43</w:t>
        </w:r>
      </w:fldSimple>
      <w:r>
        <w:t xml:space="preserve"> </w:t>
      </w:r>
      <w:r>
        <w:t xml:space="preserve">腾讯新闻（兆易创新6月18日公告引述） | 兆易创新自警：存储供给与需求终将再平衡，预计2027年后价格可能进入高位震荡 | https://view.inews.qq.com/a/20260625A08JYH00 | 2026-06-25</w:t>
      </w:r>
    </w:p>
    <w:p>
      <w:pPr>
        <w:pStyle w:val="BodyText"/>
      </w:pPr>
      <w:fldSimple w:instr="NOTEREF _Ref_Footnote_44 \h \f">
        <w:r>
          <w:rPr>
            <w:vertAlign w:val="superscript"/>
          </w:rPr>
          <w:t>44</w:t>
        </w:r>
      </w:fldSimple>
      <w:r>
        <w:t xml:space="preserve"> </w:t>
      </w:r>
      <w:r>
        <w:t xml:space="preserve">igor’sLAB（引TrendForce 2026Q3报告） | DRAM and NAND remain more expensive: TrendForce sees slowing but still rising memory prices Q3 2026（涨幅收窄主因买方支付意愿下降、市场接近痛苦阈值） | https://www.igorslab.de/en/dram-and-nand-remain-more-expensive-trendforce-sees-slowing-but-still-rising-memory-prices-q3-2026/ | 2026-07-07</w:t>
      </w:r>
    </w:p>
    <w:p>
      <w:pPr>
        <w:pStyle w:val="BodyText"/>
      </w:pPr>
      <w:fldSimple w:instr="NOTEREF _Ref_Footnote_45 \h \f">
        <w:r>
          <w:rPr>
            <w:vertAlign w:val="superscript"/>
          </w:rPr>
          <w:t>45</w:t>
        </w:r>
      </w:fldSimple>
      <w:r>
        <w:t xml:space="preserve"> </w:t>
      </w:r>
      <w:r>
        <w:t xml:space="preserve">财新（引IDC等三家机构） | 2026Q2全球智能手机出货2.775亿部、同比-6.7%，存储短缺为主因 | https://www.caixin.com/2026-07-14/102464207.html | 2026-07-14</w:t>
      </w:r>
    </w:p>
    <w:p>
      <w:pPr>
        <w:pStyle w:val="BodyText"/>
      </w:pPr>
      <w:fldSimple w:instr="NOTEREF _Ref_Footnote_46 \h \f">
        <w:r>
          <w:rPr>
            <w:vertAlign w:val="superscript"/>
          </w:rPr>
          <w:t>46</w:t>
        </w:r>
      </w:fldSimple>
      <w:r>
        <w:t xml:space="preserve"> </w:t>
      </w:r>
      <w:r>
        <w:t xml:space="preserve">网易（智元深维） | 长鑫科技IPO：8.66元/股、7月16日申购、预计募资约579亿元（绿鞋后666亿）、发行市值约5792亿元 | https://www.163.com/dy/article/L1S29GIL0556O17W.html | 2026-07-15</w:t>
      </w:r>
    </w:p>
    <w:p>
      <w:pPr>
        <w:pStyle w:val="BodyText"/>
      </w:pPr>
      <w:fldSimple w:instr="NOTEREF _Ref_Footnote_47 \h \f">
        <w:r>
          <w:rPr>
            <w:vertAlign w:val="superscript"/>
          </w:rPr>
          <w:t>47</w:t>
        </w:r>
      </w:fldSimple>
      <w:r>
        <w:t xml:space="preserve"> </w:t>
      </w:r>
      <w:r>
        <w:t xml:space="preserve">网易（长江商报） | 长鑫科技2026Q1营收508亿元（+719%）、归母净利247.62亿元；H1指引营收1100-1200亿、净利500-570亿 | https://www.163.com/dy/article/L1G8NMHU05568W0A.html | 2026-07-10</w:t>
      </w:r>
    </w:p>
    <w:p>
      <w:pPr>
        <w:pStyle w:val="BodyText"/>
      </w:pPr>
      <w:fldSimple w:instr="NOTEREF _Ref_Footnote_48 \h \f">
        <w:r>
          <w:rPr>
            <w:vertAlign w:val="superscript"/>
          </w:rPr>
          <w:t>48</w:t>
        </w:r>
      </w:fldSimple>
      <w:r>
        <w:t xml:space="preserve"> </w:t>
      </w:r>
      <w:r>
        <w:t xml:space="preserve">淘股吧（辅导备案记录）/东方财富财富号 | 长存集团2026年5月19日完成IPO辅导备案，市场预期估值约2000-3000亿元，最快2026Q4-2027H1上市 | https://www.tgb.cn/dialog/2rW0knb9M7p_98868632_1 ; https://emcreative.eastmoney.com/app_fortune/article/index.html?artCode=20260430002703650910980&amp;postId=1701799692 | 2026-05-20 / 2026-04-30</w:t>
      </w:r>
    </w:p>
    <w:p>
      <w:pPr>
        <w:pStyle w:val="BodyText"/>
      </w:pPr>
      <w:fldSimple w:instr="NOTEREF _Ref_Footnote_49 \h \f">
        <w:r>
          <w:rPr>
            <w:vertAlign w:val="superscript"/>
          </w:rPr>
          <w:t>49</w:t>
        </w:r>
      </w:fldSimple>
      <w:r>
        <w:t xml:space="preserve"> </w:t>
      </w:r>
      <w:r>
        <w:t xml:space="preserve">财新（引iFinD） | A股存储芯片行业2026年预测市盈率中枢55.2-59.8倍 | https://finance.caixin.com/2026-05-18/102445094.html | 2026-05-18</w:t>
      </w:r>
    </w:p>
    <w:p>
      <w:pPr>
        <w:pStyle w:val="BodyText"/>
      </w:pPr>
      <w:fldSimple w:instr="NOTEREF _Ref_Footnote_50 \h \f">
        <w:r>
          <w:rPr>
            <w:vertAlign w:val="superscript"/>
          </w:rPr>
          <w:t>50</w:t>
        </w:r>
      </w:fldSimple>
      <w:r>
        <w:t xml:space="preserve"> </w:t>
      </w:r>
      <w:r>
        <w:t xml:space="preserve">选股通（国泰海通观点） | 长协锁单使周期波动收敛，板块估值逻辑从周期性博弈转向盈利确定性重定价 | https://xuangutong.com.cn/article/1279639 | 2026-07-07</w:t>
      </w:r>
    </w:p>
    <w:p>
      <w:pPr>
        <w:pStyle w:val="BodyText"/>
      </w:pPr>
      <w:fldSimple w:instr="NOTEREF _Ref_Footnote_51 \h \f">
        <w:r>
          <w:rPr>
            <w:vertAlign w:val="superscript"/>
          </w:rPr>
          <w:t>51</w:t>
        </w:r>
      </w:fldSimple>
      <w:r>
        <w:t xml:space="preserve"> </w:t>
      </w:r>
      <w:r>
        <w:t xml:space="preserve">网易（智元深维，引招股书及中泰证券） | 长鑫科技2026年扩产5-6万片/月、设备采购50-60亿美元；周期股顶部IPO与资金向龙头集中风险提示 | https://www.163.com/dy/article/L1TJ1I7U05397AW5.html | 2026-07-15</w:t>
      </w:r>
    </w:p>
    <w:p>
      <w:pPr>
        <w:pStyle w:val="BodyText"/>
      </w:pPr>
      <w:fldSimple w:instr="NOTEREF _Ref_Footnote_52 \h \f">
        <w:r>
          <w:rPr>
            <w:vertAlign w:val="superscript"/>
          </w:rPr>
          <w:t>52</w:t>
        </w:r>
      </w:fldSimple>
      <w:r>
        <w:t xml:space="preserve"> </w:t>
      </w:r>
      <w:r>
        <w:t xml:space="preserve">东方财富/Choice | 7月16日存储芯片板块指数跌5%、澜起科技-17.2%领跌；长鑫申购资金分流背景 | http://stock.eastmoney.com/a/202607163808924076.html | 2026-07-16</w:t>
      </w:r>
    </w:p>
    <w:p>
      <w:pPr>
        <w:pStyle w:val="BodyText"/>
      </w:pPr>
      <w:fldSimple w:instr="NOTEREF _Ref_Footnote_53 \h \f">
        <w:r>
          <w:rPr>
            <w:vertAlign w:val="superscript"/>
          </w:rPr>
          <w:t>53</w:t>
        </w:r>
      </w:fldSimple>
      <w:r>
        <w:t xml:space="preserve"> </w:t>
      </w:r>
      <w:r>
        <w:t xml:space="preserve">同花顺iFinD | 板块个股7/16收盘行情、2026年YTD涨幅与一致预期（2026E PE按7/16市值÷iFinD一致预期归母净利计算） | iFinD数据接口（ifind_get_stock_realtime_price / ifind_get_price / ifind_get_forecast） | 2026-07-16</w:t>
      </w:r>
    </w:p>
    <w:p>
      <w:pPr>
        <w:pStyle w:val="BodyText"/>
      </w:pPr>
      <w:fldSimple w:instr="NOTEREF _Ref_Footnote_54 \h \f">
        <w:r>
          <w:rPr>
            <w:vertAlign w:val="superscript"/>
          </w:rPr>
          <w:t>54</w:t>
        </w:r>
      </w:fldSimple>
      <w:r>
        <w:t xml:space="preserve"> </w:t>
      </w:r>
      <w:r>
        <w:t xml:space="preserve">申万宏源研究（新浪财经转载） | 东芯股份：参股子公司上海砺算发布6NM 7G100 GPU及显卡 | http://stock.finance.sina.com.cn/stock/go.php/vReport_Show/kind/search/rptid/809433397029/index.phtml | 2025-08-25</w:t>
      </w:r>
    </w:p>
    <w:p>
      <w:pPr>
        <w:pStyle w:val="BodyText"/>
      </w:pPr>
      <w:fldSimple w:instr="NOTEREF _Ref_Footnote_55 \h \f">
        <w:r>
          <w:rPr>
            <w:vertAlign w:val="superscript"/>
          </w:rPr>
          <w:t>55</w:t>
        </w:r>
      </w:fldSimple>
      <w:r>
        <w:t xml:space="preserve"> </w:t>
      </w:r>
      <w:r>
        <w:t xml:space="preserve">东芯股份（新浪财经公告库） | 科创板招股意向书 | http://money.finance.sina.com.cn/corp/view/vCB_AllBulletinDetail.php?stockid=688110&amp;id=7672615 | 2021-11-23</w:t>
      </w:r>
    </w:p>
    <w:p>
      <w:pPr>
        <w:pStyle w:val="BodyText"/>
      </w:pPr>
      <w:fldSimple w:instr="NOTEREF _Ref_Footnote_56 \h \f">
        <w:r>
          <w:rPr>
            <w:vertAlign w:val="superscript"/>
          </w:rPr>
          <w:t>56</w:t>
        </w:r>
      </w:fldSimple>
      <w:r>
        <w:t xml:space="preserve"> </w:t>
      </w:r>
      <w:r>
        <w:t xml:space="preserve">安信证券 | 东芯股份（688110.SH）深度分析 | https://pdf.dfcfw.com/pdf/H3_AP202311161611028412_1.pdf | 2023-11-16</w:t>
      </w:r>
    </w:p>
    <w:p>
      <w:pPr>
        <w:pStyle w:val="BodyText"/>
      </w:pPr>
      <w:fldSimple w:instr="NOTEREF _Ref_Footnote_57 \h \f">
        <w:r>
          <w:rPr>
            <w:vertAlign w:val="superscript"/>
          </w:rPr>
          <w:t>57</w:t>
        </w:r>
      </w:fldSimple>
      <w:r>
        <w:t xml:space="preserve"> </w:t>
      </w:r>
      <w:r>
        <w:t xml:space="preserve">同花顺财经 | 东芯股份投资者互动：1xnm SLC NAND Flash 已进入风险量产阶段 | https://yuanchuang.10jqka.com.cn/20251210/c673103361.shtml | 2025-12-10</w:t>
      </w:r>
    </w:p>
    <w:p>
      <w:pPr>
        <w:pStyle w:val="BodyText"/>
      </w:pPr>
      <w:fldSimple w:instr="NOTEREF _Ref_Footnote_58 \h \f">
        <w:r>
          <w:rPr>
            <w:vertAlign w:val="superscript"/>
          </w:rPr>
          <w:t>58</w:t>
        </w:r>
      </w:fldSimple>
      <w:r>
        <w:t xml:space="preserve"> </w:t>
      </w:r>
      <w:r>
        <w:t xml:space="preserve">网易财经 | 东芯股份：5月6日接受机构调研 | https://www.163.com/dy/article/KSM3NE7E051984TV.html | 2026-05-11</w:t>
      </w:r>
    </w:p>
    <w:p>
      <w:pPr>
        <w:pStyle w:val="BodyText"/>
      </w:pPr>
      <w:fldSimple w:instr="NOTEREF _Ref_Footnote_59 \h \f">
        <w:r>
          <w:rPr>
            <w:vertAlign w:val="superscript"/>
          </w:rPr>
          <w:t>59</w:t>
        </w:r>
      </w:fldSimple>
      <w:r>
        <w:t xml:space="preserve"> </w:t>
      </w:r>
      <w:r>
        <w:t xml:space="preserve">财新 | 存储芯片设计公司东芯将登陆科创板 | https://www.caixin.com/2021-04-16/101692474.html | 2021-04-16</w:t>
      </w:r>
    </w:p>
    <w:p>
      <w:pPr>
        <w:pStyle w:val="BodyText"/>
      </w:pPr>
      <w:fldSimple w:instr="NOTEREF _Ref_Footnote_60 \h \f">
        <w:r>
          <w:rPr>
            <w:vertAlign w:val="superscript"/>
          </w:rPr>
          <w:t>60</w:t>
        </w:r>
      </w:fldSimple>
      <w:r>
        <w:t xml:space="preserve"> </w:t>
      </w:r>
      <w:r>
        <w:t xml:space="preserve">新浪科技 | 盛合晶微IPO即将上会 | https://www.sina.cn/news/detail/5266184322678958.html | 2026-02-14</w:t>
      </w:r>
    </w:p>
    <w:p>
      <w:pPr>
        <w:pStyle w:val="BodyText"/>
      </w:pPr>
      <w:fldSimple w:instr="NOTEREF _Ref_Footnote_61 \h \f">
        <w:r>
          <w:rPr>
            <w:vertAlign w:val="superscript"/>
          </w:rPr>
          <w:t>61</w:t>
        </w:r>
      </w:fldSimple>
      <w:r>
        <w:t xml:space="preserve"> </w:t>
      </w:r>
      <w:r>
        <w:t xml:space="preserve">网易财经 | 存储行业专家交流（专家纪要） | https://www.163.com/dy/article/KEM194T105568W0A.html | 2025-11-18</w:t>
      </w:r>
    </w:p>
    <w:p>
      <w:pPr>
        <w:pStyle w:val="BodyText"/>
      </w:pPr>
      <w:fldSimple w:instr="NOTEREF _Ref_Footnote_62 \h \f">
        <w:r>
          <w:rPr>
            <w:vertAlign w:val="superscript"/>
          </w:rPr>
          <w:t>62</w:t>
        </w:r>
      </w:fldSimple>
      <w:r>
        <w:t xml:space="preserve"> </w:t>
      </w:r>
      <w:r>
        <w:t xml:space="preserve">财联社 | 中芯国际已经对部分产能实施了涨价 涨幅约为10% | https://www.cls.cn/detail/2238116 | 2025-12-23</w:t>
      </w:r>
    </w:p>
    <w:p>
      <w:pPr>
        <w:pStyle w:val="BodyText"/>
      </w:pPr>
      <w:fldSimple w:instr="NOTEREF _Ref_Footnote_63 \h \f">
        <w:r>
          <w:rPr>
            <w:vertAlign w:val="superscript"/>
          </w:rPr>
          <w:t>63</w:t>
        </w:r>
      </w:fldSimple>
      <w:r>
        <w:t xml:space="preserve"> </w:t>
      </w:r>
      <w:r>
        <w:t xml:space="preserve">什么值得买（行业信息汇总） | 2026年全球晶圆代工全面涨价5%-20%，8英寸与先进制程同步上调 | https://post.smzdm.com/p/a70qmg7o | 2026-03-16</w:t>
      </w:r>
    </w:p>
    <w:p>
      <w:pPr>
        <w:pStyle w:val="BodyText"/>
      </w:pPr>
      <w:fldSimple w:instr="NOTEREF _Ref_Footnote_64 \h \f">
        <w:r>
          <w:rPr>
            <w:vertAlign w:val="superscript"/>
          </w:rPr>
          <w:t>64</w:t>
        </w:r>
      </w:fldSimple>
      <w:r>
        <w:t xml:space="preserve"> </w:t>
      </w:r>
      <w:r>
        <w:t xml:space="preserve">财新 | 中芯国际一季度收入涨11.8% AI需求继续挤压产能 | https://www.caixin.com/2026-05-15/102444290.html | 2026-05-15</w:t>
      </w:r>
    </w:p>
    <w:p>
      <w:pPr>
        <w:pStyle w:val="BodyText"/>
      </w:pPr>
      <w:fldSimple w:instr="NOTEREF _Ref_Footnote_65 \h \f">
        <w:r>
          <w:rPr>
            <w:vertAlign w:val="superscript"/>
          </w:rPr>
          <w:t>65</w:t>
        </w:r>
      </w:fldSimple>
      <w:r>
        <w:t xml:space="preserve"> </w:t>
      </w:r>
      <w:r>
        <w:t xml:space="preserve">21ic电子网 | 全球成熟制程晶圆代工涨价潮来袭（力积电上调成熟制程代工价5%-10%） | https://www.21ic.com/a/1001765.html | 2026-03-18</w:t>
      </w:r>
    </w:p>
    <w:p>
      <w:pPr>
        <w:pStyle w:val="BodyText"/>
      </w:pPr>
      <w:fldSimple w:instr="NOTEREF _Ref_Footnote_66 \h \f">
        <w:r>
          <w:rPr>
            <w:vertAlign w:val="superscript"/>
          </w:rPr>
          <w:t>66</w:t>
        </w:r>
      </w:fldSimple>
      <w:r>
        <w:t xml:space="preserve"> </w:t>
      </w:r>
      <w:r>
        <w:t xml:space="preserve">网易财经（转引TrendForce集邦咨询） | 告别HBM独舞：成熟存储芯片暴涨100% | https://www.163.com/dy/article/KVL486LB0519DG1H.html | 2026-06-17</w:t>
      </w:r>
    </w:p>
    <w:p>
      <w:pPr>
        <w:pStyle w:val="BodyText"/>
      </w:pPr>
      <w:fldSimple w:instr="NOTEREF _Ref_Footnote_67 \h \f">
        <w:r>
          <w:rPr>
            <w:vertAlign w:val="superscript"/>
          </w:rPr>
          <w:t>67</w:t>
        </w:r>
      </w:fldSimple>
      <w:r>
        <w:t xml:space="preserve"> </w:t>
      </w:r>
      <w:r>
        <w:t xml:space="preserve">腾讯新闻/IT之家（转引TrendForce） | TrendForce：预估晶圆代工成熟制程涨价效应延伸至2027年 | https://view.inews.qq.com/a/20260630A0791W00 | 2026-06-30</w:t>
      </w:r>
    </w:p>
    <w:p>
      <w:pPr>
        <w:pStyle w:val="BodyText"/>
      </w:pPr>
      <w:fldSimple w:instr="NOTEREF _Ref_Footnote_68 \h \f">
        <w:r>
          <w:rPr>
            <w:vertAlign w:val="superscript"/>
          </w:rPr>
          <w:t>68</w:t>
        </w:r>
      </w:fldSimple>
      <w:r>
        <w:t xml:space="preserve"> </w:t>
      </w:r>
      <w:r>
        <w:t xml:space="preserve">财新；兆易创新投资者关系活动记录表（巨潮资讯） | 存储芯片开启涨价周期 产业链盈利能力如何？ | https://database.caixin.com/2025-11-23/102385916.html ；http://dataclouds.cninfo.com.cn/shgonggao/investor/2026/20260430/3e1cd6468f824113ad410724f5d84551.PDF | 2025-11-23；2026-04-29</w:t>
      </w:r>
    </w:p>
    <w:p>
      <w:pPr>
        <w:pStyle w:val="BodyText"/>
      </w:pPr>
      <w:fldSimple w:instr="NOTEREF _Ref_Footnote_69 \h \f">
        <w:r>
          <w:rPr>
            <w:vertAlign w:val="superscript"/>
          </w:rPr>
          <w:t>69</w:t>
        </w:r>
      </w:fldSimple>
      <w:r>
        <w:t xml:space="preserve"> </w:t>
      </w:r>
      <w:r>
        <w:t xml:space="preserve">众问（调研纪要汇编） | 东芯股份·688110 调研纪要汇编 | https://www.appletree.fund/wp-content/uploads/fluentform/ff-fb18ca17ac5d7be5b73cc73274416623-ff-%E4%B8%9C%E8%8A%AF%E8%82%A1%E4%BB%BD_20260627.pdf | 2026-06-27</w:t>
      </w:r>
    </w:p>
    <w:p>
      <w:pPr>
        <w:pStyle w:val="BodyText"/>
      </w:pPr>
      <w:fldSimple w:instr="NOTEREF _Ref_Footnote_70 \h \f">
        <w:r>
          <w:rPr>
            <w:vertAlign w:val="superscript"/>
          </w:rPr>
          <w:t>70</w:t>
        </w:r>
      </w:fldSimple>
      <w:r>
        <w:t xml:space="preserve"> </w:t>
      </w:r>
      <w:r>
        <w:t xml:space="preserve">界面新闻 | 东芯股份2026年一季度营收4.79亿元 同比增长236.95% | https://m.jiemian.com/article/14365600.html | 2026-04-30</w:t>
      </w:r>
    </w:p>
    <w:p>
      <w:pPr>
        <w:pStyle w:val="BodyText"/>
      </w:pPr>
      <w:fldSimple w:instr="NOTEREF _Ref_Footnote_71 \h \f">
        <w:r>
          <w:rPr>
            <w:vertAlign w:val="superscript"/>
          </w:rPr>
          <w:t>71</w:t>
        </w:r>
      </w:fldSimple>
      <w:r>
        <w:t xml:space="preserve"> </w:t>
      </w:r>
      <w:r>
        <w:t xml:space="preserve">东芯股份（新浪财经公告库） | 2025年年度报告 | http://money.finance.sina.com.cn/corp/view/vCB_AllBulletinDetail.php?stockid=688110&amp;id=12150601 | 2026-04-22</w:t>
      </w:r>
    </w:p>
    <w:p>
      <w:pPr>
        <w:pStyle w:val="BodyText"/>
      </w:pPr>
      <w:fldSimple w:instr="NOTEREF _Ref_Footnote_72 \h \f">
        <w:r>
          <w:rPr>
            <w:vertAlign w:val="superscript"/>
          </w:rPr>
          <w:t>72</w:t>
        </w:r>
      </w:fldSimple>
      <w:r>
        <w:t xml:space="preserve"> </w:t>
      </w:r>
      <w:r>
        <w:t xml:space="preserve">界面新闻（转引TrendForce/券商） | 上半年NOR Flash合约价涨幅超100%、SLC NAND涨幅达130%-150% | https://www.jiemian.com/article/14606209.html | 2026-06-17</w:t>
      </w:r>
    </w:p>
    <w:p>
      <w:pPr>
        <w:pStyle w:val="BodyText"/>
      </w:pPr>
      <w:fldSimple w:instr="NOTEREF _Ref_Footnote_73 \h \f">
        <w:r>
          <w:rPr>
            <w:vertAlign w:val="superscript"/>
          </w:rPr>
          <w:t>73</w:t>
        </w:r>
      </w:fldSimple>
      <w:r>
        <w:t xml:space="preserve"> </w:t>
      </w:r>
      <w:r>
        <w:t xml:space="preserve">财联社（采访TrendForce分析师） | SLC NAND二季度至四季度价格仍有约120%涨幅 | https://m.cls.cn/detail/2372257 | 2026-05-15</w:t>
      </w:r>
    </w:p>
    <w:p>
      <w:pPr>
        <w:pStyle w:val="BodyText"/>
      </w:pPr>
      <w:fldSimple w:instr="NOTEREF _Ref_Footnote_74 \h \f">
        <w:r>
          <w:rPr>
            <w:vertAlign w:val="superscript"/>
          </w:rPr>
          <w:t>74</w:t>
        </w:r>
      </w:fldSimple>
      <w:r>
        <w:t xml:space="preserve"> </w:t>
      </w:r>
      <w:r>
        <w:t xml:space="preserve">东芯股份（微信公众号转载） | 2025年半年报业绩交流会纪要 | http://mp.weixin.qq.com/s?__biz=MzIwNTc0NDAzMA==&amp;mid=2247491216&amp;idx=7 | 2025-08-23</w:t>
      </w:r>
    </w:p>
    <w:p>
      <w:pPr>
        <w:pStyle w:val="BodyText"/>
      </w:pPr>
      <w:fldSimple w:instr="NOTEREF _Ref_Footnote_75 \h \f">
        <w:r>
          <w:rPr>
            <w:vertAlign w:val="superscript"/>
          </w:rPr>
          <w:t>75</w:t>
        </w:r>
      </w:fldSimple>
      <w:r>
        <w:t xml:space="preserve"> </w:t>
      </w:r>
      <w:r>
        <w:t xml:space="preserve">国盛证券 | 电子行业周报：2026Q1消费型DRAM价格累计涨75%-80% | https://www.fxbaogao.com/detail/5410462 | 2026-05-10</w:t>
      </w:r>
    </w:p>
    <w:p>
      <w:pPr>
        <w:pStyle w:val="BodyText"/>
      </w:pPr>
      <w:fldSimple w:instr="NOTEREF _Ref_Footnote_76 \h \f">
        <w:r>
          <w:rPr>
            <w:vertAlign w:val="superscript"/>
          </w:rPr>
          <w:t>76</w:t>
        </w:r>
      </w:fldSimple>
      <w:r>
        <w:t xml:space="preserve"> </w:t>
      </w:r>
      <w:r>
        <w:t xml:space="preserve">调研前线（微信公众号） | 东芯股份业绩披露后近况更新（车规存储市场规模） | http://mp.weixin.qq.com/s?__biz=MzkzMzk4OTY0Ng==&amp;mid=2247483891&amp;idx=5&amp;sn=dcb3aa1ef0497f097ebfc8f1177834a8 | 2025-08-23</w:t>
      </w:r>
    </w:p>
    <w:p>
      <w:pPr>
        <w:pStyle w:val="BodyText"/>
      </w:pPr>
      <w:fldSimple w:instr="NOTEREF _Ref_Footnote_77 \h \f">
        <w:r>
          <w:rPr>
            <w:vertAlign w:val="superscript"/>
          </w:rPr>
          <w:t>77</w:t>
        </w:r>
      </w:fldSimple>
      <w:r>
        <w:t xml:space="preserve"> </w:t>
      </w:r>
      <w:r>
        <w:t xml:space="preserve">egsea（转引券商观点） | 存储芯片板块行情回顾（2025-09至2026-06） | https://www.egsea.com/quotation/stock-info/sh688766.html | 2026-07-16</w:t>
      </w:r>
    </w:p>
    <w:p>
      <w:pPr>
        <w:pStyle w:val="BodyText"/>
      </w:pPr>
      <w:fldSimple w:instr="NOTEREF _Ref_Footnote_78 \h \f">
        <w:r>
          <w:rPr>
            <w:vertAlign w:val="superscript"/>
          </w:rPr>
          <w:t>78</w:t>
        </w:r>
      </w:fldSimple>
      <w:r>
        <w:t xml:space="preserve"> </w:t>
      </w:r>
      <w:r>
        <w:t xml:space="preserve">新浪财经 | 兆易创新2026年一季度业绩：营收增119%、净利增523%、毛利率57.08% | https://finance.sina.com.cn/roll/2026-05-20/doc-inhyqcsf6831487.shtml | 2026-05-20</w:t>
      </w:r>
    </w:p>
    <w:p>
      <w:pPr>
        <w:pStyle w:val="BodyText"/>
      </w:pPr>
      <w:fldSimple w:instr="NOTEREF _Ref_Footnote_79 \h \f">
        <w:r>
          <w:rPr>
            <w:vertAlign w:val="superscript"/>
          </w:rPr>
          <w:t>79</w:t>
        </w:r>
      </w:fldSimple>
      <w:r>
        <w:t xml:space="preserve"> </w:t>
      </w:r>
      <w:r>
        <w:t xml:space="preserve">证券之星 | 存储芯片概念下跌5.20%，主力资金净流出161股 | https://stock.stockstar.com/IG2026071600027128.shtml | 2026-07-16</w:t>
      </w:r>
    </w:p>
    <w:p>
      <w:pPr>
        <w:pStyle w:val="BodyText"/>
      </w:pPr>
      <w:fldSimple w:instr="NOTEREF _Ref_Footnote_80 \h \f">
        <w:r>
          <w:rPr>
            <w:vertAlign w:val="superscript"/>
          </w:rPr>
          <w:t>80</w:t>
        </w:r>
      </w:fldSimple>
      <w:r>
        <w:t xml:space="preserve"> </w:t>
      </w:r>
      <w:r>
        <w:t xml:space="preserve">东方财富 | 存储芯片概念7月15日下跌5.20%（中芯国际-4.57%） | http://finance.eastmoney.com/a/202607153807496489.html | 2026-07-15</w:t>
      </w:r>
    </w:p>
    <w:p>
      <w:pPr>
        <w:pStyle w:val="BodyText"/>
      </w:pPr>
      <w:fldSimple w:instr="NOTEREF _Ref_Footnote_81 \h \f">
        <w:r>
          <w:rPr>
            <w:vertAlign w:val="superscript"/>
          </w:rPr>
          <w:t>81</w:t>
        </w:r>
      </w:fldSimple>
      <w:r>
        <w:t xml:space="preserve"> </w:t>
      </w:r>
      <w:r>
        <w:t xml:space="preserve">网易财经 | 芯片全产业链涨价潮（存储封测产能利用率直逼满载） | https://www.163.com/dy/article/KKAK5SIM0519QIKK.html | 2026-01-27</w:t>
      </w:r>
    </w:p>
    <w:p>
      <w:pPr>
        <w:pStyle w:val="BodyText"/>
      </w:pPr>
      <w:fldSimple w:instr="NOTEREF _Ref_Footnote_82 \h \f">
        <w:r>
          <w:rPr>
            <w:vertAlign w:val="superscript"/>
          </w:rPr>
          <w:t>82</w:t>
        </w:r>
      </w:fldSimple>
      <w:r>
        <w:t xml:space="preserve"> </w:t>
      </w:r>
      <w:r>
        <w:t xml:space="preserve">网易财经 | 联芸科技股价翻倍：全球第三方SSD主控出货第二、国内第一 | https://www.163.com/dy/article/KTK2BKN10519B3D7.html | 2026-05-23</w:t>
      </w:r>
    </w:p>
    <w:p>
      <w:pPr>
        <w:pStyle w:val="BodyText"/>
      </w:pPr>
      <w:fldSimple w:instr="NOTEREF _Ref_Footnote_83 \h \f">
        <w:r>
          <w:rPr>
            <w:vertAlign w:val="superscript"/>
          </w:rPr>
          <w:t>83</w:t>
        </w:r>
      </w:fldSimple>
      <w:r>
        <w:t xml:space="preserve"> </w:t>
      </w:r>
      <w:r>
        <w:t xml:space="preserve">网易财经（转载） | 东方证券：存储巨头业绩强劲 AI需求有望被持续挖掘 | https://www.163.com/dy/article/KKORH5UP05198UNI.html | 2026-02-02</w:t>
      </w:r>
    </w:p>
    <w:p>
      <w:pPr>
        <w:pStyle w:val="BodyText"/>
      </w:pPr>
      <w:fldSimple w:instr="NOTEREF _Ref_Footnote_84 \h \f">
        <w:r>
          <w:rPr>
            <w:vertAlign w:val="superscript"/>
          </w:rPr>
          <w:t>84</w:t>
        </w:r>
      </w:fldSimple>
      <w:r>
        <w:t xml:space="preserve"> </w:t>
      </w:r>
      <w:r>
        <w:t xml:space="preserve">新浪财经/腾讯新闻 | 华为哈勃退出东芯前十大股东（</w:t>
      </w:r>
      <w:r>
        <w:t xml:space="preserve">“</w:t>
      </w:r>
      <w:r>
        <w:t xml:space="preserve">存算野望</w:t>
      </w:r>
      <w:r>
        <w:t xml:space="preserve">”</w:t>
      </w:r>
      <w:r>
        <w:t xml:space="preserve">时间线） | https://cj.sina.cn/articles/view/2382970177/8e093d4102001hg12 | 2026-01-13</w:t>
      </w:r>
    </w:p>
    <w:p>
      <w:pPr>
        <w:pStyle w:val="BodyText"/>
      </w:pPr>
      <w:fldSimple w:instr="NOTEREF _Ref_Footnote_85 \h \f">
        <w:r>
          <w:rPr>
            <w:vertAlign w:val="superscript"/>
          </w:rPr>
          <w:t>85</w:t>
        </w:r>
      </w:fldSimple>
      <w:r>
        <w:t xml:space="preserve"> </w:t>
      </w:r>
      <w:r>
        <w:t xml:space="preserve">iFinD（同花顺）财务报表/财务指标/历史报表接口 | 东芯股份三大报表、财务指标及 2023—2024 年历史数据复核（取数 2026-07-17，报告期 2023A—2025A） | iFinD 数据接口（ifind_get_financial_statements / ifind_get_stock_financial_index） | 2026-07-17</w:t>
      </w:r>
    </w:p>
    <w:p>
      <w:pPr>
        <w:pStyle w:val="BodyText"/>
      </w:pPr>
      <w:fldSimple w:instr="NOTEREF _Ref_Footnote_86 \h \f">
        <w:r>
          <w:rPr>
            <w:vertAlign w:val="superscript"/>
          </w:rPr>
          <w:t>86</w:t>
        </w:r>
      </w:fldSimple>
      <w:r>
        <w:t xml:space="preserve"> </w:t>
      </w:r>
      <w:r>
        <w:t xml:space="preserve">华尔街见闻 | 东芯股份 2026Q1 业绩解读：管理层归因量价齐升 | https://wallstreetcn.com/articles/3771229 | 2026-04-29</w:t>
      </w:r>
    </w:p>
    <w:p>
      <w:pPr>
        <w:pStyle w:val="BodyText"/>
      </w:pPr>
      <w:fldSimple w:instr="NOTEREF _Ref_Footnote_87 \h \f">
        <w:r>
          <w:rPr>
            <w:vertAlign w:val="superscript"/>
          </w:rPr>
          <w:t>87</w:t>
        </w:r>
      </w:fldSimple>
      <w:r>
        <w:t xml:space="preserve"> </w:t>
      </w:r>
      <w:r>
        <w:t xml:space="preserve">财报解读（东芯 2025 年半年报） | 1xnm 闪存产品实现量产 | http://mp.weixin.qq.com/s?__biz=MjM5NzQwMDcwOA==&amp;mid=2663337849&amp;idx=5&amp;sn=b5825869500ec71552de15345237d1e2 | 2025-08-25</w:t>
      </w:r>
    </w:p>
    <w:p>
      <w:pPr>
        <w:pStyle w:val="BodyText"/>
      </w:pPr>
      <w:fldSimple w:instr="NOTEREF _Ref_Footnote_88 \h \f">
        <w:r>
          <w:rPr>
            <w:vertAlign w:val="superscript"/>
          </w:rPr>
          <w:t>88</w:t>
        </w:r>
      </w:fldSimple>
      <w:r>
        <w:t xml:space="preserve"> </w:t>
      </w:r>
      <w:r>
        <w:t xml:space="preserve">上证报中国证券网（搜狐号转载） | 东芯股份持有上海砺算 35.87% 股权、累计投资约 4.11 亿元 | https://www.sohu.com/a/1026320428_120988576 | 2026-05-22</w:t>
      </w:r>
    </w:p>
    <w:p>
      <w:pPr>
        <w:pStyle w:val="BodyText"/>
      </w:pPr>
      <w:fldSimple w:instr="NOTEREF _Ref_Footnote_89 \h \f">
        <w:r>
          <w:rPr>
            <w:vertAlign w:val="superscript"/>
          </w:rPr>
          <w:t>89</w:t>
        </w:r>
      </w:fldSimple>
      <w:r>
        <w:t xml:space="preserve"> </w:t>
      </w:r>
      <w:r>
        <w:t xml:space="preserve">佩妮科技/快科技（宣以方专访） | 砺算 7G100：2025-09 量产、12 月首批交付、2026-03 AWE2026 宣布发售时间线 | https://news.pedaily.cn/20260424/128410.shtml | 2026-04-24</w:t>
      </w:r>
    </w:p>
    <w:p>
      <w:pPr>
        <w:pStyle w:val="BodyText"/>
      </w:pPr>
      <w:fldSimple w:instr="NOTEREF _Ref_Footnote_90 \h \f">
        <w:r>
          <w:rPr>
            <w:vertAlign w:val="superscript"/>
          </w:rPr>
          <w:t>90</w:t>
        </w:r>
      </w:fldSimple>
      <w:r>
        <w:t xml:space="preserve"> </w:t>
      </w:r>
      <w:r>
        <w:t xml:space="preserve">IT之家/新浪科技 | 砺算 LX 7G100 消费级显卡零售版 7 月 17 日 20:00 京东开售、售价 2688 元；国内唯一通过微软 WHQL 认证国产独显 | https://finance.sina.com.cn/tech/discovery/2026-07-15/doc-inihwmie4848160.shtml | 2026-07-15</w:t>
      </w:r>
    </w:p>
    <w:p>
      <w:pPr>
        <w:pStyle w:val="BodyText"/>
      </w:pPr>
      <w:fldSimple w:instr="NOTEREF _Ref_Footnote_91 \h \f">
        <w:r>
          <w:rPr>
            <w:vertAlign w:val="superscript"/>
          </w:rPr>
          <w:t>91</w:t>
        </w:r>
      </w:fldSimple>
      <w:r>
        <w:t xml:space="preserve"> </w:t>
      </w:r>
      <w:r>
        <w:t xml:space="preserve">财联社/科创板日报（引公司异常波动公告） | 上海砺算与云计算服务商仅签署战略合作框架协议，尚未签署订单、尚未产生收入；产品并非大模型算力集群场景 | https://www.cls.cn/detail/2213199 | 2025-11-27</w:t>
      </w:r>
    </w:p>
    <w:p>
      <w:pPr>
        <w:pStyle w:val="BodyText"/>
      </w:pPr>
      <w:fldSimple w:instr="NOTEREF _Ref_Footnote_92 \h \f">
        <w:r>
          <w:rPr>
            <w:vertAlign w:val="superscript"/>
          </w:rPr>
          <w:t>92</w:t>
        </w:r>
      </w:fldSimple>
      <w:r>
        <w:t xml:space="preserve"> </w:t>
      </w:r>
      <w:r>
        <w:t xml:space="preserve">东芯股份风险提示/异常波动公告（腾讯财经公告库） | 全球独显约 98% 份额由英伟达/AMD 主导；砺算存在产业化进度、市场竞争、持续经营、单一产品依赖风险 | https://file.finance.qq.com/finance/hs/pdf/2025/08/01/1224355046.PDF | 2025-08-01</w:t>
      </w:r>
    </w:p>
    <w:p>
      <w:pPr>
        <w:pStyle w:val="BodyText"/>
      </w:pPr>
      <w:fldSimple w:instr="NOTEREF _Ref_Footnote_93 \h \f">
        <w:r>
          <w:rPr>
            <w:vertAlign w:val="superscript"/>
          </w:rPr>
          <w:t>93</w:t>
        </w:r>
      </w:fldSimple>
      <w:r>
        <w:t xml:space="preserve"> </w:t>
      </w:r>
      <w:r>
        <w:t xml:space="preserve">iFinD（同花顺）盈利预测接口 | 东芯股份一致预期：2026E 归母净利 6.115 亿（+413.9%）、营收 21.44 亿；2027E 6.255 亿；2028E 6.995 亿（取数 2026-07-17） | iFinD 数据接口（ifind_get_forecast） | 2026-07-17</w:t>
      </w:r>
    </w:p>
    <w:p>
      <w:pPr>
        <w:pStyle w:val="BodyText"/>
      </w:pPr>
      <w:fldSimple w:instr="NOTEREF _Ref_Footnote_94 \h \f">
        <w:r>
          <w:rPr>
            <w:vertAlign w:val="superscript"/>
          </w:rPr>
          <w:t>94</w:t>
        </w:r>
      </w:fldSimple>
      <w:r>
        <w:t xml:space="preserve"> </w:t>
      </w:r>
      <w:r>
        <w:t xml:space="preserve">甬兴证券研报（东方财富研报库 PDF） | 早期盈利预测锚：2025E 归母净利约 0.28 亿元、2026E 约 1.86 亿元 | https://pdf.dfcfw.com/pdf/H3_AP202501211642412615_1.pdf | 2025-01</w:t>
      </w:r>
    </w:p>
    <w:p>
      <w:pPr>
        <w:pStyle w:val="BodyText"/>
      </w:pPr>
      <w:fldSimple w:instr="NOTEREF _Ref_Footnote_95 \h \f">
        <w:r>
          <w:rPr>
            <w:vertAlign w:val="superscript"/>
          </w:rPr>
          <w:t>95</w:t>
        </w:r>
      </w:fldSimple>
      <w:r>
        <w:t xml:space="preserve"> </w:t>
      </w:r>
      <w:r>
        <w:t xml:space="preserve">iFinD（同花顺） | 行情、估值指标与一致预期：2026-07-16 收盘价 136.50 元、总市值约 604 亿元、PE(LYR) 约 -310 倍、PB(MRQ) 16.80、PS(LYR) 65.5；东芯一致预期 2026E—2028E 归母净利 6.115/6.255/6.995 亿元；可比公司市值、2025 年报、2026E 一致预期、动态 PE 与 YTD；历史高低点（7/1 盘中 209.55 元、4/2 盘中 104.01 元、2025 年末收盘 131.35 元）（取数 2026-07-16/17） | iFinD 数据接口（ifind_get_stock_realtime_price / ifind_get_forecast / ifind_get_price / ifind_get_financial_statements） | 2026-07-16/2026-07-17</w:t>
      </w:r>
    </w:p>
    <w:p>
      <w:pPr>
        <w:pStyle w:val="BodyText"/>
      </w:pPr>
      <w:fldSimple w:instr="NOTEREF _Ref_Footnote_96 \h \f">
        <w:r>
          <w:rPr>
            <w:vertAlign w:val="superscript"/>
          </w:rPr>
          <w:t>96</w:t>
        </w:r>
      </w:fldSimple>
      <w:r>
        <w:t xml:space="preserve"> </w:t>
      </w:r>
      <w:r>
        <w:t xml:space="preserve">财中社/格隆汇（引公司公告） | 控股股东东方恒信 2026 年 4 月询价转让 442.25 万股（占总股本 1.00%），价格 100.00 元/股，6 家机构全额认购 | https://www.caizhongshe.cn/article-7449428563700938005.html | 2026-04-14</w:t>
      </w:r>
    </w:p>
    <w:p>
      <w:pPr>
        <w:pStyle w:val="BodyText"/>
      </w:pPr>
      <w:fldSimple w:instr="NOTEREF _Ref_Footnote_97 \h \f">
        <w:r>
          <w:rPr>
            <w:vertAlign w:val="superscript"/>
          </w:rPr>
          <w:t>97</w:t>
        </w:r>
      </w:fldSimple>
      <w:r>
        <w:t xml:space="preserve"> </w:t>
      </w:r>
      <w:r>
        <w:t xml:space="preserve">东方财富行情中心 | 东芯股份 PE(TTM) 约 23850 倍（最近四个季度净利润合计约 0.02 亿元致指标极端失真） | https://quote.eastmoney.com/sh688110.html | 2026-07-15</w:t>
      </w:r>
    </w:p>
    <w:p>
      <w:pPr>
        <w:pStyle w:val="BodyText"/>
      </w:pPr>
      <w:fldSimple w:instr="NOTEREF _Ref_Footnote_98 \h \f">
        <w:r>
          <w:rPr>
            <w:vertAlign w:val="superscript"/>
          </w:rPr>
          <w:t>98</w:t>
        </w:r>
      </w:fldSimple>
      <w:r>
        <w:t xml:space="preserve"> </w:t>
      </w:r>
      <w:r>
        <w:t xml:space="preserve">搜狐-股市必读（引公司股票交易风险提示公告） |</w:t>
      </w:r>
      <w:r>
        <w:t xml:space="preserve"> </w:t>
      </w:r>
      <w:r>
        <w:t xml:space="preserve">“</w:t>
      </w:r>
      <w:r>
        <w:t xml:space="preserve">静态市盈率为负、显著高于行业平均水平，估值较高……市场情绪过热及非理性炒作风险</w:t>
      </w:r>
      <w:r>
        <w:t xml:space="preserve">”</w:t>
      </w:r>
      <w:r>
        <w:t xml:space="preserve"> </w:t>
      </w:r>
      <w:r>
        <w:t xml:space="preserve">| https://www.sohu.com/a/1044453326_115377 | 2026-07-02（公告日 2026-06-30）</w:t>
      </w:r>
    </w:p>
    <w:p>
      <w:pPr>
        <w:pStyle w:val="BodyText"/>
      </w:pPr>
      <w:fldSimple w:instr="NOTEREF _Ref_Footnote_99 \h \f">
        <w:r>
          <w:rPr>
            <w:vertAlign w:val="superscript"/>
          </w:rPr>
          <w:t>99</w:t>
        </w:r>
      </w:fldSimple>
      <w:r>
        <w:t xml:space="preserve"> </w:t>
      </w:r>
      <w:r>
        <w:t xml:space="preserve">中财网（引长鑫科技发行公告） | 长鑫科技发行价 8.66 元/股，此价格对应的发行市盈率为 278.03 倍 | https://www.cfi.net.cn/p20260715002734.html | 2026-07-15</w:t>
      </w:r>
    </w:p>
    <w:p>
      <w:pPr>
        <w:pStyle w:val="BodyText"/>
      </w:pPr>
      <w:fldSimple w:instr="NOTEREF _Ref_Footnote_100 \h \f">
        <w:r>
          <w:rPr>
            <w:vertAlign w:val="superscript"/>
          </w:rPr>
          <w:t>100</w:t>
        </w:r>
      </w:fldSimple>
      <w:r>
        <w:t xml:space="preserve"> </w:t>
      </w:r>
      <w:r>
        <w:t xml:space="preserve">雪球（引国联民生电子） | 普冉股份收购 SHM（SkyHigh Memory）：SLC NAND 全球市占约 9%、2026 年并表 | https://xueqiu.com/1383743865/353766024 | 2025-09-22</w:t>
      </w:r>
    </w:p>
    <w:p>
      <w:pPr>
        <w:pStyle w:val="BodyText"/>
      </w:pPr>
      <w:fldSimple w:instr="NOTEREF _Ref_Footnote_101 \h \f">
        <w:r>
          <w:rPr>
            <w:vertAlign w:val="superscript"/>
          </w:rPr>
          <w:t>101</w:t>
        </w:r>
      </w:fldSimple>
      <w:r>
        <w:t xml:space="preserve"> </w:t>
      </w:r>
      <w:r>
        <w:t xml:space="preserve">搜狐财经/南方财富 | 东芯 2026 年 5 月 11 日盘中 170.70 元创近一年新高；5 月 15 日总市值 690.44 亿元 | https://m.sohu.com/a/1023621853_115377 | 2026-05-17</w:t>
      </w:r>
    </w:p>
    <w:p>
      <w:pPr>
        <w:pStyle w:val="BodyText"/>
      </w:pPr>
      <w:fldSimple w:instr="NOTEREF _Ref_Footnote_102 \h \f">
        <w:r>
          <w:rPr>
            <w:vertAlign w:val="superscript"/>
          </w:rPr>
          <w:t>102</w:t>
        </w:r>
      </w:fldSimple>
      <w:r>
        <w:t xml:space="preserve"> </w:t>
      </w:r>
      <w:r>
        <w:t xml:space="preserve">券商存储涨价点评（新浪财经转载） |</w:t>
      </w:r>
      <w:r>
        <w:t xml:space="preserve"> </w:t>
      </w:r>
      <w:r>
        <w:t xml:space="preserve">“</w:t>
      </w:r>
      <w:r>
        <w:t xml:space="preserve">存储原厂正在从 PB 估值向 PE 估值切换；利基存储则有望从周期品估值向成长股估值过渡</w:t>
      </w:r>
      <w:r>
        <w:t xml:space="preserve">”</w:t>
      </w:r>
      <w:r>
        <w:t xml:space="preserve"> </w:t>
      </w:r>
      <w:r>
        <w:t xml:space="preserve">| https://www.sina.cn/news/detail/5312640181341049.html | 2026-06-22</w:t>
      </w:r>
    </w:p>
    <w:p>
      <w:pPr>
        <w:pStyle w:val="BodyText"/>
      </w:pPr>
      <w:fldSimple w:instr="NOTEREF _Ref_Footnote_103 \h \f">
        <w:r>
          <w:rPr>
            <w:vertAlign w:val="superscript"/>
          </w:rPr>
          <w:t>103</w:t>
        </w:r>
      </w:fldSimple>
      <w:r>
        <w:t xml:space="preserve"> </w:t>
      </w:r>
      <w:r>
        <w:t xml:space="preserve">东方财富财富号（自媒体测算，置信度中低） | fabless 设计公司周期修复参考历史区间 6—12 倍 PS、周期修复 25—35 倍 PE；对东芯按”存储业务估值 + 砺算 GPU 期权”分部加总 | https://emcreative.eastmoney.com/app_fortune/article/index.html?artCode=20260627221040760388530 | 2026-06-28</w:t>
      </w:r>
    </w:p>
    <w:p>
      <w:pPr>
        <w:pStyle w:val="BodyText"/>
      </w:pPr>
      <w:fldSimple w:instr="NOTEREF _Ref_Footnote_104 \h \f">
        <w:r>
          <w:rPr>
            <w:vertAlign w:val="superscript"/>
          </w:rPr>
          <w:t>104</w:t>
        </w:r>
      </w:fldSimple>
      <w:r>
        <w:t xml:space="preserve"> </w:t>
      </w:r>
      <w:r>
        <w:t xml:space="preserve">新浪财经（转载卖方路演逻辑） | 2026 年存储业务有望翻倍增长至 20 亿收入/7 亿净利润；砺算 GPU 远期按”消费级显卡市场 1000 亿 × 40% 份额→400 亿营收/120 亿利润”展望 | https://finance.sina.com.cn/roll/2026-01-28/doc-inhiwaht8953908.shtml | 2026-01-28</w:t>
      </w:r>
    </w:p>
    <w:p>
      <w:pPr>
        <w:pStyle w:val="BodyText"/>
      </w:pPr>
      <w:fldSimple w:instr="NOTEREF _Ref_Footnote_105 \h \f">
        <w:r>
          <w:rPr>
            <w:vertAlign w:val="superscript"/>
          </w:rPr>
          <w:t>105</w:t>
        </w:r>
      </w:fldSimple>
      <w:r>
        <w:t xml:space="preserve"> </w:t>
      </w:r>
      <w:r>
        <w:t xml:space="preserve">兆易创新风险提示公告（券商中国/新浪转载） |</w:t>
      </w:r>
      <w:r>
        <w:t xml:space="preserve"> </w:t>
      </w:r>
      <w:r>
        <w:t xml:space="preserve">“</w:t>
      </w:r>
      <w:r>
        <w:t xml:space="preserve">公司滚动市盈率显著高于行业水平，存在估值较高的风险</w:t>
      </w:r>
      <w:r>
        <w:t xml:space="preserve">”</w:t>
      </w:r>
      <w:r>
        <w:t xml:space="preserve"> </w:t>
      </w:r>
      <w:r>
        <w:t xml:space="preserve">| https://www.sina.cn/news/detail/5316262823200697.html | 2026-07-02</w:t>
      </w:r>
    </w:p>
    <w:p>
      <w:pPr>
        <w:pStyle w:val="BodyText"/>
      </w:pPr>
      <w:fldSimple w:instr="NOTEREF _Ref_Footnote_106 \h \f">
        <w:r>
          <w:rPr>
            <w:vertAlign w:val="superscript"/>
          </w:rPr>
          <w:t>106</w:t>
        </w:r>
      </w:fldSimple>
      <w:r>
        <w:t xml:space="preserve"> </w:t>
      </w:r>
      <w:r>
        <w:t xml:space="preserve">新浪财经（引华鑫证券研报） | 兆易创新 7 月 9 日涨停收 663.49 元；华鑫证券预测 2026E EPS 8.35 元、对应 PE 约 92 倍 | https://finance.sina.com.cn/wm/2026-07-10/doc-inihinfz5141000.shtml | 2026-07-10</w:t>
      </w:r>
    </w:p>
    <w:p>
      <w:pPr>
        <w:pStyle w:val="BodyText"/>
      </w:pPr>
      <w:fldSimple w:instr="NOTEREF _Ref_Footnote_107 \h \f">
        <w:r>
          <w:rPr>
            <w:vertAlign w:val="superscript"/>
          </w:rPr>
          <w:t>107</w:t>
        </w:r>
      </w:fldSimple>
      <w:r>
        <w:t xml:space="preserve"> </w:t>
      </w:r>
      <w:r>
        <w:t xml:space="preserve">新浪财经/投资时间网 | 东芯 2021—2024 年归母净利润分别为 2.62/1.85/-3.06/-1.67 亿元，2023 年起连亏三年 | https://finance.sina.com.cn/roll/2026-05-26/doc-inhzekny9227803.shtml | 2026-05-26</w:t>
      </w:r>
    </w:p>
    <w:p>
      <w:pPr>
        <w:pStyle w:val="BodyText"/>
      </w:pPr>
      <w:fldSimple w:instr="NOTEREF _Ref_Footnote_108 \h \f">
        <w:r>
          <w:rPr>
            <w:vertAlign w:val="superscript"/>
          </w:rPr>
          <w:t>108</w:t>
        </w:r>
      </w:fldSimple>
      <w:r>
        <w:t xml:space="preserve"> </w:t>
      </w:r>
      <w:r>
        <w:t xml:space="preserve">证券之星 | 东芯股份 7 月 2 日跌 8.89%，主力资金净流出 13.72 亿元（占成交额 26.2%） | https://stock.stockstar.com/RB2026070200025642.shtml | 2026-07-02</w:t>
      </w:r>
    </w:p>
    <w:p>
      <w:pPr>
        <w:pStyle w:val="BodyText"/>
      </w:pPr>
      <w:fldSimple w:instr="NOTEREF _Ref_Footnote_109 \h \f">
        <w:r>
          <w:rPr>
            <w:vertAlign w:val="superscript"/>
          </w:rPr>
          <w:t>109</w:t>
        </w:r>
      </w:fldSimple>
      <w:r>
        <w:t xml:space="preserve"> </w:t>
      </w:r>
      <w:r>
        <w:t xml:space="preserve">证券之星 | 东芯股份 7 月 3 日涨 1.53%，主力资金净流出 2.68 亿元 | https://stock.stockstar.com/RB2026070300028247.shtml | 2026-07-03</w:t>
      </w:r>
    </w:p>
    <w:p>
      <w:pPr>
        <w:pStyle w:val="BodyText"/>
      </w:pPr>
      <w:fldSimple w:instr="NOTEREF _Ref_Footnote_110 \h \f">
        <w:r>
          <w:rPr>
            <w:vertAlign w:val="superscript"/>
          </w:rPr>
          <w:t>110</w:t>
        </w:r>
      </w:fldSimple>
      <w:r>
        <w:t xml:space="preserve"> </w:t>
      </w:r>
      <w:r>
        <w:t xml:space="preserve">搜狐 | 东芯股份 7 月 8 日资金流向（主力净流入 0.34 亿元） | https://www.sohu.com/a/1047645340_121319643 | 2026-07-08</w:t>
      </w:r>
    </w:p>
    <w:p>
      <w:pPr>
        <w:pStyle w:val="BodyText"/>
      </w:pPr>
      <w:fldSimple w:instr="NOTEREF _Ref_Footnote_111 \h \f">
        <w:r>
          <w:rPr>
            <w:vertAlign w:val="superscript"/>
          </w:rPr>
          <w:t>111</w:t>
        </w:r>
      </w:fldSimple>
      <w:r>
        <w:t xml:space="preserve"> </w:t>
      </w:r>
      <w:r>
        <w:t xml:space="preserve">证券之星 | 东芯股份 7 月 13 日跌 6.01%，主力资金净流出 4.17 亿元 | https://stock.stockstar.com/RB2026071300033167.shtml | 2026-07-13</w:t>
      </w:r>
    </w:p>
    <w:p>
      <w:pPr>
        <w:pStyle w:val="BodyText"/>
      </w:pPr>
      <w:fldSimple w:instr="NOTEREF _Ref_Footnote_112 \h \f">
        <w:r>
          <w:rPr>
            <w:vertAlign w:val="superscript"/>
          </w:rPr>
          <w:t>112</w:t>
        </w:r>
      </w:fldSimple>
      <w:r>
        <w:t xml:space="preserve"> </w:t>
      </w:r>
      <w:r>
        <w:t xml:space="preserve">搜狐 | 东芯股份 6 月 15 日主力资金净流入 4.55 亿元 | https://www.sohu.com/a/1037122771_115377 | 2026-06-15</w:t>
      </w:r>
    </w:p>
    <w:p>
      <w:pPr>
        <w:pStyle w:val="BodyText"/>
      </w:pPr>
      <w:fldSimple w:instr="NOTEREF _Ref_Footnote_113 \h \f">
        <w:r>
          <w:rPr>
            <w:vertAlign w:val="superscript"/>
          </w:rPr>
          <w:t>113</w:t>
        </w:r>
      </w:fldSimple>
      <w:r>
        <w:t xml:space="preserve"> </w:t>
      </w:r>
      <w:r>
        <w:t xml:space="preserve">东方财富 | 东芯股份融资融券数据（融资余额 33.53 亿、融券余额 1547.27 万元、两融合计 33.40 亿） | https://data.eastmoney.com/rzrq/stock/688110.html ; https://finance.eastmoney.com/a/202607143804418910.html | 2026-07-14</w:t>
      </w:r>
    </w:p>
    <w:p>
      <w:pPr>
        <w:pStyle w:val="BodyText"/>
      </w:pPr>
      <w:fldSimple w:instr="NOTEREF _Ref_Footnote_114 \h \f">
        <w:r>
          <w:rPr>
            <w:vertAlign w:val="superscript"/>
          </w:rPr>
          <w:t>114</w:t>
        </w:r>
      </w:fldSimple>
      <w:r>
        <w:t xml:space="preserve"> </w:t>
      </w:r>
      <w:r>
        <w:t xml:space="preserve">新浪证券-红岸工作室（搜狐转载） | 东芯股份 2026 年以来龙虎榜数据综述（最近 2026-05-25，7 月暴跌期间无披露） | https://www.sohu.com/a/1047336709_122014422 | 2026-07-08</w:t>
      </w:r>
    </w:p>
    <w:p>
      <w:pPr>
        <w:pStyle w:val="BodyText"/>
      </w:pPr>
      <w:fldSimple w:instr="NOTEREF _Ref_Footnote_115 \h \f">
        <w:r>
          <w:rPr>
            <w:vertAlign w:val="superscript"/>
          </w:rPr>
          <w:t>115</w:t>
        </w:r>
      </w:fldSimple>
      <w:r>
        <w:t xml:space="preserve"> </w:t>
      </w:r>
      <w:r>
        <w:t xml:space="preserve">iFinD 同花顺 | ifind_get_holder_info：股东户数 48,842 户（同比 +139.75%、环比 +3.84%）；47 家机构合计持股 41.32%（基金 3.34% 约 1475.9 万股，均为指数 ETF） | 本地数据文件 dongxin_holder.csv | 2026-07-13 查询</w:t>
      </w:r>
    </w:p>
    <w:p>
      <w:pPr>
        <w:pStyle w:val="BodyText"/>
      </w:pPr>
      <w:fldSimple w:instr="NOTEREF _Ref_Footnote_116 \h \f">
        <w:r>
          <w:rPr>
            <w:vertAlign w:val="superscript"/>
          </w:rPr>
          <w:t>116</w:t>
        </w:r>
      </w:fldSimple>
      <w:r>
        <w:t xml:space="preserve"> </w:t>
      </w:r>
      <w:r>
        <w:t xml:space="preserve">搜狐行情/理杏仁 | 东芯股份限售解禁表：2026-10-13 解禁 442.25 万股（占总股本 1.00%），受让方 6 家机构、成本 100.00 元/股 | https://q.stock.sohu.com/cn/688110/xsjj.shtml ; https://www.lixinger.com/equity/company/detail/sh/688110/688110/capital-structure/restricted-shares-lifted | 2026-07-07 查询</w:t>
      </w:r>
    </w:p>
    <w:p>
      <w:pPr>
        <w:pStyle w:val="BodyText"/>
      </w:pPr>
      <w:fldSimple w:instr="NOTEREF _Ref_Footnote_117 \h \f">
        <w:r>
          <w:rPr>
            <w:vertAlign w:val="superscript"/>
          </w:rPr>
          <w:t>117</w:t>
        </w:r>
      </w:fldSimple>
      <w:r>
        <w:t xml:space="preserve"> </w:t>
      </w:r>
      <w:r>
        <w:t xml:space="preserve">特特股/爱金股 | 国家集成电路产业投资基金二期持有东芯股份 329.7 万股（0.745%，</w:t>
      </w:r>
      <w:r>
        <w:t xml:space="preserve">“</w:t>
      </w:r>
      <w:r>
        <w:t xml:space="preserve">未变</w:t>
      </w:r>
      <w:r>
        <w:t xml:space="preserve">”</w:t>
      </w:r>
      <w:r>
        <w:t xml:space="preserve">） | http://m.tetegu.com/niusans/集成电路产业投资基金二期股份有 ; https://www.aijingu.com/jgmx/78136799.html | 数据期 2025-03-31</w:t>
      </w:r>
    </w:p>
    <w:p>
      <w:pPr>
        <w:pStyle w:val="BodyText"/>
      </w:pPr>
      <w:fldSimple w:instr="NOTEREF _Ref_Footnote_118 \h \f">
        <w:r>
          <w:rPr>
            <w:vertAlign w:val="superscript"/>
          </w:rPr>
          <w:t>118</w:t>
        </w:r>
      </w:fldSimple>
      <w:r>
        <w:t xml:space="preserve"> </w:t>
      </w:r>
      <w:r>
        <w:t xml:space="preserve">iFinD 同花顺 | ifind_get_stock_announcement 公告全量核查：2026-04-01 至 07-16 共 117 条，无新增减持计划/进展公告（</w:t>
      </w:r>
      <w:r>
        <w:t xml:space="preserve">“</w:t>
      </w:r>
      <w:r>
        <w:t xml:space="preserve">减持</w:t>
      </w:r>
      <w:r>
        <w:t xml:space="preserve">”</w:t>
      </w:r>
      <w:r>
        <w:t xml:space="preserve">零命中，仅 4 月询价转让 5 条） | 本地数据文件 dongxin_ann_0407.csv | 2026-07-17 查询</w:t>
      </w:r>
    </w:p>
    <w:p>
      <w:pPr>
        <w:pStyle w:val="BodyText"/>
      </w:pPr>
      <w:fldSimple w:instr="NOTEREF _Ref_Footnote_119 \h \f">
        <w:r>
          <w:rPr>
            <w:vertAlign w:val="superscript"/>
          </w:rPr>
          <w:t>119</w:t>
        </w:r>
      </w:fldSimple>
      <w:r>
        <w:t xml:space="preserve"> </w:t>
      </w:r>
      <w:r>
        <w:t xml:space="preserve">金融界（163 转载） | 东芯股份董事会审议通过发行 H 股并在香港联交所主板上市议案（细节未定） | https://www.163.com/dy/article/KTIEPUR80519QIKK.html | 2026-05-22</w:t>
      </w:r>
    </w:p>
    <w:p>
      <w:pPr>
        <w:pStyle w:val="BodyText"/>
      </w:pPr>
      <w:fldSimple w:instr="NOTEREF _Ref_Footnote_120 \h \f">
        <w:r>
          <w:rPr>
            <w:vertAlign w:val="superscript"/>
          </w:rPr>
          <w:t>120</w:t>
        </w:r>
      </w:fldSimple>
      <w:r>
        <w:t xml:space="preserve"> </w:t>
      </w:r>
      <w:r>
        <w:t xml:space="preserve">新浪财经 | 长江存储 2026-05-19 完成 IPO 辅导备案；截至 7/16 未见递表受理公告 | https://cj.sina.cn/articles/view/1642634100/61e89b7404001no00?from=finance | 2026-05-19</w:t>
      </w:r>
    </w:p>
    <w:p>
      <w:pPr>
        <w:pStyle w:val="BodyText"/>
      </w:pPr>
      <w:fldSimple w:instr="NOTEREF _Ref_Footnote_121 \h \f">
        <w:r>
          <w:rPr>
            <w:vertAlign w:val="superscript"/>
          </w:rPr>
          <w:t>121</w:t>
        </w:r>
      </w:fldSimple>
      <w:r>
        <w:t xml:space="preserve"> </w:t>
      </w:r>
      <w:r>
        <w:t xml:space="preserve">东方财富数据中心 | 东芯股份 2026 年半年报预约 2026-08-22 披露；近 6 个月公告中无 2026 半年度业绩预告（科创板非强制） | https://data.eastmoney.com/stockdata/688110.html | 2026-07-16 查询</w:t>
      </w:r>
    </w:p>
    <w:p>
      <w:pPr>
        <w:pStyle w:val="BodyText"/>
      </w:pPr>
      <w:fldSimple w:instr="NOTEREF _Ref_Footnote_122 \h \f">
        <w:r>
          <w:rPr>
            <w:vertAlign w:val="superscript"/>
          </w:rPr>
          <w:t>122</w:t>
        </w:r>
      </w:fldSimple>
      <w:r>
        <w:t xml:space="preserve"> </w:t>
      </w:r>
      <w:r>
        <w:t xml:space="preserve">TrendForce（c114/新浪财经转引） | 2026Q3 传统 DRAM 合约价环比 +13~18%、NAND +10~15%，涨幅近一年首次跌破 20% | https://m.c114.com.cn/w16-1313317.html ; https://finance.sina.cn/stock/jdts/2026-07-06/detail-inifvqsc8835947.d.html | 2026-07-03/06</w:t>
      </w:r>
    </w:p>
    <w:p>
      <w:pPr>
        <w:pStyle w:val="BodyText"/>
      </w:pPr>
      <w:fldSimple w:instr="NOTEREF _Ref_Footnote_123 \h \f">
        <w:r>
          <w:rPr>
            <w:vertAlign w:val="superscript"/>
          </w:rPr>
          <w:t>123</w:t>
        </w:r>
      </w:fldSimple>
      <w:r>
        <w:t xml:space="preserve"> </w:t>
      </w:r>
      <w:r>
        <w:t xml:space="preserve">iFinD 同花顺 | ifind_get_forecast 一致预期：2026E 归母净利 6.115 亿元（+413.9%）、营收 21.44 亿元；按 7/16 收盘市值约 604 亿元对应 Forward PE 约 99 倍（可比公司兆易创新约 72 倍、普冉股份约 73 倍） | 本地数据文件 dongxin_forecast.csv | 2026-07-17 查询</w:t>
      </w:r>
    </w:p>
    <w:p>
      <w:pPr>
        <w:pStyle w:val="BodyText"/>
      </w:pPr>
      <w:fldSimple w:instr="NOTEREF _Ref_Footnote_124 \h \f">
        <w:r>
          <w:rPr>
            <w:vertAlign w:val="superscript"/>
          </w:rPr>
          <w:t>124</w:t>
        </w:r>
      </w:fldSimple>
      <w:r>
        <w:t xml:space="preserve"> </w:t>
      </w:r>
      <w:r>
        <w:t xml:space="preserve">公司公告（iFinD 公告接口，公告编号 2026-046）+财联社 | H 股发行议案 2026-06-08 第二次临时股东会高票通过（同意约 96.35%）；拟发行不超过总股本 10% 的 H 股+不超过 15% 超额配售权 | https://www.cls.cn/detail/2379408 | 2026-05-23/06-09</w:t>
      </w:r>
    </w:p>
    <w:p>
      <w:pPr>
        <w:pStyle w:val="BodyText"/>
      </w:pPr>
      <w:fldSimple w:instr="NOTEREF _Ref_Footnote_125 \h \f">
        <w:r>
          <w:rPr>
            <w:vertAlign w:val="superscript"/>
          </w:rPr>
          <w:t>125</w:t>
        </w:r>
      </w:fldSimple>
      <w:r>
        <w:t xml:space="preserve"> </w:t>
      </w:r>
      <w:r>
        <w:t xml:space="preserve">东芯股份 2026 年第一季度报告（上交所公告） | 2026Q1 营收 4.79 亿元（+236.95%）、归母净利 1.38 亿元、毛利率 53.17%、存货 11.93 亿元、对上海砺算确认投资亏损约 2100 万元 | http://file.finance.sina.com.cn/211.154.219.97:9494/MRGG/CNSESH_STOCK/2026/2026-4/2026-04-30/12273988.PDF | 2026-04-30</w:t>
      </w:r>
    </w:p>
    <w:p>
      <w:pPr>
        <w:pStyle w:val="BodyText"/>
      </w:pPr>
      <w:fldSimple w:instr="NOTEREF _Ref_Footnote_126 \h \f">
        <w:r>
          <w:rPr>
            <w:vertAlign w:val="superscript"/>
          </w:rPr>
          <w:t>126</w:t>
        </w:r>
      </w:fldSimple>
      <w:r>
        <w:t xml:space="preserve"> </w:t>
      </w:r>
      <w:r>
        <w:t xml:space="preserve">每日经济新闻（腾讯新闻转载） | 东方恒信等 2025-10 询价转让 1326.75 万股、82.50 元/股（较当日收盘折价约 16%）、套现约 10.95 亿元；两轮询价合计约 15.4 亿元，合计持股 37.47%→33.47% | https://news.qq.com/rain/a/20251013A08EJF00 | 2025-10-13</w:t>
      </w:r>
    </w:p>
    <w:p>
      <w:pPr>
        <w:pStyle w:val="BodyText"/>
      </w:pPr>
      <w:fldSimple w:instr="NOTEREF _Ref_Footnote_127 \h \f">
        <w:r>
          <w:rPr>
            <w:vertAlign w:val="superscript"/>
          </w:rPr>
          <w:t>127</w:t>
        </w:r>
      </w:fldSimple>
      <w:r>
        <w:t xml:space="preserve"> </w:t>
      </w:r>
      <w:r>
        <w:t xml:space="preserve">华尔街见闻（引公司业绩预告） | 东芯 2025 年业绩预告：归母净利亏损 1.74~2.14 亿元；2025 年度确认砺算投资亏损约 1.66 亿元（占归母亏损 85% 以上） | https://wallstreetcn.com/articles/3764024 | 2026-01-23</w:t>
      </w:r>
    </w:p>
    <w:p>
      <w:pPr>
        <w:pStyle w:val="BodyText"/>
      </w:pPr>
      <w:fldSimple w:instr="NOTEREF _Ref_Footnote_128 \h \f">
        <w:r>
          <w:rPr>
            <w:vertAlign w:val="superscript"/>
          </w:rPr>
          <w:t>128</w:t>
        </w:r>
      </w:fldSimple>
      <w:r>
        <w:t xml:space="preserve"> </w:t>
      </w:r>
      <w:r>
        <w:t xml:space="preserve">华尔街见闻 | 伯恩斯坦：预计 Q2 合约价环比约 +60%，但消费需求破坏下 Q3 涨势明显放缓 | https://wallstreetcn.com/articles/3773885 | 2026-07-04</w:t>
      </w:r>
    </w:p>
    <w:p>
      <w:pPr>
        <w:pStyle w:val="BodyText"/>
      </w:pPr>
      <w:fldSimple w:instr="NOTEREF _Ref_Footnote_129 \h \f">
        <w:r>
          <w:rPr>
            <w:vertAlign w:val="superscript"/>
          </w:rPr>
          <w:t>129</w:t>
        </w:r>
      </w:fldSimple>
      <w:r>
        <w:t xml:space="preserve"> </w:t>
      </w:r>
      <w:r>
        <w:t xml:space="preserve">公司《股票交易风险提示公告》（新浪财经公告页） | 6/16~6/30 连续 10 个交易日涨幅偏离值累计 24.74%；公司静态市盈率为负、显著高于行业水平 | http://money.finance.sina.com.cn/corp/view/vCB_AllBulletinDetail.php?stockid=688110&amp;id=12424436 | 2026-07-01</w:t>
      </w:r>
    </w:p>
    <w:p>
      <w:pPr>
        <w:pStyle w:val="BodyText"/>
      </w:pPr>
      <w:fldSimple w:instr="NOTEREF _Ref_Footnote_130 \h \f">
        <w:r>
          <w:rPr>
            <w:vertAlign w:val="superscript"/>
          </w:rPr>
          <w:t>130</w:t>
        </w:r>
      </w:fldSimple>
      <w:r>
        <w:t xml:space="preserve"> </w:t>
      </w:r>
      <w:r>
        <w:t xml:space="preserve">iFinD 同花顺 | ifind_get_price 日线：6/30 收 203.70 元、7/1 盘中高点 209.55 元、7/16 收 136.50 元（回撤约 35%）；7/10、7/13、7/15、7/16 四个交易日单日跌逾 5% | 本地数据文件 dongxin_price_junjul.csv | 2026-07-17 查询</w:t>
      </w:r>
    </w:p>
    <w:p>
      <w:pPr>
        <w:pStyle w:val="BodyText"/>
      </w:pPr>
      <w:fldSimple w:instr="NOTEREF _Ref_Footnote_131 \h \f">
        <w:r>
          <w:rPr>
            <w:vertAlign w:val="superscript"/>
          </w:rPr>
          <w:t>131</w:t>
        </w:r>
      </w:fldSimple>
      <w:r>
        <w:t xml:space="preserve"> </w:t>
      </w:r>
      <w:r>
        <w:t xml:space="preserve">腾讯新闻（科创板日报） | 东吴证券 2026 年 1 月下调东芯 2025 年预测至 -1.6 亿元（实际披露 -1.95 亿元，逊于已下修预期） | https://view.inews.qq.com/a/20260123A08EC800 | 2026-01-23</w:t>
      </w:r>
    </w:p>
    <w:p>
      <w:pPr>
        <w:pStyle w:val="BodyText"/>
      </w:pPr>
      <w:fldSimple w:instr="NOTEREF _Ref_Footnote_132 \h \f">
        <w:r>
          <w:rPr>
            <w:vertAlign w:val="superscript"/>
          </w:rPr>
          <w:t>132</w:t>
        </w:r>
      </w:fldSimple>
      <w:r>
        <w:t xml:space="preserve"> </w:t>
      </w:r>
      <w:r>
        <w:t xml:space="preserve">华盛通 | 东芯股份最近 90 天内共 3 家机构给出评级（买入 1、增持 1、中性 1），无公开目标价 | https://www.hstong.com/news/detail/10260709177208051 | 2026-07-09</w:t>
      </w:r>
    </w:p>
    <w:p>
      <w:pPr>
        <w:pStyle w:val="BodyText"/>
      </w:pPr>
      <w:fldSimple w:instr="NOTEREF _Ref_Footnote_133 \h \f">
        <w:r>
          <w:rPr>
            <w:vertAlign w:val="superscript"/>
          </w:rPr>
          <w:t>133</w:t>
        </w:r>
      </w:fldSimple>
      <w:r>
        <w:t xml:space="preserve"> </w:t>
      </w:r>
      <w:r>
        <w:t xml:space="preserve">iFinD（同花顺） | 行情与一致预期：2026-07-16 收盘 136.50 元、总市值约 604 亿元、2026E 归母净利 6.115 亿元（隐含 Q2—Q4 合计约 4.7 亿元）、动态 PE 约 99 倍；牛市/基准/熊市情景估值区间（144.7—162.8 元／75.8—106.0 元／36.2—40.7 元）为第 5 章基于一致预期、目标 PE 与总股本 4.4238 亿股的测算 | iFinD 数据接口（ifind_get_forecast / ifind_get_stock_realtime_price / ifind_get_price） | 2026-07-16/2026-07-17</w:t>
      </w:r>
    </w:p>
    <w:p>
      <w:pPr>
        <w:pStyle w:val="BodyText"/>
      </w:pPr>
      <w:fldSimple w:instr="NOTEREF _Ref_Footnote_134 \h \f">
        <w:r>
          <w:rPr>
            <w:vertAlign w:val="superscript"/>
          </w:rPr>
          <w:t>134</w:t>
        </w:r>
      </w:fldSimple>
      <w:r>
        <w:t xml:space="preserve"> </w:t>
      </w:r>
      <w:r>
        <w:t xml:space="preserve">同花顺财经（公司投资者关系活动记录表） | 公司判断 SLC NAND 下半年价格趋势方向有望继续向上、Q3 利基存储价格”具备上行支撑”；Gartner 预计 NAND 涨价周期有望延续至 2027 年以后 | https://stock.10jqka.com.cn/20260617/c677515163.shtml | 2026-06-16</w:t>
      </w:r>
    </w:p>
    <w:p>
      <w:pPr>
        <w:pStyle w:val="BodyText"/>
      </w:pPr>
      <w:fldSimple w:instr="NOTEREF _Ref_Footnote_135 \h \f">
        <w:r>
          <w:rPr>
            <w:vertAlign w:val="superscript"/>
          </w:rPr>
          <w:t>135</w:t>
        </w:r>
      </w:fldSimple>
      <w:r>
        <w:t xml:space="preserve"> </w:t>
      </w:r>
      <w:r>
        <w:t xml:space="preserve">iFinD（同花顺） | ifind_get_stock_announcement 公告全量核查：2026-04-01 至 07-16 共 117 条，无新增减持计划/进展公告（</w:t>
      </w:r>
      <w:r>
        <w:t xml:space="preserve">“</w:t>
      </w:r>
      <w:r>
        <w:t xml:space="preserve">减持</w:t>
      </w:r>
      <w:r>
        <w:t xml:space="preserve">”</w:t>
      </w:r>
      <w:r>
        <w:t xml:space="preserve">零命中，仅 4 月询价转让 5 条）；近 6 个月公告共 129 条 | 本地数据文件 dongxin_ann_0407.csv / dongxin_announcements_6m.csv | 2026-07-17 查询</w:t>
      </w:r>
    </w:p>
    <w:bookmarkEnd w:id="122"/>
    <w:sectPr>
      <w:footerReference w:type="default" r:id="rId9"/>
      <w:pgSz w:w="11906" w:h="16838"/>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宋体"/>
          <w:sz w:val="18"/>
        </w:rP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iFinD（同花顺金融数据终端） | 东芯股份 2025 年报主营构成（分部数据）：NAND 65.2%/MCP 25.0%/DRAM 5.8%/NOR 3.6% | 2026-07-17. 终端数据接口（ifind_get_stock_business_segmentation，segment_2025）</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TrendForce 集邦咨询 | 2026H1 SLC NAND 合约价累计上涨 130-150%；预估 2H26 SLC 合约价较 1H26 调涨 120-170% | 2026-07-13. https://www.trendforce.cn/presscenter/news/20260713-13143.html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iFinD 同花顺 | ifind_get_price 不复权日线：历史高点 209.55（2026-07-01 盘中）、4/2 低点 104.01、7/16 收盘 136.50（-34.9% 回撤） | 2026-07-17 查询. 本地数据文件 dongxin_price_6m.csv</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搜狐证券行情中心 | 东芯股份 2026-07-16 收盘 136.50 元（-7.35%），总市值 603.85 亿元 | 2026-07-16. https://q.stock.sohu.com/cn/688110/index.shtml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东芯股份 2026 年第一季度报告（新浪财经公告库） | 营收 4.79 亿元（+236.95%）、毛利率 53.17%、归母净利 1.38 亿元、经营现金流净额 +4,091 万元 | 2026-04-30. http://vip.stock.finance.sina.com.cn/corp/view/vCB_AllBulletinDetail.php?stockid=688110&amp;id=12273988</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iFinD（同花顺金融数据终端） | 可比公司行情与一致预期（2026-07-16 收盘）：东芯 YTD +3.9%、普冉 +313.5%、兆易 +140.2%；2026E PE 东芯 98.8 倍/兆易 72.2 倍/普冉 72.8 倍 | 2026-07-16/17. 终端数据接口（ifind_get_price / ifind_get_forecast）</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财新网 | A 股存储芯片板块 7 月 16 日普遍回调：兆易创新、长电科技跌停，东芯股份收跌 7.35%；隔夜美光/西部数据跌超 8% | 2026-07-16. https://www.caixin.com/2026-07-16/102464922.html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证券之星（网易转载） | 7 月 16 日东芯股份主力净流出 2.2 亿元、散户净流入 2.84 亿元；7 月见顶以来主力近单边净流出（已披露 6 个交易日合计约 -28 亿元） | 2026-07-16. https://www.163.com/dy/article/L1VLR1GC051984TV.html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新浪财经 + iFinD | 融资余额 33.53 亿元（占流通市值 4.86%，近一年 80% 分位以上）；股东户数 4.88 万户、同比 +139.75% | 2026-07-14. https://finance.sina.com.cn/stock/aiassist/lr/2026-07-14/doc-inihtrnk8503337.shtml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iFinD（同花顺金融数据终端） | 一致预期：2026E 归母净利 6.115 亿元（+413.9%）；按 603.8 亿市值对应 2026E PE 约 98.7 倍 | 2026-07-17. 终端数据接口（ifind_get_forecast）</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新浪财经专栏（引野村报告） | 全球存储紧缺局面至少持续到 2027 年 | 2026-07-05. https://www.sina.cn/news/detail/5317355178560532.html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华龙证券研报（新浪财经转载） | 首次覆盖"增持"：预计 2026-2028 年归母净利润 6.73/7.49/8.57 亿元 | 2026-06-30. https://stock.finance.sina.com.cn/stock/go.php/vReport_Show/kind/company/rptid/836162109762/index.phtml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IT之家 | 砺算 LX 7G100 消费级显卡零售版 7 月 17 日 20:00 京东开售，售价 2688 元 | 2026-07-15. https://www.ithome.com/0/966/235.htm</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财联社 + 搜狐证券解禁表 | 东方恒信询价转让 442 万股、定价 100.00 元/股，受让 6 家机构锁定 6 个月，2026-10-13 解禁（占总股本 1.00%） | 2026-04-08~14；2026-07-07（查询）. https://www.cls.cn/detail/2360094 ; https://q.stock.sohu.com/cn/688110/xsjj.shtml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东方财富公告库 | 东芯股份 2026 年半年报预约 2026 年 8 月 22 日披露 | 2026-07. https://data.eastmoney.com/notices/detail/688110/AN202607091826843352.html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财联社/界面新闻（腾讯新闻转载） | 东芯股份董事会通过发行 H 股并在港交所主板上市议案：拟发行不超过总股本 10%（超额配售权行使前）+15% 绿鞋 | 2026-05-22. https://news.qq.com/rain/a/20260522A0ARBU00</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iFinD（同花顺金融数据终端） | 东芯股份公司资料：主营中小容量通用型存储芯片（Fabless），产品 NAND/NOR/DRAM/MCP；实际控制人蒋学明、蒋雨舟合计约 20.64%；公司官网 www.dosilicon.com | 2026-07-17. 终端数据接口（ifind_get_stock_info）</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东芯股份 2025 年年度报告（新浪财经公告库） | 营收 9.21 亿元（+43.76%）、归母净利 -1.95 亿元；上海砺算 2025 年净利 -4.45 亿元，确认投资亏损约 1.66 亿元 | 2026-04. https://vip.stock.finance.sina.com.cn/corp/view/vCB_AllBulletinDetail.php?stockid=688110&amp;id=12150601</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iFinD（同花顺金融数据终端） | 东芯股份估值指标：PB（MRQ）16.80 倍、PS（LYR）65.53 倍、PE（LYR）亏损 | 2026-07-17. 终端数据接口（ifind_get_forecast 附带估值字段）</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天眼查 | 东芯股份十大股东（2026-03-31）：东方恒信集团 30.88%（136,579,279 股）+ 东芯科创 3.59%，合计约 34.47% | 2026-03-31（数据期）. 天眼查上市信息-十大股东数据接口</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新浪财经 | 实际控制人蒋学明：东方恒信集团实控人、东芯股份董事长 | 2026-04-19. https://www.sina.cn/news/detail/5289552970517936.html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天眼查 | 东芯股份司法/经营风险核查：行政处罚、经营异常、被执行/失信、股权出质、裁判文书均无记录；仅存 2015/2019 年已结历史案件 | 2026-07-17（查询日）. 天眼查司法风险/经营风险数据接口</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每日经济新闻（雪球转载公告）+ 天眼查 | 东方恒信及东芯科创 2025-08 减持：合计持股由 1.74 亿股降至 1.66 亿股，占比 39.37%→37.47%；至 2026Q1 进一步降至约 34.47% | 2025-08-27（公告）；2026-03-31（股东数据）. https://xueqiu.com/4642157440/349415331</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财联社 | 东芯股份拟 2.11 亿元增资上海砺算，持股比例将达 35.87% | 2025-08-31. https://www.cls.cn/detail/2131654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东芯股份投资者关系活动记录表（东方财富公告库） | 公司指引：预计下半年利基型存储芯片市场价格仍将保持上行趋势 | 2026-07-03. https://data.eastmoney.com/notices/detail/688110/AN202607031826694863.html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经济观察网（上证报） | TrendForce：2026Q3 DRAM 合约价涨幅收窄至季增 13%-18%，NAND 季增 10%-15% | 2026-07-08. http://www.eeo.com.cn/2026/0708/948759.shtml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东方财富（转华夏时报/新京报） | 兆易创新风险提示公告：产品价格已处于历史高位，后续伴随产能边际增加价格将出现相当幅度回落 | 2026-06-30. https://wap.eastmoney.com/a/202606303787340673.html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理杏仁 | 东芯股份限售解禁：2024-12-10 首发限售 1.66 亿股（37.47%）已流通；当前总股本 4.4238 亿股已全流通，下一次解禁 2026-10-13 仅 442.25 万股（1.00%） | 2026-07-17（查询）. https://www.lixinger.com/equity/company/detail/sh/688110/688110/capital-structure/restricted-shares-lifted</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财新数据 | 存储板块上半年业绩预喜 利润高增能否持续？ | 2026-07-14. https://database.caixin.com/2026-07-14/102464037.html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财闻网（转引国信证券研报、SEMI中国、瑞银） | HBM投片占全球DRAM晶圆产能12%-15%、数据中心与AI服务器消耗约一半DRAM产能 | 2026-07-14. https://www.caiwennews.com/article/1513527.shtml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新浪财经（转央视财经，引WSTS） | 2026年全球半导体与存储芯片市场规模预测（存储+249.5%至约8039亿美元） | 2026-06-04. https://finance.sina.com.cn/jjxw/2026-06-04/doc-iniaeuqa0592115.shtml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网易财经/东方财富财富号/腾讯新闻（超能网） | 原厂退出利基存储：三星停DDR3/DDR4、美光停供DDR4、三星停2D NAND、铠侠停SLC/MLC新订单 | 2026-07-01 / 2026-06-26 / 2025-04-22. https://www.163.com/dy/article/L0P9KTL50531M1CO.html ; https://caifuhao2.eastmoney.com/news/20260625201407423318170 ; https://news.qq.com/rain/a/20250422A07V3E00</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东方财富财富号（引TrendForce数据） | 利基存储晶圆投入产出比约为HBM的1/5、产线关停不可逆 | 2026-06-26. https://caifuhao2.eastmoney.com/news/20260625201407423318170</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TrendForce | 利基型闪存合约价新闻稿（NOR 2026H1 +100~120%、SLC NAND +130~150%；2026H2高容量NOR +60~65%、SLC NAND +70~75%） | 2026-06-16. https://www.trendforce.com/presscenter/news/20260616-13102.html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东方财富（转科创板日报，引TrendForce最新价格调查） | MLC短缺转单SLC，2026H2 SLC合约价预估调涨120~170% | 2026-07-13. https://finance.eastmoney.com/a/202607133803697158.html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证券市场周刊（引摩根士丹利研报） | DDR4 2026Q3环比再涨约20%，2026H2供需缺口19~20%、2027-2028年维持18~20% | 2026-06-10. https://static.weeklyonstock.com/26/0610/qdy185239.html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东芯股份投资者关系活动记录（同花顺）/新浪财经（券商调研解读） | DDR4切回DDR3回流需求；聚辰半导体7月6日起全系列NOR提价25% | 2026-06-03 / 2026-07-01. https://stock.10jqka.com.cn/20260604/c677200661.shtml ; https://www.sina.cn/news/detail/5315868751826183.html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TrendForce News | Winbond Expects DRAM Prices to Jump Nearly 4x by June 2026, Capacity Booked Through 2027 | 2026-02-11. https://www.trendforce.com/news/2026/02/11/news-winbond-expects-dram-prices-to-jump-nearly-4x-by-june-2026-capacity-booked-through-2027/</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证券市场周刊（同花顺转载，引弗若斯特沙利文） | 2025年全球专用型存储市场规模约157亿美元（利基DRAM 99亿、NOR 31亿、SLC NAND 27亿） | 2026-06-10. https://news.10jqka.com.cn/20260610/c677359046.shtml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搜狐（转IT之家，引TrendForce 7月9日报告） | 服务器DRAM合约价上行持续至2027H2、2027年RDIMM供给按容量仅+15~20% | 2026-07-10. https://www.sohu.com/a/1048353151_121124376</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财新 | 韩股为何如此疯狂？（华泰：DRAM ASP增长至少延续至2027Q3、NAND至少至2027Q2；2027年云厂商资本开支一致预期小幅下修；申万宏源"周期洗礼"提示） | 2026-07-02. https://database.caixin.com/2026-07-02/102459865.html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新浪财经（引IDC） | 内存供应紧张贯穿2026年并持续至2027年中；IDC预计2026全年手机出货-12.9% | 2026-04-21. https://finance.sina.com.cn/tech/roll/2026-04-21/doc-inhvfqch6308174.shtml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腾讯新闻（兆易创新6月18日公告引述） | 兆易创新自警：存储供给与需求终将再平衡，预计2027年后价格可能进入高位震荡 | 2026-06-25. https://view.inews.qq.com/a/20260625A08JYH00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igor'sLAB（引TrendForce 2026Q3报告） | DRAM and NAND remain more expensive: TrendForce sees slowing but still rising memory prices Q3 2026（涨幅收窄主因买方支付意愿下降、市场接近痛苦阈值） | 2026-07-07. https://www.igorslab.de/en/dram-and-nand-remain-more-expensive-trendforce-sees-slowing-but-still-rising-memory-prices-q3-2026/</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财新（引IDC等三家机构） | 2026Q2全球智能手机出货2.775亿部、同比-6.7%，存储短缺为主因 | 2026-07-14. https://www.caixin.com/2026-07-14/102464207.html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网易（智元深维） | 长鑫科技IPO：8.66元/股、7月16日申购、预计募资约579亿元（绿鞋后666亿）、发行市值约5792亿元 | 2026-07-15. https://www.163.com/dy/article/L1S29GIL0556O17W.html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网易（长江商报） | 长鑫科技2026Q1营收508亿元（+719%）、归母净利247.62亿元；H1指引营收1100-1200亿、净利500-570亿 | 2026-07-10. https://www.163.com/dy/article/L1G8NMHU05568W0A.html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淘股吧（辅导备案记录）/东方财富财富号 | 长存集团2026年5月19日完成IPO辅导备案，市场预期估值约2000-3000亿元，最快2026Q4-2027H1上市 | 2026-05-20 / 2026-04-30. https://www.tgb.cn/dialog/2rW0knb9M7p_98868632_1 ; https://emcreative.eastmoney.com/app_fortune/article/index.html?artCode=20260430002703650910980&amp;postId=1701799692</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财新（引iFinD） | A股存储芯片行业2026年预测市盈率中枢55.2-59.8倍 | 2026-05-18. https://finance.caixin.com/2026-05-18/102445094.html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选股通（国泰海通观点） | 长协锁单使周期波动收敛，板块估值逻辑从周期性博弈转向盈利确定性重定价 | 2026-07-07. https://xuangutong.com.cn/article/1279639</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网易（智元深维，引招股书及中泰证券） | 长鑫科技2026年扩产5-6万片/月、设备采购50-60亿美元；周期股顶部IPO与资金向龙头集中风险提示 | 2026-07-15. https://www.163.com/dy/article/L1TJ1I7U05397AW5.html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东方财富/Choice | 7月16日存储芯片板块指数跌5%、澜起科技-17.2%领跌；长鑫申购资金分流背景 | 2026-07-16. http://stock.eastmoney.com/a/202607163808924076.html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同花顺iFinD | 板块个股7/16收盘行情、2026年YTD涨幅与一致预期（2026E PE按7/16市值÷iFinD一致预期归母净利计算） | 2026-07-16. iFinD数据接口（ifind_get_stock_realtime_price / ifind_get_price / ifind_get_forecast）</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申万宏源研究（新浪财经转载） | 东芯股份：参股子公司上海砺算发布6NM 7G100 GPU及显卡 | 2025-08-25. http://stock.finance.sina.com.cn/stock/go.php/vReport_Show/kind/search/rptid/809433397029/index.phtml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东芯股份（新浪财经公告库） | 科创板招股意向书 | 2021-11-23. http://money.finance.sina.com.cn/corp/view/vCB_AllBulletinDetail.php?stockid=688110&amp;id=7672615</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安信证券 | 东芯股份（688110.SH）深度分析 | 2023-11-16. https://pdf.dfcfw.com/pdf/H3_AP202311161611028412_1.pdf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同花顺财经 | 东芯股份投资者互动：1xnm SLC NAND Flash 已进入风险量产阶段 | 2025-12-10. https://yuanchuang.10jqka.com.cn/20251210/c673103361.shtml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网易财经 | 东芯股份：5月6日接受机构调研 | 2026-05-11. https://www.163.com/dy/article/KSM3NE7E051984TV.html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财新 | 存储芯片设计公司东芯将登陆科创板 | 2021-04-16. https://www.caixin.com/2021-04-16/101692474.html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新浪科技 | 盛合晶微IPO即将上会 | 2026-02-14. https://www.sina.cn/news/detail/5266184322678958.html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网易财经 | 存储行业专家交流（专家纪要） | 2025-11-18. https://www.163.com/dy/article/KEM194T105568W0A.html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财联社 | 中芯国际已经对部分产能实施了涨价 涨幅约为10% | 2025-12-23. https://www.cls.cn/detail/2238116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什么值得买（行业信息汇总） | 2026年全球晶圆代工全面涨价5%-20%，8英寸与先进制程同步上调 | 2026-03-16. https://post.smzdm.com/p/a70qmg7o</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财新 | 中芯国际一季度收入涨11.8% AI需求继续挤压产能 | 2026-05-15. https://www.caixin.com/2026-05-15/102444290.html</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21ic电子网 | 全球成熟制程晶圆代工涨价潮来袭（力积电上调成熟制程代工价5%-10%） | 2026-03-18. https://www.21ic.com/a/1001765.html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网易财经（转引TrendForce集邦咨询） | 告别HBM独舞：成熟存储芯片暴涨100% | 2026-06-17. https://www.163.com/dy/article/KVL486LB0519DG1H.html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腾讯新闻/IT之家（转引TrendForce） | TrendForce：预估晶圆代工成熟制程涨价效应延伸至2027年 | 2026-06-30. https://view.inews.qq.com/a/20260630A0791W00</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财新；兆易创新投资者关系活动记录表（巨潮资讯） | 存储芯片开启涨价周期 产业链盈利能力如何？ | 2025-11-23；2026-04-29. https://database.caixin.com/2025-11-23/102385916.html ；http://dataclouds.cninfo.com.cn/shgonggao/investor/2026/20260430/3e1cd6468f824113ad410724f5d84551.PDF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众问（调研纪要汇编） | 东芯股份·688110 调研纪要汇编 | 2026-06-27. https://www.appletree.fund/wp-content/uploads/fluentform/ff-fb18ca17ac5d7be5b73cc73274416623-ff-%E4%B8%9C%E8%8A%AF%E8%82%A1%E4%BB%BD_20260627.pdf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界面新闻 | 东芯股份2026年一季度营收4.79亿元 同比增长236.95% | 2026-04-30. https://m.jiemian.com/article/14365600.html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东芯股份（新浪财经公告库） | 2025年年度报告 | 2026-04-22. http://money.finance.sina.com.cn/corp/view/vCB_AllBulletinDetail.php?stockid=688110&amp;id=12150601</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界面新闻（转引TrendForce/券商） | 上半年NOR Flash合约价涨幅超100%、SLC NAND涨幅达130%-150% | 2026-06-17. https://www.jiemian.com/article/14606209.html</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财联社（采访TrendForce分析师） | SLC NAND二季度至四季度价格仍有约120%涨幅 | 2026-05-15. https://m.cls.cn/detail/2372257</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东芯股份（微信公众号转载） | 2025年半年报业绩交流会纪要 | 2025-08-23. http://mp.weixin.qq.com/s?__biz=MzIwNTc0NDAzMA==&amp;mid=2247491216&amp;idx=7</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国盛证券 | 电子行业周报：2026Q1消费型DRAM价格累计涨75%-80% | 2026-05-10. https://www.fxbaogao.com/detail/5410462</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调研前线（微信公众号） | 东芯股份业绩披露后近况更新（车规存储市场规模） | 2025-08-23. http://mp.weixin.qq.com/s?__biz=MzkzMzk4OTY0Ng==&amp;mid=2247483891&amp;idx=5&amp;sn=dcb3aa1ef0497f097ebfc8f1177834a8</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egsea（转引券商观点） | 存储芯片板块行情回顾（2025-09至2026-06） | 2026-07-16. https://www.egsea.com/quotation/stock-info/sh688766.html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新浪财经 | 兆易创新2026年一季度业绩：营收增119%、净利增523%、毛利率57.08% | 2026-05-20. https://finance.sina.com.cn/roll/2026-05-20/doc-inhyqcsf6831487.shtml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证券之星 | 存储芯片概念下跌5.20%，主力资金净流出161股 | 2026-07-16. https://stock.stockstar.com/IG2026071600027128.shtml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东方财富 | 存储芯片概念7月15日下跌5.20%（中芯国际-4.57%） | 2026-07-15. http://finance.eastmoney.com/a/202607153807496489.html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网易财经 | 芯片全产业链涨价潮（存储封测产能利用率直逼满载） | 2026-01-27. https://www.163.com/dy/article/KKAK5SIM0519QIKK.html</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网易财经 | 联芸科技股价翻倍：全球第三方SSD主控出货第二、国内第一 | 2026-05-23. https://www.163.com/dy/article/KTK2BKN10519B3D7.html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网易财经（转载） | 东方证券：存储巨头业绩强劲 AI需求有望被持续挖掘 | 2026-02-02. https://www.163.com/dy/article/KKORH5UP05198UNI.html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新浪财经/腾讯新闻 | 华为哈勃退出东芯前十大股东（"存算野望"时间线） | 2026-01-13. https://cj.sina.cn/articles/view/2382970177/8e093d4102001hg12</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iFinD（同花顺）财务报表/财务指标/历史报表接口 | 东芯股份三大报表、财务指标及 2023—2024 年历史数据复核（取数 2026-07-17，报告期 2023A—2025A） | 2026-07-17. iFinD 数据接口（ifind_get_financial_statements / ifind_get_stock_financial_index）</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华尔街见闻 | 东芯股份 2026Q1 业绩解读：管理层归因量价齐升 | 2026-04-29. https://wallstreetcn.com/articles/3771229</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财报解读（东芯 2025 年半年报） | 1xnm 闪存产品实现量产 | 2025-08-25. http://mp.weixin.qq.com/s?__biz=MjM5NzQwMDcwOA==&amp;mid=2663337849&amp;idx=5&amp;sn=b5825869500ec71552de15345237d1e2</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上证报中国证券网（搜狐号转载） | 东芯股份持有上海砺算 35.87% 股权、累计投资约 4.11 亿元 | 2026-05-22. https://www.sohu.com/a/1026320428_120988576</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佩妮科技/快科技（宣以方专访） | 砺算 7G100：2025-09 量产、12 月首批交付、2026-03 AWE2026 宣布发售时间线 | 2026-04-24. https://news.pedaily.cn/20260424/128410.shtml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IT之家/新浪科技 | 砺算 LX 7G100 消费级显卡零售版 7 月 17 日 20:00 京东开售、售价 2688 元；国内唯一通过微软 WHQL 认证国产独显 | 2026-07-15. https://finance.sina.com.cn/tech/discovery/2026-07-15/doc-inihwmie4848160.shtml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财联社/科创板日报（引公司异常波动公告） | 上海砺算与云计算服务商仅签署战略合作框架协议，尚未签署订单、尚未产生收入；产品并非大模型算力集群场景 | 2025-11-27. https://www.cls.cn/detail/2213199</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东芯股份风险提示/异常波动公告（腾讯财经公告库） | 全球独显约 98% 份额由英伟达/AMD 主导；砺算存在产业化进度、市场竞争、持续经营、单一产品依赖风险 | 2025-08-01. https://file.finance.qq.com/finance/hs/pdf/2025/08/01/1224355046.PDF</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iFinD（同花顺）盈利预测接口 | 东芯股份一致预期：2026E 归母净利 6.115 亿（+413.9%）、营收 21.44 亿；2027E 6.255 亿；2028E 6.995 亿（取数 2026-07-17） | 2026-07-17. iFinD 数据接口（ifind_get_forecast）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甬兴证券研报（东方财富研报库 PDF） | 早期盈利预测锚：2025E 归母净利约 0.28 亿元、2026E 约 1.86 亿元 | 2025-01. https://pdf.dfcfw.com/pdf/H3_AP202501211642412615_1.pdf</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iFinD（同花顺） | 行情、估值指标与一致预期：2026-07-16 收盘价 136.50 元、总市值约 604 亿元、PE(LYR) 约 -310 倍、PB(MRQ) 16.80、PS(LYR) 65.5；东芯一致预期 2026E—2028E 归母净利 6.115/6.255/6.995 亿元；可比公司市值、2025 年报、2026E 一致预期、动态 PE 与 YTD；历史高低点（7/1 盘中 209.55 元、4/2 盘中 104.01 元、2025 年末收盘 131.35 元）（取数 2026-07-16/17） | 2026-07-16/2026-07-17. iFinD 数据接口（ifind_get_stock_realtime_price / ifind_get_forecast / ifind_get_price / ifind_get_financial_statements）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财中社/格隆汇（引公司公告） | 控股股东东方恒信 2026 年 4 月询价转让 442.25 万股（占总股本 1.00%），价格 100.00 元/股，6 家机构全额认购 | 2026-04-14. https://www.caizhongshe.cn/article-7449428563700938005.html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东方财富行情中心 | 东芯股份 PE(TTM) 约 23850 倍（最近四个季度净利润合计约 0.02 亿元致指标极端失真） | 2026-07-15. https://quote.eastmoney.com/sh688110.html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搜狐-股市必读（引公司股票交易风险提示公告） | "静态市盈率为负、显著高于行业平均水平，估值较高……市场情绪过热及非理性炒作风险" | 2026-07-02（公告日 2026-06-30）. https://www.sohu.com/a/1044453326_115377</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中财网（引长鑫科技发行公告） | 长鑫科技发行价 8.66 元/股，此价格对应的发行市盈率为 278.03 倍 | 2026-07-15. https://www.cfi.net.cn/p20260715002734.html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雪球（引国联民生电子） | 普冉股份收购 SHM（SkyHigh Memory）：SLC NAND 全球市占约 9%、2026 年并表 | 2025-09-22. https://xueqiu.com/1383743865/353766024</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搜狐财经/南方财富 | 东芯 2026 年 5 月 11 日盘中 170.70 元创近一年新高；5 月 15 日总市值 690.44 亿元 | 2026-05-17. https://m.sohu.com/a/1023621853_115377</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券商存储涨价点评（新浪财经转载） | "存储原厂正在从 PB 估值向 PE 估值切换；利基存储则有望从周期品估值向成长股估值过渡" | 2026-06-22. https://www.sina.cn/news/detail/5312640181341049.html</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东方财富财富号（自媒体测算，置信度中低） | fabless 设计公司周期修复参考历史区间 6—12 倍 PS、周期修复 25—35 倍 PE；对东芯按"存储业务估值 + 砺算 GPU 期权"分部加总 | 2026-06-28. https://emcreative.eastmoney.com/app_fortune/article/index.html?artCode=20260627221040760388530</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新浪财经（转载卖方路演逻辑） | 2026 年存储业务有望翻倍增长至 20 亿收入/7 亿净利润；砺算 GPU 远期按"消费级显卡市场 1000 亿 × 40% 份额→400 亿营收/120 亿利润"展望 | 2026-01-28. https://finance.sina.com.cn/roll/2026-01-28/doc-inhiwaht8953908.shtml</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兆易创新风险提示公告（券商中国/新浪转载） | "公司滚动市盈率显著高于行业水平，存在估值较高的风险" | 2026-07-02. https://www.sina.cn/news/detail/5316262823200697.html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新浪财经（引华鑫证券研报） | 兆易创新 7 月 9 日涨停收 663.49 元；华鑫证券预测 2026E EPS 8.35 元、对应 PE 约 92 倍 | 2026-07-10. https://finance.sina.com.cn/wm/2026-07-10/doc-inihinfz5141000.shtml</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新浪财经/投资时间网 | 东芯 2021—2024 年归母净利润分别为 2.62/1.85/-3.06/-1.67 亿元，2023 年起连亏三年 | 2026-05-26. https://finance.sina.com.cn/roll/2026-05-26/doc-inhzekny9227803.shtml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证券之星 | 东芯股份 7 月 2 日跌 8.89%，主力资金净流出 13.72 亿元（占成交额 26.2%） | 2026-07-02. https://stock.stockstar.com/RB2026070200025642.shtml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证券之星 | 东芯股份 7 月 3 日涨 1.53%，主力资金净流出 2.68 亿元 | 2026-07-03. https://stock.stockstar.com/RB2026070300028247.shtml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搜狐 | 东芯股份 7 月 8 日资金流向（主力净流入 0.34 亿元） | 2026-07-08. https://www.sohu.com/a/1047645340_121319643</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证券之星 | 东芯股份 7 月 13 日跌 6.01%，主力资金净流出 4.17 亿元 | 2026-07-13. https://stock.stockstar.com/RB2026071300033167.shtml</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搜狐 | 东芯股份 6 月 15 日主力资金净流入 4.55 亿元 | 2026-06-15. https://www.sohu.com/a/1037122771_115377</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东方财富 | 东芯股份融资融券数据（融资余额 33.53 亿、融券余额 1547.27 万元、两融合计 33.40 亿） | 2026-07-14. https://data.eastmoney.com/rzrq/stock/688110.html ; https://finance.eastmoney.com/a/202607143804418910.html</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新浪证券-红岸工作室（搜狐转载） | 东芯股份 2026 年以来龙虎榜数据综述（最近 2026-05-25，7 月暴跌期间无披露） | 2026-07-08. https://www.sohu.com/a/1047336709_122014422</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iFinD 同花顺 | ifind_get_holder_info：股东户数 48,842 户（同比 +139.75%、环比 +3.84%）；47 家机构合计持股 41.32%（基金 3.34% 约 1475.9 万股，均为指数 ETF） | 2026-07-13 查询. 本地数据文件 dongxin_holder.csv</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搜狐行情/理杏仁 | 东芯股份限售解禁表：2026-10-13 解禁 442.25 万股（占总股本 1.00%），受让方 6 家机构、成本 100.00 元/股 | 2026-07-07 查询. https://q.stock.sohu.com/cn/688110/xsjj.shtml ; https://www.lixinger.com/equity/company/detail/sh/688110/688110/capital-structure/restricted-shares-lifted</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特特股/爱金股 | 国家集成电路产业投资基金二期持有东芯股份 329.7 万股（0.745%，"未变"） | 数据期 2025-03-31. http://m.tetegu.com/niusans/集成电路产业投资基金二期股份有 ; https://www.aijingu.com/jgmx/78136799.html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iFinD 同花顺 | ifind_get_stock_announcement 公告全量核查：2026-04-01 至 07-16 共 117 条，无新增减持计划/进展公告（"减持"零命中，仅 4 月询价转让 5 条） | 2026-07-17 查询. 本地数据文件 dongxin_ann_0407.csv</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金融界（163 转载） | 东芯股份董事会审议通过发行 H 股并在香港联交所主板上市议案（细节未定） | 2026-05-22. https://www.163.com/dy/article/KTIEPUR80519QIKK.html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新浪财经 | 长江存储 2026-05-19 完成 IPO 辅导备案；截至 7/16 未见递表受理公告 | 2026-05-19. https://cj.sina.cn/articles/view/1642634100/61e89b7404001no00?from=finance</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东方财富数据中心 | 东芯股份 2026 年半年报预约 2026-08-22 披露；近 6 个月公告中无 2026 半年度业绩预告（科创板非强制） | 2026-07-16 查询. https://data.eastmoney.com/stockdata/688110.html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TrendForce（c114/新浪财经转引） | 2026Q3 传统 DRAM 合约价环比 +13~18%、NAND +10~15%，涨幅近一年首次跌破 20% | 2026-07-03/06. https://m.c114.com.cn/w16-1313317.html ; https://finance.sina.cn/stock/jdts/2026-07-06/detail-inifvqsc8835947.d.html</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iFinD 同花顺 | ifind_get_forecast 一致预期：2026E 归母净利 6.115 亿元（+413.9%）、营收 21.44 亿元；按 7/16 收盘市值约 604 亿元对应 Forward PE 约 99 倍（可比公司兆易创新约 72 倍、普冉股份约 73 倍） | 2026-07-17 查询. 本地数据文件 dongxin_forecast.csv</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公司公告（iFinD 公告接口，公告编号 2026-046）+财联社 | H 股发行议案 2026-06-08 第二次临时股东会高票通过（同意约 96.35%）；拟发行不超过总股本 10% 的 H 股+不超过 15% 超额配售权 | 2026-05-23/06-09. https://www.cls.cn/detail/2379408</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东芯股份 2026 年第一季度报告（上交所公告） | 2026Q1 营收 4.79 亿元（+236.95%）、归母净利 1.38 亿元、毛利率 53.17%、存货 11.93 亿元、对上海砺算确认投资亏损约 2100 万元 | 2026-04-30. http://file.finance.sina.com.cn/211.154.219.97:9494/MRGG/CNSESH_STOCK/2026/2026-4/2026-04-30/12273988.PDF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每日经济新闻（腾讯新闻转载） | 东方恒信等 2025-10 询价转让 1326.75 万股、82.50 元/股（较当日收盘折价约 16%）、套现约 10.95 亿元；两轮询价合计约 15.4 亿元，合计持股 37.47%→33.47% | 2025-10-13. https://news.qq.com/rain/a/20251013A08EJF00</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华尔街见闻（引公司业绩预告） | 东芯 2025 年业绩预告：归母净利亏损 1.74~2.14 亿元；2025 年度确认砺算投资亏损约 1.66 亿元（占归母亏损 85% 以上） | 2026-01-23. https://wallstreetcn.com/articles/3764024</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华尔街见闻 | 伯恩斯坦：预计 Q2 合约价环比约 +60%，但消费需求破坏下 Q3 涨势明显放缓 | 2026-07-04. https://wallstreetcn.com/articles/3773885</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公司《股票交易风险提示公告》（新浪财经公告页） | 6/16~6/30 连续 10 个交易日涨幅偏离值累计 24.74%；公司静态市盈率为负、显著高于行业水平 | 2026-07-01. http://money.finance.sina.com.cn/corp/view/vCB_AllBulletinDetail.php?stockid=688110&amp;id=12424436</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iFinD 同花顺 | ifind_get_price 日线：6/30 收 203.70 元、7/1 盘中高点 209.55 元、7/16 收 136.50 元（回撤约 35%）；7/10、7/13、7/15、7/16 四个交易日单日跌逾 5% | 2026-07-17 查询. 本地数据文件 dongxin_price_junjul.csv</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腾讯新闻（科创板日报） | 东吴证券 2026 年 1 月下调东芯 2025 年预测至 -1.6 亿元（实际披露 -1.95 亿元，逊于已下修预期） | 2026-01-23. https://view.inews.qq.com/a/20260123A08EC800</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华盛通 | 东芯股份最近 90 天内共 3 家机构给出评级（买入 1、增持 1、中性 1），无公开目标价 | 2026-07-09. https://www.hstong.com/news/detail/10260709177208051</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iFinD（同花顺） | 行情与一致预期：2026-07-16 收盘 136.50 元、总市值约 604 亿元、2026E 归母净利 6.115 亿元（隐含 Q2—Q4 合计约 4.7 亿元）、动态 PE 约 99 倍；牛市/基准/熊市情景估值区间（144.7—162.8 元／75.8—106.0 元／36.2—40.7 元）为第 5 章基于一致预期、目标 PE 与总股本 4.4238 亿股的测算 | 2026-07-16/2026-07-17. iFinD 数据接口（ifind_get_forecast / ifind_get_stock_realtime_price / ifind_get_price）</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同花顺财经（公司投资者关系活动记录表） | 公司判断 SLC NAND 下半年价格趋势方向有望继续向上、Q3 利基存储价格"具备上行支撑"；Gartner 预计 NAND 涨价周期有望延续至 2027 年以后 | 2026-06-16. https://stock.10jqka.com.cn/20260617/c677515163.shtml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iFinD（同花顺） | ifind_get_stock_announcement 公告全量核查：2026-04-01 至 07-16 共 117 条，无新增减持计划/进展公告（"减持"零命中，仅 4 月询价转让 5 条）；近 6 个月公告共 129 条 | 2026-07-17 查询. 本地数据文件 dongxin_ann_0407.csv / dongxin_announcements_6m.csv</w:t>
      </w:r>
      <w:bookmarkEnd w:id="1013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1"/>
    </w:rPr>
  </w:style>
  <w:style w:styleId="BodyText" w:type="paragraph">
    <w:name w:val="Body Text"/>
    <w:basedOn w:val="Normal"/>
    <w:link w:val="BodyTextChar"/>
    <w:pPr>
      <w:spacing w:after="180" w:before="180"/>
    </w:pPr>
    <w:qFormat/>
    <w:rPr>
      <w:rFonts w:ascii="Times New Roman" w:hAnsi="Times New Roman" w:eastAsia="宋体"/>
    </w:rPr>
  </w:style>
  <w:style w:customStyle="1" w:styleId="FirstParagraph" w:type="paragraph">
    <w:name w:val="First Paragraph"/>
    <w:basedOn w:val="BodyText"/>
    <w:next w:val="BodyText"/>
    <w:qFormat/>
    <w:rPr>
      <w:rFonts w:ascii="Times New Roman" w:hAnsi="Times New Roman" w:eastAsia="宋体"/>
    </w:rPr>
  </w:style>
  <w:style w:customStyle="1" w:styleId="Compact" w:type="paragraph">
    <w:name w:val="Compact"/>
    <w:basedOn w:val="BodyText"/>
    <w:qFormat/>
    <w:pPr>
      <w:spacing w:after="36" w:before="36"/>
    </w:pPr>
    <w:rPr>
      <w:rFonts w:ascii="Times New Roman" w:hAnsi="Times New Roman" w:eastAsia="宋体"/>
    </w:rPr>
  </w:style>
  <w:style w:styleId="Title" w:type="paragraph">
    <w:name w:val="Title"/>
    <w:basedOn w:val="Normal"/>
    <w:next w:val="BodyText"/>
    <w:qFormat/>
    <w:pPr>
      <w:keepNext/>
      <w:keepLines/>
      <w:spacing w:after="240" w:before="480"/>
      <w:jc w:val="center"/>
    </w:pPr>
    <w:rPr>
      <w:rFonts w:ascii="Arial" w:hAnsi="Arial" w:eastAsia="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宋体"/>
      <w:sz w:val="30"/>
      <w:szCs w:val="30"/>
    </w:rPr>
  </w:style>
  <w:style w:customStyle="1" w:styleId="Author" w:type="paragraph">
    <w:name w:val="Author"/>
    <w:next w:val="BodyText"/>
    <w:qFormat/>
    <w:pPr>
      <w:keepNext/>
      <w:keepLines/>
      <w:jc w:val="center"/>
    </w:pPr>
    <w:rPr>
      <w:rFonts w:ascii="Times New Roman" w:hAnsi="Times New Roman" w:eastAsia="宋体"/>
    </w:rPr>
  </w:style>
  <w:style w:styleId="Date" w:type="paragraph">
    <w:name w:val="Date"/>
    <w:next w:val="BodyText"/>
    <w:qFormat/>
    <w:pPr>
      <w:keepNext/>
      <w:keepLines/>
      <w:jc w:val="center"/>
    </w:pPr>
    <w:rPr>
      <w:rFonts w:ascii="Times New Roman" w:hAnsi="Times New Roman" w:eastAsia="宋体"/>
    </w:rPr>
  </w:style>
  <w:style w:customStyle="1" w:styleId="Abstract" w:type="paragraph">
    <w:name w:val="Abstract"/>
    <w:basedOn w:val="Normal"/>
    <w:next w:val="BodyText"/>
    <w:qFormat/>
    <w:pPr>
      <w:keepNext/>
      <w:keepLines/>
      <w:spacing w:after="300" w:before="300"/>
    </w:pPr>
    <w:rPr>
      <w:rFonts w:ascii="Times New Roman" w:hAnsi="Times New Roman" w:eastAsia="宋体"/>
      <w:sz w:val="20"/>
      <w:szCs w:val="20"/>
    </w:rPr>
  </w:style>
  <w:style w:styleId="Bibliography" w:type="paragraph">
    <w:name w:val="Bibliography"/>
    <w:basedOn w:val="Normal"/>
    <w:next w:val="Bibliography"/>
    <w:qFormat/>
    <w:pPr/>
    <w:rPr>
      <w:rFonts w:ascii="Times New Roman" w:hAnsi="Times New Roman" w:eastAsia="宋体"/>
    </w:rPr>
  </w:style>
  <w:style w:styleId="Heading1" w:type="paragraph">
    <w:name w:val="Heading 1"/>
    <w:basedOn w:val="Normal"/>
    <w:next w:val="BodyText"/>
    <w:uiPriority w:val="9"/>
    <w:qFormat/>
    <w:pPr>
      <w:keepNext/>
      <w:keepLines/>
      <w:spacing w:after="0" w:before="480"/>
      <w:outlineLvl w:val="0"/>
    </w:pPr>
    <w:rPr>
      <w:rFonts w:ascii="Arial" w:hAnsi="Arial" w:eastAsia="黑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黑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黑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黑体"/>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黑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黑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黑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黑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黑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rPr>
  </w:style>
  <w:style w:styleId="FootnoteText" w:type="paragraph">
    <w:name w:val="Footnote Text"/>
    <w:basedOn w:val="Normal"/>
    <w:next w:val="FootnoteText"/>
    <w:uiPriority w:val="9"/>
    <w:unhideWhenUsed/>
    <w:qFormat/>
    <w:pPr>
      <w:spacing w:before="0" w:after="0" w:line="200" w:lineRule="exact"/>
    </w:pPr>
    <w:rPr>
      <w:rFonts w:ascii="Times New Roman" w:hAnsi="Times New Roman" w:eastAsia="宋体"/>
      <w:sz w:val="18"/>
      <w:szCs w:val="18"/>
    </w:rPr>
  </w:style>
  <w:style w:default="1" w:styleId="DefaultParagraphFont" w:type="character">
    <w:name w:val="Default Paragraph Font"/>
    <w:semiHidden/>
    <w:unhideWhenUsed/>
    <w:rPr>
      <w:rFonts w:ascii="Times New Roman" w:hAnsi="Times New Roman" w:eastAsia="宋体"/>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宋体"/>
      <w:b/>
    </w:rPr>
  </w:style>
  <w:style w:customStyle="1" w:styleId="Definition" w:type="paragraph">
    <w:name w:val="Definition"/>
    <w:basedOn w:val="Normal"/>
    <w:rPr>
      <w:rFonts w:ascii="Times New Roman" w:hAnsi="Times New Roman" w:eastAsia="宋体"/>
    </w:rPr>
  </w:style>
  <w:style w:styleId="Caption" w:type="paragraph">
    <w:name w:val="Caption"/>
    <w:basedOn w:val="Normal"/>
    <w:link w:val="BodyTextChar"/>
    <w:pPr>
      <w:spacing w:after="120" w:before="0"/>
    </w:pPr>
    <w:rPr>
      <w:rFonts w:ascii="Times New Roman" w:hAnsi="Times New Roman" w:eastAsia="宋体"/>
      <w:i/>
    </w:rPr>
  </w:style>
  <w:style w:customStyle="1" w:styleId="TableCaption" w:type="paragraph">
    <w:name w:val="Table Caption"/>
    <w:basedOn w:val="Caption"/>
    <w:pPr>
      <w:keepNext/>
    </w:pPr>
    <w:rPr>
      <w:rFonts w:ascii="Times New Roman" w:hAnsi="Times New Roman" w:eastAsia="宋体"/>
    </w:rPr>
  </w:style>
  <w:style w:customStyle="1" w:styleId="ImageCaption" w:type="paragraph">
    <w:name w:val="Image Caption"/>
    <w:basedOn w:val="Caption"/>
    <w:rPr>
      <w:rFonts w:ascii="Times New Roman" w:hAnsi="Times New Roman" w:eastAsia="宋体"/>
    </w:rPr>
  </w:style>
  <w:style w:customStyle="1" w:styleId="Figure" w:type="paragraph">
    <w:name w:val="Figure"/>
    <w:basedOn w:val="Normal"/>
    <w:rPr>
      <w:rFonts w:ascii="Times New Roman" w:hAnsi="Times New Roman" w:eastAsia="宋体"/>
    </w:rPr>
  </w:style>
  <w:style w:customStyle="1" w:styleId="CaptionedFigure" w:type="paragraph">
    <w:name w:val="Captioned Figure"/>
    <w:basedOn w:val="Figure"/>
    <w:pPr>
      <w:keepNext/>
    </w:pPr>
    <w:rPr>
      <w:rFonts w:ascii="Times New Roman" w:hAnsi="Times New Roman" w:eastAsia="宋体"/>
    </w:rPr>
  </w:style>
  <w:style w:customStyle="1" w:styleId="BodyTextChar" w:type="character">
    <w:name w:val="Body Text Char"/>
    <w:basedOn w:val="DefaultParagraphFont"/>
    <w:link w:val="BodyText"/>
    <w:rPr>
      <w:rFonts w:ascii="Times New Roman" w:hAnsi="Times New Roman" w:eastAsia="宋体"/>
    </w:rPr>
  </w:style>
  <w:style w:customStyle="1" w:styleId="VerbatimChar" w:type="character">
    <w:name w:val="Verbatim Char"/>
    <w:basedOn w:val="BodyTextChar"/>
    <w:rPr>
      <w:rFonts w:ascii="Times New Roman" w:hAnsi="Times New Roman" w:eastAsia="宋体"/>
      <w:sz w:val="22"/>
    </w:rPr>
  </w:style>
  <w:style w:customStyle="1" w:styleId="SectionNumber" w:type="character">
    <w:name w:val="Section Number"/>
    <w:basedOn w:val="BodyTextChar"/>
    <w:rPr>
      <w:rFonts w:ascii="Times New Roman" w:hAnsi="Times New Roman" w:eastAsia="宋体"/>
    </w:rPr>
  </w:style>
  <w:style w:styleId="FootnoteReference" w:type="character">
    <w:name w:val="Footnote Reference"/>
    <w:basedOn w:val="BodyTextChar"/>
    <w:rPr>
      <w:rFonts w:ascii="Times New Roman" w:hAnsi="Times New Roman" w:eastAsia="宋体"/>
      <w:vertAlign w:val="superscript"/>
    </w:rPr>
  </w:style>
  <w:style w:styleId="Hyperlink" w:type="character">
    <w:name w:val="Hyperlink"/>
    <w:basedOn w:val="BodyTextChar"/>
    <w:rPr>
      <w:rFonts w:ascii="Times New Roman" w:hAnsi="Times New Roman" w:eastAsia="宋体"/>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宋体"/>
    </w:rPr>
  </w:style>
  <w:style w:type="character" w:customStyle="1" w:styleId="KeywordTok">
    <w:name w:val="KeywordTok"/>
    <w:basedOn w:val="VerbatimChar"/>
    <w:rPr>
      <w:rFonts w:ascii="Times New Roman" w:hAnsi="Times New Roman" w:eastAsia="宋体"/>
      <w:color w:val="007020"/>
      <w:b/>
    </w:rPr>
  </w:style>
  <w:style w:type="character" w:customStyle="1" w:styleId="DataTypeTok">
    <w:name w:val="DataTypeTok"/>
    <w:basedOn w:val="VerbatimChar"/>
    <w:rPr>
      <w:rFonts w:ascii="Times New Roman" w:hAnsi="Times New Roman" w:eastAsia="宋体"/>
      <w:color w:val="902000"/>
    </w:rPr>
  </w:style>
  <w:style w:type="character" w:customStyle="1" w:styleId="DecValTok">
    <w:name w:val="DecValTok"/>
    <w:basedOn w:val="VerbatimChar"/>
    <w:rPr>
      <w:rFonts w:ascii="Times New Roman" w:hAnsi="Times New Roman" w:eastAsia="宋体"/>
      <w:color w:val="40a070"/>
    </w:rPr>
  </w:style>
  <w:style w:type="character" w:customStyle="1" w:styleId="BaseNTok">
    <w:name w:val="BaseNTok"/>
    <w:basedOn w:val="VerbatimChar"/>
    <w:rPr>
      <w:rFonts w:ascii="Times New Roman" w:hAnsi="Times New Roman" w:eastAsia="宋体"/>
      <w:color w:val="40a070"/>
    </w:rPr>
  </w:style>
  <w:style w:type="character" w:customStyle="1" w:styleId="FloatTok">
    <w:name w:val="FloatTok"/>
    <w:basedOn w:val="VerbatimChar"/>
    <w:rPr>
      <w:rFonts w:ascii="Times New Roman" w:hAnsi="Times New Roman" w:eastAsia="宋体"/>
      <w:color w:val="40a070"/>
    </w:rPr>
  </w:style>
  <w:style w:type="character" w:customStyle="1" w:styleId="ConstantTok">
    <w:name w:val="ConstantTok"/>
    <w:basedOn w:val="VerbatimChar"/>
    <w:rPr>
      <w:rFonts w:ascii="Times New Roman" w:hAnsi="Times New Roman" w:eastAsia="宋体"/>
      <w:color w:val="880000"/>
    </w:rPr>
  </w:style>
  <w:style w:type="character" w:customStyle="1" w:styleId="CharTok">
    <w:name w:val="CharTok"/>
    <w:basedOn w:val="VerbatimChar"/>
    <w:rPr>
      <w:rFonts w:ascii="Times New Roman" w:hAnsi="Times New Roman" w:eastAsia="宋体"/>
      <w:color w:val="4070a0"/>
    </w:rPr>
  </w:style>
  <w:style w:type="character" w:customStyle="1" w:styleId="SpecialCharTok">
    <w:name w:val="SpecialCharTok"/>
    <w:basedOn w:val="VerbatimChar"/>
    <w:rPr>
      <w:rFonts w:ascii="Times New Roman" w:hAnsi="Times New Roman" w:eastAsia="宋体"/>
      <w:color w:val="4070a0"/>
    </w:rPr>
  </w:style>
  <w:style w:type="character" w:customStyle="1" w:styleId="StringTok">
    <w:name w:val="StringTok"/>
    <w:basedOn w:val="VerbatimChar"/>
    <w:rPr>
      <w:rFonts w:ascii="Times New Roman" w:hAnsi="Times New Roman" w:eastAsia="宋体"/>
      <w:color w:val="4070a0"/>
    </w:rPr>
  </w:style>
  <w:style w:type="character" w:customStyle="1" w:styleId="VerbatimStringTok">
    <w:name w:val="VerbatimStringTok"/>
    <w:basedOn w:val="VerbatimChar"/>
    <w:rPr>
      <w:rFonts w:ascii="Times New Roman" w:hAnsi="Times New Roman" w:eastAsia="宋体"/>
      <w:color w:val="4070a0"/>
    </w:rPr>
  </w:style>
  <w:style w:type="character" w:customStyle="1" w:styleId="SpecialStringTok">
    <w:name w:val="SpecialStringTok"/>
    <w:basedOn w:val="VerbatimChar"/>
    <w:rPr>
      <w:rFonts w:ascii="Times New Roman" w:hAnsi="Times New Roman" w:eastAsia="宋体"/>
      <w:color w:val="bb6688"/>
    </w:rPr>
  </w:style>
  <w:style w:type="character" w:customStyle="1" w:styleId="ImportTok">
    <w:name w:val="ImportTok"/>
    <w:basedOn w:val="VerbatimChar"/>
    <w:rPr>
      <w:rFonts w:ascii="Times New Roman" w:hAnsi="Times New Roman" w:eastAsia="宋体"/>
      <w:color w:val="008000"/>
      <w:b/>
    </w:rPr>
  </w:style>
  <w:style w:type="character" w:customStyle="1" w:styleId="CommentTok">
    <w:name w:val="CommentTok"/>
    <w:basedOn w:val="VerbatimChar"/>
    <w:rPr>
      <w:rFonts w:ascii="Times New Roman" w:hAnsi="Times New Roman" w:eastAsia="宋体"/>
      <w:color w:val="60a0b0"/>
      <w:i/>
    </w:rPr>
  </w:style>
  <w:style w:type="character" w:customStyle="1" w:styleId="DocumentationTok">
    <w:name w:val="DocumentationTok"/>
    <w:basedOn w:val="VerbatimChar"/>
    <w:rPr>
      <w:rFonts w:ascii="Times New Roman" w:hAnsi="Times New Roman" w:eastAsia="宋体"/>
      <w:color w:val="ba2121"/>
      <w:i/>
    </w:rPr>
  </w:style>
  <w:style w:type="character" w:customStyle="1" w:styleId="AnnotationTok">
    <w:name w:val="AnnotationTok"/>
    <w:basedOn w:val="VerbatimChar"/>
    <w:rPr>
      <w:rFonts w:ascii="Times New Roman" w:hAnsi="Times New Roman" w:eastAsia="宋体"/>
      <w:color w:val="60a0b0"/>
      <w:b/>
      <w:i/>
    </w:rPr>
  </w:style>
  <w:style w:type="character" w:customStyle="1" w:styleId="CommentVarTok">
    <w:name w:val="CommentVarTok"/>
    <w:basedOn w:val="VerbatimChar"/>
    <w:rPr>
      <w:rFonts w:ascii="Times New Roman" w:hAnsi="Times New Roman" w:eastAsia="宋体"/>
      <w:color w:val="60a0b0"/>
      <w:b/>
      <w:i/>
    </w:rPr>
  </w:style>
  <w:style w:type="character" w:customStyle="1" w:styleId="OtherTok">
    <w:name w:val="OtherTok"/>
    <w:basedOn w:val="VerbatimChar"/>
    <w:rPr>
      <w:rFonts w:ascii="Times New Roman" w:hAnsi="Times New Roman" w:eastAsia="宋体"/>
      <w:color w:val="007020"/>
    </w:rPr>
  </w:style>
  <w:style w:type="character" w:customStyle="1" w:styleId="FunctionTok">
    <w:name w:val="FunctionTok"/>
    <w:basedOn w:val="VerbatimChar"/>
    <w:rPr>
      <w:rFonts w:ascii="Times New Roman" w:hAnsi="Times New Roman" w:eastAsia="宋体"/>
      <w:color w:val="06287e"/>
    </w:rPr>
  </w:style>
  <w:style w:type="character" w:customStyle="1" w:styleId="VariableTok">
    <w:name w:val="VariableTok"/>
    <w:basedOn w:val="VerbatimChar"/>
    <w:rPr>
      <w:rFonts w:ascii="Times New Roman" w:hAnsi="Times New Roman" w:eastAsia="宋体"/>
      <w:color w:val="19177c"/>
    </w:rPr>
  </w:style>
  <w:style w:type="character" w:customStyle="1" w:styleId="ControlFlowTok">
    <w:name w:val="ControlFlowTok"/>
    <w:basedOn w:val="VerbatimChar"/>
    <w:rPr>
      <w:rFonts w:ascii="Times New Roman" w:hAnsi="Times New Roman" w:eastAsia="宋体"/>
      <w:color w:val="007020"/>
      <w:b/>
    </w:rPr>
  </w:style>
  <w:style w:type="character" w:customStyle="1" w:styleId="OperatorTok">
    <w:name w:val="OperatorTok"/>
    <w:basedOn w:val="VerbatimChar"/>
    <w:rPr>
      <w:rFonts w:ascii="Times New Roman" w:hAnsi="Times New Roman" w:eastAsia="宋体"/>
      <w:color w:val="666666"/>
    </w:rPr>
  </w:style>
  <w:style w:type="character" w:customStyle="1" w:styleId="BuiltInTok">
    <w:name w:val="BuiltInTok"/>
    <w:basedOn w:val="VerbatimChar"/>
    <w:rPr>
      <w:rFonts w:ascii="Times New Roman" w:hAnsi="Times New Roman" w:eastAsia="宋体"/>
      <w:color w:val="008000"/>
    </w:rPr>
  </w:style>
  <w:style w:type="character" w:customStyle="1" w:styleId="ExtensionTok">
    <w:name w:val="ExtensionTok"/>
    <w:basedOn w:val="VerbatimChar"/>
    <w:rPr>
      <w:rFonts w:ascii="Times New Roman" w:hAnsi="Times New Roman" w:eastAsia="宋体"/>
    </w:rPr>
  </w:style>
  <w:style w:type="character" w:customStyle="1" w:styleId="PreprocessorTok">
    <w:name w:val="PreprocessorTok"/>
    <w:basedOn w:val="VerbatimChar"/>
    <w:rPr>
      <w:rFonts w:ascii="Times New Roman" w:hAnsi="Times New Roman" w:eastAsia="宋体"/>
      <w:color w:val="bc7a00"/>
    </w:rPr>
  </w:style>
  <w:style w:type="character" w:customStyle="1" w:styleId="AttributeTok">
    <w:name w:val="AttributeTok"/>
    <w:basedOn w:val="VerbatimChar"/>
    <w:rPr>
      <w:rFonts w:ascii="Times New Roman" w:hAnsi="Times New Roman" w:eastAsia="宋体"/>
      <w:color w:val="7d9029"/>
    </w:rPr>
  </w:style>
  <w:style w:type="character" w:customStyle="1" w:styleId="RegionMarkerTok">
    <w:name w:val="RegionMarkerTok"/>
    <w:basedOn w:val="VerbatimChar"/>
    <w:rPr>
      <w:rFonts w:ascii="Times New Roman" w:hAnsi="Times New Roman" w:eastAsia="宋体"/>
    </w:rPr>
  </w:style>
  <w:style w:type="character" w:customStyle="1" w:styleId="InformationTok">
    <w:name w:val="InformationTok"/>
    <w:basedOn w:val="VerbatimChar"/>
    <w:rPr>
      <w:rFonts w:ascii="Times New Roman" w:hAnsi="Times New Roman" w:eastAsia="宋体"/>
      <w:color w:val="60a0b0"/>
      <w:b/>
      <w:i/>
    </w:rPr>
  </w:style>
  <w:style w:type="character" w:customStyle="1" w:styleId="WarningTok">
    <w:name w:val="WarningTok"/>
    <w:basedOn w:val="VerbatimChar"/>
    <w:rPr>
      <w:rFonts w:ascii="Times New Roman" w:hAnsi="Times New Roman" w:eastAsia="宋体"/>
      <w:color w:val="60a0b0"/>
      <w:b/>
      <w:i/>
    </w:rPr>
  </w:style>
  <w:style w:type="character" w:customStyle="1" w:styleId="AlertTok">
    <w:name w:val="AlertTok"/>
    <w:basedOn w:val="VerbatimChar"/>
    <w:rPr>
      <w:rFonts w:ascii="Times New Roman" w:hAnsi="Times New Roman" w:eastAsia="宋体"/>
      <w:color w:val="ff0000"/>
      <w:b/>
    </w:rPr>
  </w:style>
  <w:style w:type="character" w:customStyle="1" w:styleId="ErrorTok">
    <w:name w:val="ErrorTok"/>
    <w:basedOn w:val="VerbatimChar"/>
    <w:rPr>
      <w:rFonts w:ascii="Times New Roman" w:hAnsi="Times New Roman" w:eastAsia="宋体"/>
      <w:color w:val="ff0000"/>
      <w:b/>
    </w:rPr>
  </w:style>
  <w:style w:type="character" w:customStyle="1" w:styleId="NormalTok">
    <w:name w:val="NormalTok"/>
    <w:basedOn w:val="VerbatimChar"/>
    <w:rPr>
      <w:rFonts w:ascii="Times New Roman" w:hAnsi="Times New Roman" w:eastAsia="宋体"/>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image" Target="media/rId63.png"/><Relationship Id="rId88" Type="http://schemas.openxmlformats.org/officeDocument/2006/relationships/image" Target="media/rId88.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2026-07-16T17:56:54Z</dcterms:created>
  <dcterms:modified xsi:type="dcterms:W3CDTF">2026-07-16T17:56:54Z</dcterms:modified>
</cp:coreProperties>
</file>

<file path=docProps/custom.xml><?xml version="1.0" encoding="utf-8"?>
<Properties xmlns="http://schemas.openxmlformats.org/officeDocument/2006/custom-properties" xmlns:vt="http://schemas.openxmlformats.org/officeDocument/2006/docPropsVTypes"/>
</file>