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Global Monkeypox Tracker — Analytics Report</w:t>
      </w:r>
    </w:p>
    <w:p>
      <w:r>
        <w:t>Period: May 2022 - April 2026 | Total rows analysed: 165106</w:t>
      </w:r>
    </w:p>
    <w:p/>
    <w:p>
      <w:pPr>
        <w:pStyle w:val="Heading1"/>
      </w:pPr>
      <w:r>
        <w:t>KPI Snapshot</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Global Cases</w:t>
            </w:r>
          </w:p>
        </w:tc>
        <w:tc>
          <w:tcPr>
            <w:tcW w:type="dxa" w:w="4320"/>
          </w:tcPr>
          <w:p>
            <w:r>
              <w:t>179029</w:t>
            </w:r>
          </w:p>
        </w:tc>
      </w:tr>
      <w:tr>
        <w:tc>
          <w:tcPr>
            <w:tcW w:type="dxa" w:w="4320"/>
          </w:tcPr>
          <w:p>
            <w:r>
              <w:t>Total Global Deaths</w:t>
            </w:r>
          </w:p>
        </w:tc>
        <w:tc>
          <w:tcPr>
            <w:tcW w:type="dxa" w:w="4320"/>
          </w:tcPr>
          <w:p>
            <w:r>
              <w:t>503</w:t>
            </w:r>
          </w:p>
        </w:tc>
      </w:tr>
      <w:tr>
        <w:tc>
          <w:tcPr>
            <w:tcW w:type="dxa" w:w="4320"/>
          </w:tcPr>
          <w:p>
            <w:r>
              <w:t>Case Fatality Rate Pct</w:t>
            </w:r>
          </w:p>
        </w:tc>
        <w:tc>
          <w:tcPr>
            <w:tcW w:type="dxa" w:w="4320"/>
          </w:tcPr>
          <w:p>
            <w:r>
              <w:t>0.281</w:t>
            </w:r>
          </w:p>
        </w:tc>
      </w:tr>
      <w:tr>
        <w:tc>
          <w:tcPr>
            <w:tcW w:type="dxa" w:w="4320"/>
          </w:tcPr>
          <w:p>
            <w:r>
              <w:t>Peak Daily New Cases</w:t>
            </w:r>
          </w:p>
        </w:tc>
        <w:tc>
          <w:tcPr>
            <w:tcW w:type="dxa" w:w="4320"/>
          </w:tcPr>
          <w:p>
            <w:r>
              <w:t>5997</w:t>
            </w:r>
          </w:p>
        </w:tc>
      </w:tr>
      <w:tr>
        <w:tc>
          <w:tcPr>
            <w:tcW w:type="dxa" w:w="4320"/>
          </w:tcPr>
          <w:p>
            <w:r>
              <w:t>Peak Date</w:t>
            </w:r>
          </w:p>
        </w:tc>
        <w:tc>
          <w:tcPr>
            <w:tcW w:type="dxa" w:w="4320"/>
          </w:tcPr>
          <w:p>
            <w:r>
              <w:t>2022-08-01</w:t>
            </w:r>
          </w:p>
        </w:tc>
      </w:tr>
      <w:tr>
        <w:tc>
          <w:tcPr>
            <w:tcW w:type="dxa" w:w="4320"/>
          </w:tcPr>
          <w:p>
            <w:r>
              <w:t>Countries Affected</w:t>
            </w:r>
          </w:p>
        </w:tc>
        <w:tc>
          <w:tcPr>
            <w:tcW w:type="dxa" w:w="4320"/>
          </w:tcPr>
          <w:p>
            <w:r>
              <w:t>151</w:t>
            </w:r>
          </w:p>
        </w:tc>
      </w:tr>
    </w:tbl>
    <w:p/>
    <w:p>
      <w:pPr>
        <w:pStyle w:val="Heading1"/>
      </w:pPr>
      <w:r>
        <w:t>Executive Summary</w:t>
      </w:r>
    </w:p>
    <w:p>
      <w:r>
        <w:t>This epidemiological analytics report examines global disease surveillance data spanning May 2022 through April 2026, encompassing 179,029 confirmed cases and 503 deaths across 151 countries. The outbreak exhibited a characteristic epidemic curve with a sharp peak in August 2022 (5,997 daily cases) followed by sustained decline to minimal transmission levels. The case fatality rate remains low at 0.28%. Geographic distribution shows concentration in North America, Africa, and select South American regions, with the United States (37,530 cases) and Democratic Republic of Congo (34,011 cases) representing the highest burden countries.</w:t>
      </w:r>
    </w:p>
    <w:p>
      <w:pPr>
        <w:pStyle w:val="Heading1"/>
      </w:pPr>
      <w:r>
        <w:t>Key Performance Indicators</w:t>
      </w:r>
    </w:p>
    <w:p>
      <w:pPr>
        <w:pStyle w:val="ListBullet"/>
      </w:pPr>
      <w:r>
        <w:t>**Total Global Cases**: 179,029 confirmed infections</w:t>
      </w:r>
    </w:p>
    <w:p>
      <w:pPr>
        <w:pStyle w:val="ListBullet"/>
      </w:pPr>
      <w:r>
        <w:t>**Total Global Deaths**: 503 fatalities</w:t>
      </w:r>
    </w:p>
    <w:p>
      <w:pPr>
        <w:pStyle w:val="ListBullet"/>
      </w:pPr>
      <w:r>
        <w:t>**Case Fatality Rate**: 0.281%</w:t>
      </w:r>
    </w:p>
    <w:p>
      <w:pPr>
        <w:pStyle w:val="ListBullet"/>
      </w:pPr>
      <w:r>
        <w:t>**Peak Daily Incidence**: 5,997 new cases (August 1, 2022)</w:t>
      </w:r>
    </w:p>
    <w:p>
      <w:pPr>
        <w:pStyle w:val="ListBullet"/>
      </w:pPr>
      <w:r>
        <w:t>**Geographic Spread**: 151 countries affected</w:t>
      </w:r>
    </w:p>
    <w:p>
      <w:pPr>
        <w:pStyle w:val="ListBullet"/>
      </w:pPr>
      <w:r>
        <w:t>**Data Coverage Period**: 48 months (May 2022 - April 2026)</w:t>
      </w:r>
    </w:p>
    <w:p>
      <w:pPr>
        <w:pStyle w:val="ListBullet"/>
      </w:pPr>
      <w:r>
        <w:t>**Top 5 Affected Countries**: USA (37,530), DRC (34,011), Brazil (15,027), Spain (9,454), Uganda (8,512)</w:t>
      </w:r>
    </w:p>
    <w:p>
      <w:pPr>
        <w:pStyle w:val="Heading1"/>
      </w:pPr>
      <w:r>
        <w:t>Trend Analysis</w:t>
      </w:r>
    </w:p>
    <w:p>
      <w:r>
        <w:t>The epidemic trajectory demonstrates three distinct phases: rapid escalation peaking in August 2022, followed by exponential decline through late 2022, and sustained low-level endemic transmission from 2023-2026. Geographic clustering indicates established transmission networks in North American, African, and South American regions. The prolonged tail of the epidemic curve suggests persistent reservoirs maintaining transmission chains despite overall declining incidence rates. Temporal patterns indicate successful initial containment measures followed by transition to endemic equilibrium rather than elimination.</w:t>
      </w:r>
    </w:p>
    <w:p>
      <w:pPr>
        <w:pStyle w:val="Heading1"/>
      </w:pPr>
      <w:r>
        <w:t>Anomalies &amp; Risk Signals</w:t>
      </w:r>
    </w:p>
    <w:p>
      <w:r>
        <w:t>Two critical anomalies require immediate attention: (1) Democratic Republic of Congo exhibits disproportionately high case burden (34,011 cases) suggesting endemic transmission dynamics potentially linked to surveillance gaps, population density, or healthcare infrastructure limitations; (2) Dataset contains future projections extending to April 2026, raising data integrity concerns requiring validation of projection methodologies versus observed surveillance data. Additional risk signals include sustained transmission in multiple African countries (DRC, Uganda) indicating potential for regional spillover events.</w:t>
      </w:r>
    </w:p>
    <w:p>
      <w:pPr>
        <w:pStyle w:val="Heading1"/>
      </w:pPr>
      <w:r>
        <w:t>Public Health Recommendations</w:t>
      </w:r>
    </w:p>
    <w:p>
      <w:r>
        <w:t>**Immediate Actions**: Enhance active surveillance systems and laboratory capacity in high-burden African countries, particularly DRC and Uganda, to characterize transmission patterns and identify control gaps. Validate data quality processes to distinguish between observed cases and epidemiological projections.</w:t>
      </w:r>
    </w:p>
    <w:p>
      <w:r>
        <w:t>**Strategic Priorities**: Maintain global preparedness frameworks for potential resurgence given persistent low-level transmission across multiple regions. Reallocate public health resources from countries achieving sustained zero transmission to active transmission zones requiring targeted interventions.</w:t>
      </w:r>
    </w:p>
    <w:p>
      <w:r>
        <w:t>**Long-term Surveillance**: Implement risk-stratified monitoring systems focusing on geographic hotspots while maintaining minimal surveillance infrastructure in low-risk regions for early detection of potential reemergence.</w:t>
      </w:r>
    </w:p>
    <w:p>
      <w:pPr>
        <w:pStyle w:val="Heading1"/>
      </w:pPr>
      <w:r>
        <w:t>Appendix: Data Cleaning Log</w:t>
      </w:r>
    </w:p>
    <w:p>
      <w:r>
        <w:t>The following changes were made to the dataset automatically by the AI cleaning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