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sz w:val="40"/>
        </w:rPr>
        <w:t>Global Monkeypox Tracker — Analytics Report</w:t>
      </w:r>
    </w:p>
    <w:p>
      <w:r>
        <w:rPr>
          <w:color w:val="6B7280"/>
          <w:sz w:val="20"/>
        </w:rPr>
        <w:t>Period: 2022-05-01 to 2026-04-30 | Total rows analysed: 168789</w:t>
      </w:r>
    </w:p>
    <w:p/>
    <w:p>
      <w:pPr>
        <w:pStyle w:val="Heading1"/>
      </w:pPr>
      <w:r>
        <w:t>KPI Snapshot</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Metric</w:t>
            </w:r>
          </w:p>
        </w:tc>
        <w:tc>
          <w:tcPr>
            <w:tcW w:type="dxa" w:w="4392"/>
          </w:tcPr>
          <w:p>
            <w:r>
              <w:rPr>
                <w:b/>
                <w:sz w:val="20"/>
              </w:rPr>
              <w:t>Value</w:t>
            </w:r>
          </w:p>
        </w:tc>
      </w:tr>
      <w:tr>
        <w:tc>
          <w:tcPr>
            <w:tcW w:type="dxa" w:w="4392"/>
          </w:tcPr>
          <w:p>
            <w:r>
              <w:rPr>
                <w:sz w:val="20"/>
              </w:rPr>
              <w:t>Total Global Cases</w:t>
            </w:r>
          </w:p>
        </w:tc>
        <w:tc>
          <w:tcPr>
            <w:tcW w:type="dxa" w:w="4392"/>
          </w:tcPr>
          <w:p>
            <w:r>
              <w:rPr>
                <w:sz w:val="20"/>
              </w:rPr>
              <w:t>180545</w:t>
            </w:r>
          </w:p>
        </w:tc>
      </w:tr>
      <w:tr>
        <w:tc>
          <w:tcPr>
            <w:tcW w:type="dxa" w:w="4392"/>
          </w:tcPr>
          <w:p>
            <w:r>
              <w:rPr>
                <w:sz w:val="20"/>
              </w:rPr>
              <w:t>Total Global Deaths</w:t>
            </w:r>
          </w:p>
        </w:tc>
        <w:tc>
          <w:tcPr>
            <w:tcW w:type="dxa" w:w="4392"/>
          </w:tcPr>
          <w:p>
            <w:r>
              <w:rPr>
                <w:sz w:val="20"/>
              </w:rPr>
              <w:t>506</w:t>
            </w:r>
          </w:p>
        </w:tc>
      </w:tr>
      <w:tr>
        <w:tc>
          <w:tcPr>
            <w:tcW w:type="dxa" w:w="4392"/>
          </w:tcPr>
          <w:p>
            <w:r>
              <w:rPr>
                <w:sz w:val="20"/>
              </w:rPr>
              <w:t>Case Fatality Rate</w:t>
            </w:r>
          </w:p>
        </w:tc>
        <w:tc>
          <w:tcPr>
            <w:tcW w:type="dxa" w:w="4392"/>
          </w:tcPr>
          <w:p>
            <w:r>
              <w:rPr>
                <w:sz w:val="20"/>
              </w:rPr>
              <w:t>0.28</w:t>
            </w:r>
          </w:p>
        </w:tc>
      </w:tr>
      <w:tr>
        <w:tc>
          <w:tcPr>
            <w:tcW w:type="dxa" w:w="4392"/>
          </w:tcPr>
          <w:p>
            <w:r>
              <w:rPr>
                <w:sz w:val="20"/>
              </w:rPr>
              <w:t>Peak Daily Cases</w:t>
            </w:r>
          </w:p>
        </w:tc>
        <w:tc>
          <w:tcPr>
            <w:tcW w:type="dxa" w:w="4392"/>
          </w:tcPr>
          <w:p>
            <w:r>
              <w:rPr>
                <w:sz w:val="20"/>
              </w:rPr>
              <w:t>5997</w:t>
            </w:r>
          </w:p>
        </w:tc>
      </w:tr>
      <w:tr>
        <w:tc>
          <w:tcPr>
            <w:tcW w:type="dxa" w:w="4392"/>
          </w:tcPr>
          <w:p>
            <w:r>
              <w:rPr>
                <w:sz w:val="20"/>
              </w:rPr>
              <w:t>Average Daily Cases</w:t>
            </w:r>
          </w:p>
        </w:tc>
        <w:tc>
          <w:tcPr>
            <w:tcW w:type="dxa" w:w="4392"/>
          </w:tcPr>
          <w:p>
            <w:r>
              <w:rPr>
                <w:sz w:val="20"/>
              </w:rPr>
              <w:t>3.21</w:t>
            </w:r>
          </w:p>
        </w:tc>
      </w:tr>
      <w:tr>
        <w:tc>
          <w:tcPr>
            <w:tcW w:type="dxa" w:w="4392"/>
          </w:tcPr>
          <w:p>
            <w:r>
              <w:rPr>
                <w:sz w:val="20"/>
              </w:rPr>
              <w:t>Average Daily Deaths</w:t>
            </w:r>
          </w:p>
        </w:tc>
        <w:tc>
          <w:tcPr>
            <w:tcW w:type="dxa" w:w="4392"/>
          </w:tcPr>
          <w:p>
            <w:r>
              <w:rPr>
                <w:sz w:val="20"/>
              </w:rPr>
              <w:t>0.01</w:t>
            </w:r>
          </w:p>
        </w:tc>
      </w:tr>
      <w:tr>
        <w:tc>
          <w:tcPr>
            <w:tcW w:type="dxa" w:w="4392"/>
          </w:tcPr>
          <w:p>
            <w:r>
              <w:rPr>
                <w:sz w:val="20"/>
              </w:rPr>
              <w:t>Countries Affected</w:t>
            </w:r>
          </w:p>
        </w:tc>
        <w:tc>
          <w:tcPr>
            <w:tcW w:type="dxa" w:w="4392"/>
          </w:tcPr>
          <w:p>
            <w:r>
              <w:rPr>
                <w:sz w:val="20"/>
              </w:rPr>
              <w:t>151</w:t>
            </w:r>
          </w:p>
        </w:tc>
      </w:tr>
    </w:tbl>
    <w:p/>
    <w:p>
      <w:pPr>
        <w:pStyle w:val="Heading1"/>
      </w:pPr>
      <w:r>
        <w:rPr>
          <w:sz w:val="28"/>
        </w:rPr>
        <w:t>Executive Summary</w:t>
      </w:r>
    </w:p>
    <w:p/>
    <w:p>
      <w:r>
        <w:rPr>
          <w:sz w:val="22"/>
        </w:rPr>
        <w:t>This report analyzes global disease surveillance data spanning May 2022 to April 2026, covering 180,545 cases across 151 countries. The outbreak peaked in August 2022 with nearly 6,000 daily cases but maintained an exceptionally low case fatality rate of 0.28%. The United States and Democratic Republic of Congo represent the largest case clusters, accounting for approximately 40% of all reported cases. While case volumes are substantial, the minimal mortality rate raises questions about data quality or disease characteristics requiring immediate investigation.</w:t>
      </w:r>
    </w:p>
    <w:p/>
    <w:p>
      <w:pPr>
        <w:pStyle w:val="Heading1"/>
      </w:pPr>
      <w:r>
        <w:rPr>
          <w:sz w:val="28"/>
        </w:rPr>
        <w:t>Key Performance Indicators</w:t>
      </w:r>
    </w:p>
    <w:p/>
    <w:p>
      <w:r>
        <w:rPr>
          <w:sz w:val="22"/>
        </w:rPr>
        <w:t>Total global cases reached 180,545 with 506 deaths, resulting in a 0.28% case fatality rate. Peak transmission occurred with 5,997 daily cases, while the four-year average remained at 3.21 cases per day. Death reporting averaged 0.01 per day across the surveillance period. Geographic spread encompasses 151 countries, indicating significant international transmission. The top five affected nations collectively represent 104,899 cases, demonstrating concentrated outbreak patterns in specific regions.</w:t>
      </w:r>
    </w:p>
    <w:p/>
    <w:p>
      <w:pPr>
        <w:pStyle w:val="Heading1"/>
      </w:pPr>
      <w:r>
        <w:rPr>
          <w:sz w:val="28"/>
        </w:rPr>
        <w:t>Trend Analysis</w:t>
      </w:r>
    </w:p>
    <w:p/>
    <w:p>
      <w:r>
        <w:rPr>
          <w:sz w:val="22"/>
        </w:rPr>
        <w:t>The outbreak timeline shows acute transmission intensity during August 2022, followed by sustained lower-level activity throughout the surveillance period. Geographic distribution reveals two primary epicenters: North America led by the United States with 37,789 cases, and Central/Eastern Africa with Democratic Republic of Congo contributing 34,054 cases. Brazil, Spain, and Uganda complete the top five affected countries with case counts ranging from 8,512 to 15,027. This pattern suggests multiple introduction pathways and sustained community transmission in diverse geographic and demographic contexts.</w:t>
      </w:r>
    </w:p>
    <w:p/>
    <w:p>
      <w:pPr>
        <w:pStyle w:val="Heading1"/>
      </w:pPr>
      <w:r>
        <w:rPr>
          <w:sz w:val="28"/>
        </w:rPr>
        <w:t>Anomalies &amp; Risk Signals</w:t>
      </w:r>
    </w:p>
    <w:p/>
    <w:p>
      <w:r>
        <w:rPr>
          <w:sz w:val="22"/>
        </w:rPr>
        <w:t>The most significant anomaly is the disconnect between case volume and mortality outcomes. An average daily death rate of 0.01 against thousands of cases indicates either exceptional clinical management, mild disease presentation, or systematic underreporting of deaths. This discrepancy requires immediate validation of surveillance systems and case definitions. Additionally, the sustained transmission across 151 countries over four years suggests ongoing reservoir maintenance or repeated introductions that merit epidemiological investigation.</w:t>
      </w:r>
    </w:p>
    <w:p/>
    <w:p>
      <w:pPr>
        <w:pStyle w:val="Heading1"/>
      </w:pPr>
      <w:r>
        <w:rPr>
          <w:sz w:val="28"/>
        </w:rPr>
        <w:t>Strategic Recommendations</w:t>
      </w:r>
    </w:p>
    <w:p/>
    <w:p>
      <w:r>
        <w:rPr>
          <w:sz w:val="22"/>
        </w:rPr>
        <w:t>Immediate priority should focus on data quality assessment, particularly death reporting mechanisms across all surveillance sites. Enhanced monitoring capabilities must be deployed in the top five affected countries, which represent the majority of case burden. African regional surveillance requires strengthening given high case counts in Democratic Republic of Congo and Uganda, where healthcare infrastructure may impact data completeness. Establish standardized case definitions and reporting protocols to ensure data consistency across the 151 participating countries. Finally, conduct comprehensive epidemiological investigation to determine transmission dynamics sustaining this four-year outbreak pattern.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