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2">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 в соответствии с ФЗ от 25.07.2002 № 113-ФЗ «Об альтернативной гражданской службе» (далее – Закон об АГС).</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решение об отказе в замене военной службы по призыву на АГС должно быть мотивированным.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module_deadline_missed_rejection</w:t>
      </w:r>
      <w:r w:rsidDel="00000000" w:rsidR="00000000" w:rsidRPr="00000000">
        <w:rPr>
          <w:rFonts w:ascii="Times New Roman" w:cs="Times New Roman" w:eastAsia="Times New Roman" w:hAnsi="Times New Roman"/>
          <w:sz w:val="20"/>
          <w:szCs w:val="20"/>
          <w:rtl w:val="0"/>
        </w:rPr>
        <w:t xml:space="preserve"> %}module_deadline_missed</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w:t>
      </w:r>
      <w:r w:rsidDel="00000000" w:rsidR="00000000" w:rsidRPr="00000000">
        <w:rPr>
          <w:rFonts w:ascii="Times New Roman" w:cs="Times New Roman" w:eastAsia="Times New Roman" w:hAnsi="Times New Roman"/>
          <w:sz w:val="20"/>
          <w:szCs w:val="20"/>
          <w:rtl w:val="0"/>
        </w:rPr>
        <w:t xml:space="preserve">Так, согласно Кассационному определению Второго кассационного суда общей юрисдикции от 11.08.2021 № 88а-15837/2021 по делу № 2а-340/2020:</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w:t>
      </w:r>
      <w:r w:rsidDel="00000000" w:rsidR="00000000" w:rsidRPr="00000000">
        <w:rPr>
          <w:rFonts w:ascii="Times New Roman" w:cs="Times New Roman" w:eastAsia="Times New Roman" w:hAnsi="Times New Roman"/>
          <w:b w:val="1"/>
          <w:sz w:val="20"/>
          <w:szCs w:val="20"/>
          <w:rtl w:val="0"/>
        </w:rPr>
        <w:t xml:space="preserve">Закона об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Закона об АГС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9">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w:t>
      </w:r>
      <w:r w:rsidDel="00000000" w:rsidR="00000000" w:rsidRPr="00000000">
        <w:rPr>
          <w:rFonts w:ascii="Times New Roman" w:cs="Times New Roman" w:eastAsia="Times New Roman" w:hAnsi="Times New Roman"/>
          <w:b w:val="1"/>
          <w:sz w:val="20"/>
          <w:szCs w:val="20"/>
          <w:rtl w:val="0"/>
        </w:rPr>
        <w:t xml:space="preserve">Заявление на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в связи с чем,</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бездействие Военного Комиссариата и Призывной комиссии является незаконным. </w:t>
      </w:r>
      <w:r w:rsidDel="00000000" w:rsidR="00000000" w:rsidRPr="00000000">
        <w:rPr>
          <w:rtl w:val="0"/>
        </w:rPr>
      </w:r>
    </w:p>
    <w:p w:rsidR="00000000" w:rsidDel="00000000" w:rsidP="00000000" w:rsidRDefault="00000000" w:rsidRPr="00000000" w14:paraId="0000009D">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z w:val="20"/>
          <w:szCs w:val="20"/>
          <w:rtl w:val="0"/>
        </w:rPr>
        <w:t xml:space="preserve">Помимо этого, р</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ешение Призывной комиссии </w:t>
      </w:r>
      <w:r w:rsidDel="00000000" w:rsidR="00000000" w:rsidRPr="00000000">
        <w:rPr>
          <w:rFonts w:ascii="Times New Roman" w:cs="Times New Roman" w:eastAsia="Times New Roman" w:hAnsi="Times New Roman"/>
          <w:b w:val="1"/>
          <w:sz w:val="20"/>
          <w:szCs w:val="20"/>
          <w:rtl w:val="0"/>
        </w:rPr>
        <w:t xml:space="preserve">подлежит</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отмене.</w:t>
      </w:r>
    </w:p>
    <w:p w:rsidR="00000000" w:rsidDel="00000000" w:rsidP="00000000" w:rsidRDefault="00000000" w:rsidRPr="00000000" w14:paraId="0000009F">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не выполнив ни одного из вышеуказанных предписываемых ей Законом действий, тем самым нарушив порядок рассмотрения заявления </w:t>
      </w:r>
      <w:r w:rsidDel="00000000" w:rsidR="00000000" w:rsidRPr="00000000">
        <w:rPr>
          <w:rFonts w:ascii="Times New Roman" w:cs="Times New Roman" w:eastAsia="Times New Roman" w:hAnsi="Times New Roman"/>
          <w:sz w:val="20"/>
          <w:szCs w:val="20"/>
          <w:rtl w:val="0"/>
        </w:rPr>
        <w:t xml:space="preserve">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результате чего было нарушено и конституционное право Ад</w:t>
      </w:r>
      <w:r w:rsidDel="00000000" w:rsidR="00000000" w:rsidRPr="00000000">
        <w:rPr>
          <w:rFonts w:ascii="Times New Roman" w:cs="Times New Roman" w:eastAsia="Times New Roman" w:hAnsi="Times New Roman"/>
          <w:sz w:val="20"/>
          <w:szCs w:val="20"/>
          <w:rtl w:val="0"/>
        </w:rPr>
        <w:t xml:space="preserve">министративного истца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w:t>
      </w:r>
      <w:r w:rsidDel="00000000" w:rsidR="00000000" w:rsidRPr="00000000">
        <w:rPr>
          <w:rFonts w:ascii="Times New Roman" w:cs="Times New Roman" w:eastAsia="Times New Roman" w:hAnsi="Times New Roman"/>
          <w:sz w:val="20"/>
          <w:szCs w:val="20"/>
          <w:rtl w:val="0"/>
        </w:rPr>
        <w:t xml:space="preserve"> 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w:t>
      </w:r>
      <w:r w:rsidDel="00000000" w:rsidR="00000000" w:rsidRPr="00000000">
        <w:rPr>
          <w:rFonts w:ascii="Times New Roman" w:cs="Times New Roman" w:eastAsia="Times New Roman" w:hAnsi="Times New Roman"/>
          <w:sz w:val="20"/>
          <w:szCs w:val="20"/>
          <w:rtl w:val="0"/>
        </w:rPr>
        <w:t xml:space="preserve">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0">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C1">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w:t>
      </w:r>
      <w:r w:rsidDel="00000000" w:rsidR="00000000" w:rsidRPr="00000000">
        <w:rPr>
          <w:rFonts w:ascii="Times New Roman" w:cs="Times New Roman" w:eastAsia="Times New Roman" w:hAnsi="Times New Roman"/>
          <w:sz w:val="20"/>
          <w:szCs w:val="20"/>
          <w:rtl w:val="0"/>
        </w:rPr>
        <w:t xml:space="preserve">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C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C8">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9">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C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D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2">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4">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9">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C">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F">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(summoned_to_the_hearing_and_rejected == true and annex_protocol_copy == false)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2">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подлиннДо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 в соответствии с Федеральным законом от 25.07.2002 № 113-ФЗ «Об альтернативной гражданской службе» (далее – Закон об АГС)ике,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4">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Заключение Призывной комиссии;</w:t>
      </w:r>
    </w:p>
    <w:p w:rsidR="00000000" w:rsidDel="00000000" w:rsidP="00000000" w:rsidRDefault="00000000" w:rsidRPr="00000000" w14:paraId="000000ED">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F0">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F3">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комиссариата на заявление Административного истца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6">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повестки для отправки на военную службу</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9">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квитанции об уплате госпошлины;</w:t>
        <w:tab/>
        <w:tab/>
        <w:tab/>
        <w:tab/>
        <w:tab/>
        <w:t xml:space="preserve"> </w:t>
      </w:r>
    </w:p>
    <w:p w:rsidR="00000000" w:rsidDel="00000000" w:rsidP="00000000" w:rsidRDefault="00000000" w:rsidRPr="00000000" w14:paraId="000000FB">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202_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AMUW2mXZrFYln3x4kPYeqW0tWjVLmmoc2a7gaqRUgk22ZYUugJdtAeB/ReXIpWZ5oaSWoygIP8XBiM23JlexvmTXBre4cRNCxYf/osCHu8wHoRLac5cdN7A=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