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0.0" w:type="dxa"/>
        <w:jc w:val="left"/>
        <w:tblInd w:w="-324.0" w:type="dxa"/>
        <w:tblLayout w:type="fixed"/>
        <w:tblLook w:val="0400"/>
      </w:tblPr>
      <w:tblGrid>
        <w:gridCol w:w="4084"/>
        <w:gridCol w:w="5486"/>
        <w:tblGridChange w:id="0">
          <w:tblGrid>
            <w:gridCol w:w="4084"/>
            <w:gridCol w:w="548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widowControl w:val="0"/>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court_name }}</w:t>
            </w:r>
          </w:p>
          <w:p w:rsidR="00000000" w:rsidDel="00000000" w:rsidP="00000000" w:rsidRDefault="00000000" w:rsidRPr="00000000" w14:paraId="00000004">
            <w:pPr>
              <w:widowControl w:val="0"/>
              <w:spacing w:after="0"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widowControl w:val="0"/>
              <w:spacing w:after="0"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Административный истец:</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user_name }}</w:t>
            </w:r>
          </w:p>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рождения: {{ user_birthdate }}</w:t>
            </w:r>
          </w:p>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Место рождения: {{ user_birthplace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Тел.: {{ user_phone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 user_email }}</w:t>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Факс – отсутствует</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Адрес: {{ user_address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r>
      <w:tr>
        <w:trPr>
          <w:cantSplit w:val="0"/>
          <w:trHeight w:val="1890.7458496093752"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Административные ответчики:</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осуществляющая призыв граждан проживающих на  территории муниципального  образования «</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rtl w:val="0"/>
              </w:rPr>
              <w:t xml:space="preserve">comission_region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smallCaps w:val="0"/>
                <w:strike w:val="0"/>
                <w:color w:val="000000"/>
                <w:sz w:val="23"/>
                <w:szCs w:val="23"/>
                <w:u w:val="none"/>
                <w:shd w:fill="auto" w:val="clear"/>
                <w:vertAlign w:val="baseline"/>
                <w:rtl w:val="0"/>
              </w:rPr>
              <w:t xml:space="preserve">Адрес:</w:t>
            </w:r>
            <w:r w:rsidDel="00000000" w:rsidR="00000000" w:rsidRPr="00000000">
              <w:rPr>
                <w:rFonts w:ascii="Times New Roman" w:cs="Times New Roman" w:eastAsia="Times New Roman" w:hAnsi="Times New Roman"/>
                <w:sz w:val="23"/>
                <w:szCs w:val="23"/>
                <w:rtl w:val="0"/>
              </w:rPr>
              <w:t xml:space="preserve"> {{ comission_address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Сведения о номерах телефонов, факсов и адресах электронной почты административного ответчика  неизвестны</w:t>
            </w:r>
            <w:r w:rsidDel="00000000" w:rsidR="00000000" w:rsidRPr="00000000">
              <w:rPr>
                <w:rtl w:val="0"/>
              </w:rPr>
            </w:r>
          </w:p>
        </w:tc>
      </w:tr>
      <w:tr>
        <w:trPr>
          <w:cantSplit w:val="0"/>
          <w:trHeight w:val="1222" w:hRule="atLeast"/>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1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{%p if party_inaction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Военный комиссариат муниципального образования “{{ comissariat_region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Адрес: {{ comissariat_address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9">
            <w:pPr>
              <w:tabs>
                <w:tab w:val="left" w:pos="5910"/>
              </w:tabs>
              <w:spacing w:after="12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title_inaction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1">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о признании незаконным решения об отказе в предоставлении права на альтернативную гражданскую службу</w:t>
      </w:r>
      <w:r w:rsidDel="00000000" w:rsidR="00000000" w:rsidRPr="00000000">
        <w:rPr>
          <w:rtl w:val="0"/>
        </w:rPr>
      </w:r>
    </w:p>
    <w:p w:rsidR="00000000" w:rsidDel="00000000" w:rsidP="00000000" w:rsidRDefault="00000000" w:rsidRPr="00000000" w14:paraId="0000002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2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Насто</w:t>
      </w:r>
      <w:r w:rsidDel="00000000" w:rsidR="00000000" w:rsidRPr="00000000">
        <w:rPr>
          <w:rFonts w:ascii="Times New Roman" w:cs="Times New Roman" w:eastAsia="Times New Roman" w:hAnsi="Times New Roman"/>
          <w:sz w:val="23"/>
          <w:szCs w:val="23"/>
          <w:rtl w:val="0"/>
        </w:rPr>
        <w:t xml:space="preserve">ящим {{ user_name }} (далее – Административный истец) обращается в суд с административным иском в порядке глав</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КАС РФ</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к </w:t>
      </w:r>
      <w:r w:rsidDel="00000000" w:rsidR="00000000" w:rsidRPr="00000000">
        <w:rPr>
          <w:rFonts w:ascii="Times New Roman" w:cs="Times New Roman" w:eastAsia="Times New Roman" w:hAnsi="Times New Roman"/>
          <w:sz w:val="23"/>
          <w:szCs w:val="23"/>
          <w:rtl w:val="0"/>
        </w:rPr>
        <w:t xml:space="preserve">Призывной комиссии, осуществляющей призыв граждан проживающих на  территории муниципального  образования «{{ comission_region }}»</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 Призывная комиссия</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6">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party_inaction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Военному комиссариату муниципального образования “{{ comissariat_region }}” </w:t>
      </w:r>
    </w:p>
    <w:p w:rsidR="00000000" w:rsidDel="00000000" w:rsidP="00000000" w:rsidRDefault="00000000" w:rsidRPr="00000000" w14:paraId="00000028">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и п</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росит суд:</w:t>
      </w:r>
    </w:p>
    <w:p w:rsidR="00000000" w:rsidDel="00000000" w:rsidP="00000000" w:rsidRDefault="00000000" w:rsidRPr="00000000" w14:paraId="0000002A">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plea_incaction %}</w:t>
      </w:r>
    </w:p>
    <w:p w:rsidR="00000000" w:rsidDel="00000000" w:rsidP="00000000" w:rsidRDefault="00000000" w:rsidRPr="00000000" w14:paraId="0000002B">
      <w:pPr>
        <w:numPr>
          <w:ilvl w:val="0"/>
          <w:numId w:val="1"/>
        </w:numPr>
        <w:spacing w:after="0" w:before="120" w:line="240" w:lineRule="auto"/>
        <w:ind w:left="56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2C">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2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plea_cancel_denial %}</w:t>
      </w:r>
    </w:p>
    <w:p w:rsidR="00000000" w:rsidDel="00000000" w:rsidP="00000000" w:rsidRDefault="00000000" w:rsidRPr="00000000" w14:paraId="0000002E">
      <w:pPr>
        <w:numPr>
          <w:ilvl w:val="0"/>
          <w:numId w:val="1"/>
        </w:numPr>
        <w:spacing w:after="0" w:line="240" w:lineRule="auto"/>
        <w:ind w:left="56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которое вынесла Призывная комиссия, осуществляющая призыв граждан проживающих на  территории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2F">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30">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plea_demand_rehearing %}</w:t>
      </w:r>
    </w:p>
    <w:p w:rsidR="00000000" w:rsidDel="00000000" w:rsidP="00000000" w:rsidRDefault="00000000" w:rsidRPr="00000000" w14:paraId="00000031">
      <w:pPr>
        <w:numPr>
          <w:ilvl w:val="0"/>
          <w:numId w:val="1"/>
        </w:numPr>
        <w:spacing w:after="120" w:line="240" w:lineRule="auto"/>
        <w:ind w:left="56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33">
      <w:pPr>
        <w:numPr>
          <w:ilvl w:val="0"/>
          <w:numId w:val="1"/>
        </w:numPr>
        <w:spacing w:after="120" w:line="240" w:lineRule="auto"/>
        <w:ind w:left="56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35">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plea_cancel_summon %}</w:t>
      </w:r>
      <w:r w:rsidDel="00000000" w:rsidR="00000000" w:rsidRPr="00000000">
        <w:rPr>
          <w:rtl w:val="0"/>
        </w:rPr>
      </w:r>
    </w:p>
    <w:p w:rsidR="00000000" w:rsidDel="00000000" w:rsidP="00000000" w:rsidRDefault="00000000" w:rsidRPr="00000000" w14:paraId="00000036">
      <w:pPr>
        <w:numPr>
          <w:ilvl w:val="0"/>
          <w:numId w:val="1"/>
        </w:numPr>
        <w:spacing w:after="120" w:line="240" w:lineRule="auto"/>
        <w:ind w:left="56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3"/>
          <w:szCs w:val="23"/>
          <w:rtl w:val="0"/>
        </w:rPr>
        <w:t xml:space="preserve">.</w:t>
      </w:r>
      <w:r w:rsidDel="00000000" w:rsidR="00000000" w:rsidRPr="00000000">
        <w:rPr>
          <w:rtl w:val="0"/>
        </w:rPr>
      </w:r>
    </w:p>
    <w:p w:rsidR="00000000" w:rsidDel="00000000" w:rsidP="00000000" w:rsidRDefault="00000000" w:rsidRPr="00000000" w14:paraId="00000037">
      <w:pPr>
        <w:spacing w:after="120" w:line="240" w:lineRule="auto"/>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8">
      <w:pPr>
        <w:spacing w:after="12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ФАКТИЧЕСКИЕ ОБСТОЯТЕЛЬСТВА</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 ags_plea_date  }} Администра</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в  </w:t>
      </w:r>
      <w:r w:rsidDel="00000000" w:rsidR="00000000" w:rsidRPr="00000000">
        <w:rPr>
          <w:rFonts w:ascii="Times New Roman" w:cs="Times New Roman" w:eastAsia="Times New Roman" w:hAnsi="Times New Roman"/>
          <w:sz w:val="23"/>
          <w:szCs w:val="23"/>
          <w:rtl w:val="0"/>
        </w:rPr>
        <w:t xml:space="preserve">Военный комиссариат муниципального образования “{{ comissariat_region }}”.</w:t>
      </w:r>
      <w:r w:rsidDel="00000000" w:rsidR="00000000" w:rsidRPr="00000000">
        <w:rPr>
          <w:rtl w:val="0"/>
        </w:rPr>
      </w:r>
    </w:p>
    <w:p w:rsidR="00000000" w:rsidDel="00000000" w:rsidP="00000000" w:rsidRDefault="00000000" w:rsidRPr="00000000" w14:paraId="0000003E">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fact_hearing_happened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 denial_hearing_date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состоялось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0">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1">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fact_witnesses_not_heard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истец обеспечил явку свидетелей: </w:t>
      </w:r>
      <w:r w:rsidDel="00000000" w:rsidR="00000000" w:rsidRPr="00000000">
        <w:rPr>
          <w:rFonts w:ascii="Times New Roman" w:cs="Times New Roman" w:eastAsia="Times New Roman" w:hAnsi="Times New Roman"/>
          <w:sz w:val="23"/>
          <w:szCs w:val="23"/>
          <w:rtl w:val="0"/>
        </w:rPr>
        <w:t xml:space="preserve">{{ witnesses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ходе рассмотрения Заявления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3"/>
          <w:szCs w:val="23"/>
          <w:rtl w:val="0"/>
        </w:rPr>
        <w:t xml:space="preserve">тца.</w:t>
      </w:r>
      <w:r w:rsidDel="00000000" w:rsidR="00000000" w:rsidRPr="00000000">
        <w:rPr>
          <w:rtl w:val="0"/>
        </w:rPr>
      </w:r>
    </w:p>
    <w:p w:rsidR="00000000" w:rsidDel="00000000" w:rsidP="00000000" w:rsidRDefault="00000000" w:rsidRPr="00000000" w14:paraId="0000004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4">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6">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7">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Roboto" w:cs="Roboto" w:eastAsia="Roboto" w:hAnsi="Roboto"/>
          <w:sz w:val="20"/>
          <w:szCs w:val="20"/>
          <w:highlight w:val="white"/>
          <w:rtl w:val="0"/>
        </w:rPr>
        <w:t xml:space="preserve">fact_incaction</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Призывной комиссии.</w:t>
      </w: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49">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fact_no_quorum</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Решение Призывной комиссии принято в отсутствие кворума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4B">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C">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fact_less_votes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sz w:val="23"/>
          <w:szCs w:val="23"/>
          <w:rtl w:val="0"/>
        </w:rPr>
        <w:t xml:space="preserve">За принятие Решения проголосовало менее половины присутствующих членов Призывной комиссии.</w:t>
      </w:r>
      <w:r w:rsidDel="00000000" w:rsidR="00000000" w:rsidRPr="00000000">
        <w:rPr>
          <w:rtl w:val="0"/>
        </w:rPr>
      </w:r>
    </w:p>
    <w:p w:rsidR="00000000" w:rsidDel="00000000" w:rsidP="00000000" w:rsidRDefault="00000000" w:rsidRPr="00000000" w14:paraId="0000004E">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0" w:right="0" w:hanging="567"/>
        <w:jc w:val="both"/>
        <w:rPr>
          <w:rFonts w:ascii="Times New Roman" w:cs="Times New Roman" w:eastAsia="Times New Roman" w:hAnsi="Times New Roman"/>
          <w:b w:val="0"/>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отношении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Times New Roman" w:cs="Times New Roman" w:eastAsia="Times New Roman" w:hAnsi="Times New Roman"/>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ПРАВОВАЯ ПОЗИЦИЯ</w:t>
      </w:r>
    </w:p>
    <w:p w:rsidR="00000000" w:rsidDel="00000000" w:rsidP="00000000" w:rsidRDefault="00000000" w:rsidRPr="00000000" w14:paraId="00000052">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module_no_motivation</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3 статьи 12 ФЗ от 25.07.2002 № 113-ФЗ «Об альтернативной гражданской службе» решение об отказе в замене военной службы по призыву на АГС должно быть мотивированным.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5A">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5B">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Данная позиция полностью подтверждается судебной практикой. Так, согласно Кассационному определению Второго кассационного суда общей юрисдикции от 11.08.2021 № 88а-15837/2021 г. № 2а-340/2020: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ФЗ от 25.07.2002 № 113-ФЗ «Об альтернативной гражданской службе»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6C">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6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module_no_beliefes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абз. 3 п. 4 ст. 12 ФЗ от 25.07.2002 № 113-ФЗ «Об альтернативной гражданской службе»,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Похожий вывод содержится в Заключении на проект ФЗ «Об альтернативной гражданской службе»,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7E">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7F">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module_witnesses_not_heard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ФЗ «Об</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альтернативной гражданской службе».</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2 статьи 12 ФЗ от 25.07.2002 № 113-ФЗ «Об альтернативной гражданской службе»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7">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88">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module_no_quorum</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3"/>
          <w:szCs w:val="23"/>
          <w:rtl w:val="0"/>
        </w:rPr>
        <w:t xml:space="preserve">третей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членов призывной комиссии.</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8D">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8E">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module_less_votes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8F">
      <w:pPr>
        <w:numPr>
          <w:ilvl w:val="0"/>
          <w:numId w:val="5"/>
        </w:numPr>
        <w:spacing w:after="120" w:before="120" w:line="240" w:lineRule="auto"/>
        <w:ind w:left="0" w:hanging="570"/>
        <w:jc w:val="both"/>
        <w:rPr>
          <w:rFonts w:ascii="Times New Roman" w:cs="Times New Roman" w:eastAsia="Times New Roman" w:hAnsi="Times New Roman"/>
          <w:b w:val="0"/>
          <w:sz w:val="23"/>
          <w:szCs w:val="23"/>
        </w:rPr>
      </w:pPr>
      <w:r w:rsidDel="00000000" w:rsidR="00000000" w:rsidRPr="00000000">
        <w:rPr>
          <w:rFonts w:ascii="Times New Roman" w:cs="Times New Roman" w:eastAsia="Times New Roman" w:hAnsi="Times New Roman"/>
          <w:b w:val="1"/>
          <w:sz w:val="23"/>
          <w:szCs w:val="23"/>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0">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1">
      <w:pPr>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93">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module_ignore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Призывная комиссия не рассмотрела по существу заявление Административного истца на альтернативную гражданскую службу, в связи с чем,  бездействие Призывной комиссии является незаконным. </w:t>
      </w:r>
      <w:r w:rsidDel="00000000" w:rsidR="00000000" w:rsidRPr="00000000">
        <w:rPr>
          <w:rtl w:val="0"/>
        </w:rPr>
      </w:r>
    </w:p>
    <w:p w:rsidR="00000000" w:rsidDel="00000000" w:rsidP="00000000" w:rsidRDefault="00000000" w:rsidRPr="00000000" w14:paraId="00000095">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block_cancel_illegal_decision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vertAlign w:val="baseline"/>
          <w:rtl w:val="0"/>
        </w:rPr>
        <w:t xml:space="preserve">Решение Призывной комиссии – подлежащим отмене.</w:t>
      </w:r>
    </w:p>
    <w:p w:rsidR="00000000" w:rsidDel="00000000" w:rsidP="00000000" w:rsidRDefault="00000000" w:rsidRPr="00000000" w14:paraId="00000097">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Призывная комиссия своим бездействием нарушила требования статьи 12 ФЗ «Об альтернативной гражданской службе», не выполнив ни одного из вышеуказанных предписываемых ей Законом действий, тем самым нарушив порядок рассмотрения моего заявления о прохождении альтернативной гражданской службы, в результате чего было нарушено и мое конституционное право 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ФЗ от 25.07.2002 № 113-ФЗ «Об альтернативной гражданской службе»</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block_cancel_illegal_decision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Решени</w:t>
      </w:r>
      <w:r w:rsidDel="00000000" w:rsidR="00000000" w:rsidRPr="00000000">
        <w:rPr>
          <w:rFonts w:ascii="Times New Roman" w:cs="Times New Roman" w:eastAsia="Times New Roman" w:hAnsi="Times New Roman"/>
          <w:sz w:val="23"/>
          <w:szCs w:val="23"/>
          <w:rtl w:val="0"/>
        </w:rPr>
        <w:t xml:space="preserve">я</w:t>
      </w:r>
      <w:r w:rsidDel="00000000" w:rsidR="00000000" w:rsidRPr="00000000">
        <w:rPr>
          <w:rFonts w:ascii="Times New Roman" w:cs="Times New Roman" w:eastAsia="Times New Roman" w:hAnsi="Times New Roman"/>
          <w:b w:val="0"/>
          <w:i w:val="0"/>
          <w:smallCaps w:val="0"/>
          <w:strike w:val="0"/>
          <w:color w:val="000000"/>
          <w:sz w:val="23"/>
          <w:szCs w:val="23"/>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3">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A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w:t>
      </w:r>
      <w:r w:rsidDel="00000000" w:rsidR="00000000" w:rsidRPr="00000000">
        <w:rPr>
          <w:rFonts w:ascii="Arial" w:cs="Arial" w:eastAsia="Arial" w:hAnsi="Arial"/>
          <w:sz w:val="20"/>
          <w:szCs w:val="20"/>
          <w:highlight w:val="white"/>
          <w:rtl w:val="0"/>
        </w:rPr>
        <w:t xml:space="preserve">module_deadline_missed</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соответствии с пунктом 1 статьи 11 Федерального закона «Об альтернативной гражданской службе»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Пунктом 1 статьи 12 Федерального закона «Об альтернативной гражданской службе»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Таким образом, законом не допускается рассмотрение заявления на АГС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3"/>
          <w:szCs w:val="23"/>
          <w:rtl w:val="0"/>
        </w:rPr>
        <w:t xml:space="preserve">м</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Согласно пункту 7 статьи 12 Федерального закона от 25.07.2002 г. № 113-ФЗ «Об альтернативной гражданской службе»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4">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B5">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block_illegal_summon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7">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На обжалуемое по настоящему делу решение (бездействие)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ПРОШУ СУД:</w:t>
      </w:r>
    </w:p>
    <w:p w:rsidR="00000000" w:rsidDel="00000000" w:rsidP="00000000" w:rsidRDefault="00000000" w:rsidRPr="00000000" w14:paraId="000000B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plea_incaction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При</w:t>
      </w:r>
      <w:r w:rsidDel="00000000" w:rsidR="00000000" w:rsidRPr="00000000">
        <w:rPr>
          <w:rFonts w:ascii="Times New Roman" w:cs="Times New Roman" w:eastAsia="Times New Roman" w:hAnsi="Times New Roman"/>
          <w:i w:val="0"/>
          <w:smallCaps w:val="0"/>
          <w:strike w:val="0"/>
          <w:color w:val="000000"/>
          <w:sz w:val="23"/>
          <w:szCs w:val="23"/>
          <w:u w:val="none"/>
          <w:vertAlign w:val="baseline"/>
          <w:rtl w:val="0"/>
        </w:rPr>
        <w:t xml:space="preserve">знать незаконным бездействия Призывной комиссии и Военного комиссариата, выразившиеся в н</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ерассмотрении Заявления Административного истца о замене военной службы по призыву альтернативной гражданской службой от </w:t>
      </w:r>
      <w:r w:rsidDel="00000000" w:rsidR="00000000" w:rsidRPr="00000000">
        <w:rPr>
          <w:rFonts w:ascii="Times New Roman" w:cs="Times New Roman" w:eastAsia="Times New Roman" w:hAnsi="Times New Roman"/>
          <w:sz w:val="23"/>
          <w:szCs w:val="23"/>
          <w:rtl w:val="0"/>
        </w:rPr>
        <w:t xml:space="preserve">{{ ags_plea_date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tabs>
          <w:tab w:val="left" w:pos="5910"/>
        </w:tabs>
        <w:spacing w:after="120" w:before="1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C0">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plea_cancel_denial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которое вынесла Призывная комиссия, осуществляющая призыв граждан проживающих на  территории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2">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3">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plea_demand_rehearing %}</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5">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else %}</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Обязать Призывную комиссию, осуществляющую призыв граждан проживающих на  территории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7">
      <w:pPr>
        <w:tabs>
          <w:tab w:val="left" w:pos="5910"/>
        </w:tabs>
        <w:spacing w:after="120" w:before="12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8">
      <w:pPr>
        <w:spacing w:after="120" w:before="120" w:lin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plea_cancel_summon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Признать незаконным и отменить решение Призывной комиссии от {{ comission_summon_date }} о призыве на военную службу Административного истца.</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Руководствуясь п. 5 ст. 125 КАС РФ,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CE">
      <w:pPr>
        <w:spacing w:after="120" w:before="120" w:line="24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{%p if petition_forbid_summon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3"/>
          <w:szCs w:val="23"/>
          <w:rtl w:val="0"/>
        </w:rPr>
        <w:t xml:space="preserve">Военному комиссариату муниципального образования “{{ comissariat_region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3"/>
          <w:szCs w:val="23"/>
          <w:rtl w:val="0"/>
        </w:rPr>
        <w:t xml:space="preserve">Призывной комиссии, осуществляющей призыв граждан проживающих на  территории муниципального  образования «{{ comission_region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0">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1">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petition_provide_denial%}</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И</w:t>
      </w:r>
      <w:r w:rsidDel="00000000" w:rsidR="00000000" w:rsidRPr="00000000">
        <w:rPr>
          <w:rFonts w:ascii="Times New Roman" w:cs="Times New Roman" w:eastAsia="Times New Roman" w:hAnsi="Times New Roman"/>
          <w:sz w:val="23"/>
          <w:szCs w:val="23"/>
          <w:rtl w:val="0"/>
        </w:rPr>
        <w:t xml:space="preserve">стребовать из Военного комиссариата муниципального образования “{{ comissariat_region }}”, {{ comissariat_address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решение (заключение)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D3">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4">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not annex_protocol_copy%}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Истребовать из Военного комиссариата муниципального образования “{{ comissariat_region }}”, {{ comissariat_address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3"/>
          <w:szCs w:val="23"/>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(с указанием персонального состава комиссии),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D6">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D7">
      <w:pPr>
        <w:spacing w:after="120" w:before="120" w:line="240" w:lineRule="auto"/>
        <w:ind w:left="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petition_provide_personal_case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i w:val="0"/>
          <w:smallCaps w:val="0"/>
          <w:strike w:val="0"/>
          <w:color w:val="000000"/>
          <w:sz w:val="23"/>
          <w:szCs w:val="23"/>
          <w:highlight w:val="red"/>
          <w:u w:val="none"/>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3"/>
          <w:szCs w:val="23"/>
          <w:rtl w:val="0"/>
        </w:rPr>
        <w:t xml:space="preserve">Военного комиссариата муниципального образования “{{ comissariat_region }}” </w:t>
      </w: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для обозрения в судебном заседании личное дело призывника Административного истца в подлиннике, Указанное доказательство позволит установить все юридически значимые обстоятельства для гражданского де</w:t>
      </w:r>
      <w:r w:rsidDel="00000000" w:rsidR="00000000" w:rsidRPr="00000000">
        <w:rPr>
          <w:rFonts w:ascii="Times New Roman" w:cs="Times New Roman" w:eastAsia="Times New Roman" w:hAnsi="Times New Roman"/>
          <w:sz w:val="23"/>
          <w:szCs w:val="23"/>
          <w:rtl w:val="0"/>
        </w:rPr>
        <w:t xml:space="preserve">ла.</w:t>
      </w:r>
      <w:r w:rsidDel="00000000" w:rsidR="00000000" w:rsidRPr="00000000">
        <w:rPr>
          <w:rtl w:val="0"/>
        </w:rPr>
      </w:r>
    </w:p>
    <w:p w:rsidR="00000000" w:rsidDel="00000000" w:rsidP="00000000" w:rsidRDefault="00000000" w:rsidRPr="00000000" w14:paraId="000000D9">
      <w:pPr>
        <w:spacing w:after="120" w:before="120" w:line="240" w:lineRule="auto"/>
        <w:ind w:left="0" w:firstLine="0"/>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{%p endif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Приложения:</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3"/>
          <w:szCs w:val="23"/>
          <w:rtl w:val="0"/>
        </w:rPr>
        <w:t xml:space="preserve">{{ ags_plea_date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DD">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annex_protocol_copy%}</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3"/>
          <w:szCs w:val="23"/>
          <w:rtl w:val="0"/>
        </w:rPr>
        <w:t xml:space="preserve">заседания Призывной комиссии от {{ denial_hearing_date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0">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annex_comission_decision%}</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Заключение Призывной комиссии;</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annex_characteristics%}</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6">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annex_bio%}</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автобиографии;</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Оригинал квитанция об уплате госпошлины;</w:t>
        <w:tab/>
        <w:tab/>
        <w:tab/>
        <w:tab/>
        <w:tab/>
        <w:t xml:space="preserve"> </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заявления в суд по количеству лиц, участвующих в деле</w:t>
      </w:r>
    </w:p>
    <w:p w:rsidR="00000000" w:rsidDel="00000000" w:rsidP="00000000" w:rsidRDefault="00000000" w:rsidRPr="00000000" w14:paraId="000000EB">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annex_comissariat_response%}</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Ответ Военного комиссариата на заявление Административного истца</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EE">
      <w:pPr>
        <w:spacing w:after="120" w:before="12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if annex_summon_copy%}</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Копия повестки для отправки на военную службу.</w:t>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endif %}</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 ________ 2022 года </w:t>
        <w:tab/>
        <w:tab/>
        <w:t xml:space="preserve"> </w:t>
        <w:tab/>
        <w:tab/>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___________________ /</w:t>
      </w:r>
      <w:r w:rsidDel="00000000" w:rsidR="00000000" w:rsidRPr="00000000">
        <w:rPr>
          <w:rFonts w:ascii="Times New Roman" w:cs="Times New Roman" w:eastAsia="Times New Roman" w:hAnsi="Times New Roman"/>
          <w:sz w:val="23"/>
          <w:szCs w:val="23"/>
          <w:rtl w:val="0"/>
        </w:rPr>
        <w:t xml:space="preserve">{{ user_name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1287" w:hanging="360.0000000000002"/>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7UeG7T7EQAVf8s4bOBFMiOj4AQ==">AMUW2mX484mh4GMn7XoZ3nUJPBqHIKeMGvFCwyUqa6FICHQwx3Zbx7vs494F6SZoA4Xqyu3/kWiUjGHSl8AYh4BhhYoPBWP5g46Sdn6plwylW0Q5o+zVhq4=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