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100"/>
      </w:pPr>
      <w:r>
        <w:rPr>
          <w:rFonts w:ascii="Arial" w:cs="Arial" w:eastAsia="Arial" w:hAnsi="Arial"/>
          <w:color w:val="64748B"/>
          <w:sz w:val="19"/>
          <w:szCs w:val="19"/>
        </w:rPr>
        <w:t xml:space="preserve">Platform Modernization — MOD-6 / Transaction ISO Gateway</w:t>
      </w:r>
    </w:p>
    <w:p>
      <w:pPr>
        <w:spacing w:before="0" w:after="180"/>
      </w:pPr>
      <w:r>
        <w:rPr>
          <w:rFonts w:ascii="Arial" w:cs="Arial" w:eastAsia="Arial" w:hAnsi="Arial"/>
          <w:b/>
          <w:bCs/>
          <w:color w:val="1E3A5F"/>
          <w:sz w:val="44"/>
          <w:szCs w:val="44"/>
        </w:rPr>
        <w:t xml:space="preserve">MOD-73: Full ISO 8583 field parsing</w:t>
      </w:r>
    </w:p>
    <w:p>
      <w:pPr>
        <w:spacing w:before="0" w:after="80"/>
      </w:pPr>
      <w:r>
        <w:rPr>
          <w:rFonts w:ascii="Arial" w:cs="Arial" w:eastAsia="Arial" w:hAnsi="Arial"/>
          <w:color w:val="64748B"/>
          <w:sz w:val="23"/>
          <w:szCs w:val="23"/>
        </w:rPr>
        <w:t xml:space="preserve">Go Implementation — Task Breakdown for Engineering Managers</w:t>
      </w:r>
    </w:p>
    <w:p>
      <w:pPr>
        <w:spacing w:before="0" w:after="60"/>
      </w:pPr>
      <w:r>
        <w:rPr>
          <w:rFonts w:ascii="Arial" w:cs="Arial" w:eastAsia="Arial" w:hAnsi="Arial"/>
          <w:b/>
          <w:bCs/>
          <w:color w:val="64748B"/>
          <w:sz w:val="21"/>
          <w:szCs w:val="21"/>
        </w:rPr>
        <w:t xml:space="preserve">Priority: </w:t>
      </w:r>
      <w:r>
        <w:rPr>
          <w:rFonts w:ascii="Arial" w:cs="Arial" w:eastAsia="Arial" w:hAnsi="Arial"/>
          <w:color w:val="1E293B"/>
          <w:sz w:val="21"/>
          <w:szCs w:val="21"/>
        </w:rPr>
        <w:t xml:space="preserve">Critical</w:t>
      </w:r>
    </w:p>
    <w:p>
      <w:pPr>
        <w:spacing w:before="0" w:after="60"/>
      </w:pPr>
      <w:r>
        <w:rPr>
          <w:rFonts w:ascii="Arial" w:cs="Arial" w:eastAsia="Arial" w:hAnsi="Arial"/>
          <w:b/>
          <w:bCs/>
          <w:color w:val="64748B"/>
          <w:sz w:val="21"/>
          <w:szCs w:val="21"/>
        </w:rPr>
        <w:t xml:space="preserve">Labels: </w:t>
      </w:r>
      <w:r>
        <w:rPr>
          <w:rFonts w:ascii="Arial" w:cs="Arial" w:eastAsia="Arial" w:hAnsi="Arial"/>
          <w:color w:val="1E293B"/>
          <w:sz w:val="21"/>
          <w:szCs w:val="21"/>
        </w:rPr>
        <w:t xml:space="preserve">Parsing-and-MTI-Routing</w:t>
      </w:r>
    </w:p>
    <w:p>
      <w:pPr>
        <w:spacing w:before="0" w:after="60"/>
      </w:pPr>
      <w:r>
        <w:rPr>
          <w:rFonts w:ascii="Arial" w:cs="Arial" w:eastAsia="Arial" w:hAnsi="Arial"/>
          <w:b/>
          <w:bCs/>
          <w:color w:val="64748B"/>
          <w:sz w:val="21"/>
          <w:szCs w:val="21"/>
        </w:rPr>
        <w:t xml:space="preserve">Reporter: </w:t>
      </w:r>
      <w:r>
        <w:rPr>
          <w:rFonts w:ascii="Arial" w:cs="Arial" w:eastAsia="Arial" w:hAnsi="Arial"/>
          <w:color w:val="1E293B"/>
          <w:sz w:val="21"/>
          <w:szCs w:val="21"/>
        </w:rPr>
        <w:t xml:space="preserve">mohammad.shishakly</w:t>
      </w:r>
    </w:p>
    <w:p>
      <w:pPr>
        <w:spacing w:before="0" w:after="60"/>
      </w:pPr>
      <w:r>
        <w:rPr>
          <w:rFonts w:ascii="Arial" w:cs="Arial" w:eastAsia="Arial" w:hAnsi="Arial"/>
          <w:b/>
          <w:bCs/>
          <w:color w:val="64748B"/>
          <w:sz w:val="21"/>
          <w:szCs w:val="21"/>
        </w:rPr>
        <w:t xml:space="preserve">Created: </w:t>
      </w:r>
      <w:r>
        <w:rPr>
          <w:rFonts w:ascii="Arial" w:cs="Arial" w:eastAsia="Arial" w:hAnsi="Arial"/>
          <w:color w:val="1E293B"/>
          <w:sz w:val="21"/>
          <w:szCs w:val="21"/>
        </w:rPr>
        <w:t xml:space="preserve">02 Mar 2026</w:t>
      </w:r>
    </w:p>
    <w:p>
      <w:pPr>
        <w:pBdr>
          <w:bottom w:val="single" w:color="2563EB" w:sz="12" w:space="1"/>
        </w:pBdr>
        <w:spacing w:before="0"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00"/>
              <w:left w:type="dxa" w:w="180"/>
              <w:bottom w:type="dxa" w:w="100"/>
              <w:right w:type="dxa" w:w="180"/>
            </w:tcMar>
          </w:tcPr>
          <w:p>
            <w:r>
              <w:rPr>
                <w:rFonts w:ascii="Arial" w:cs="Arial" w:eastAsia="Arial" w:hAnsi="Arial"/>
                <w:b/>
                <w:bCs/>
                <w:color w:val="92400E"/>
                <w:sz w:val="21"/>
                <w:szCs w:val="21"/>
              </w:rPr>
              <w:t xml:space="preserve">⚠ Overlap / Already built in MOD-69</w:t>
            </w:r>
          </w:p>
          <w:p>
            <w:pPr>
              <w:spacing w:before="30"/>
            </w:pPr>
            <w:r>
              <w:rPr>
                <w:rFonts w:ascii="Arial" w:cs="Arial" w:eastAsia="Arial" w:hAnsi="Arial"/>
                <w:color w:val="92400E"/>
                <w:sz w:val="20"/>
                <w:szCs w:val="20"/>
              </w:rPr>
              <w:t xml:space="preserve">DiscoverSpec (spec.go) already defines 22 fields including F2 PAN, F3, F4, F11, F14, F22, F35, F37, F41, F42, F70.</w:t>
            </w:r>
          </w:p>
          <w:p>
            <w:pPr>
              <w:spacing w:before="30"/>
            </w:pPr>
            <w:r>
              <w:rPr>
                <w:rFonts w:ascii="Arial" w:cs="Arial" w:eastAsia="Arial" w:hAnsi="Arial"/>
                <w:color w:val="92400E"/>
                <w:sz w:val="20"/>
                <w:szCs w:val="20"/>
              </w:rPr>
              <w:t xml:space="preserve">moov-io/iso8583 already handles primary + secondary bitmap parsing automatically.</w:t>
            </w:r>
          </w:p>
          <w:p>
            <w:pPr>
              <w:spacing w:before="30"/>
            </w:pPr>
            <w:r>
              <w:rPr>
                <w:rFonts w:ascii="Arial" w:cs="Arial" w:eastAsia="Arial" w:hAnsi="Arial"/>
                <w:color w:val="92400E"/>
                <w:sz w:val="20"/>
                <w:szCs w:val="20"/>
              </w:rPr>
              <w:t xml:space="preserve">EchoRequest/EchoResponse structs already demonstrate the iso8583 struct tag pattern.</w:t>
            </w:r>
          </w:p>
          <w:p>
            <w:pPr>
              <w:spacing w:before="30"/>
            </w:pPr>
            <w:r>
              <w:rPr>
                <w:rFonts w:ascii="Arial" w:cs="Arial" w:eastAsia="Arial" w:hAnsi="Arial"/>
                <w:color w:val="92400E"/>
                <w:sz w:val="20"/>
                <w:szCs w:val="20"/>
              </w:rPr>
              <w:t xml:space="preserve">This story extends the spec with missing fields, adds typed request structs for 0100 auth, and adds PAN masking — it does NOT rewrite the spec from scratch.</w:t>
            </w:r>
          </w:p>
        </w:tc>
      </w:tr>
    </w:tbl>
    <w:p>
      <w:pPr>
        <w:spacing w:before="120" w:after="0"/>
      </w:pPr>
    </w:p>
    <w:p>
      <w:pPr>
        <w:pStyle w:val="Heading1"/>
        <w:pBdr>
          <w:bottom w:val="single" w:color="2563EB" w:sz="8" w:space="6"/>
        </w:pBdr>
        <w:spacing w:before="360" w:after="140"/>
      </w:pPr>
      <w:r>
        <w:rPr>
          <w:rFonts w:ascii="Arial" w:cs="Arial" w:eastAsia="Arial" w:hAnsi="Arial"/>
          <w:b/>
          <w:bCs/>
          <w:color w:val="1E3A5F"/>
          <w:sz w:val="34"/>
          <w:szCs w:val="34"/>
        </w:rPr>
        <w:t xml:space="preserve">1. Overview</w:t>
      </w:r>
    </w:p>
    <w:p>
      <w:pPr>
        <w:spacing w:before="60" w:after="80"/>
      </w:pPr>
      <w:r>
        <w:rPr>
          <w:rFonts w:ascii="Arial" w:cs="Arial" w:eastAsia="Arial" w:hAnsi="Arial"/>
          <w:color w:val="1E293B"/>
          <w:sz w:val="21"/>
          <w:szCs w:val="21"/>
        </w:rPr>
        <w:t xml:space="preserve">MOD-73 extends the ISO 8583 field coverage for 0100 authorization messages. DiscoverSpec already covers the echo fields. This story adds the full authorization message struct (AuthRequest), ensures secondary bitmap fields are handled, and implements PAN masking in the zerolog logger to satisfy PCI requirements.</w:t>
      </w:r>
    </w:p>
    <w:p>
      <w:pPr>
        <w:spacing w:before="120" w:after="0"/>
      </w:pPr>
    </w:p>
    <w:p>
      <w:pPr>
        <w:pStyle w:val="Heading1"/>
        <w:pBdr>
          <w:bottom w:val="single" w:color="2563EB" w:sz="8" w:space="6"/>
        </w:pBdr>
        <w:spacing w:before="360" w:after="140"/>
      </w:pPr>
      <w:r>
        <w:rPr>
          <w:rFonts w:ascii="Arial" w:cs="Arial" w:eastAsia="Arial" w:hAnsi="Arial"/>
          <w:b/>
          <w:bCs/>
          <w:color w:val="1E3A5F"/>
          <w:sz w:val="34"/>
          <w:szCs w:val="34"/>
        </w:rPr>
        <w:t xml:space="preserve">2.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E2E8F0" w:sz="1"/>
              <w:left w:val="single" w:color="E2E8F0" w:sz="1"/>
              <w:bottom w:val="single" w:color="E2E8F0" w:sz="1"/>
              <w:right w:val="single" w:color="E2E8F0" w:sz="1"/>
            </w:tcBorders>
            <w:shd w:fill="1E3A5F" w:val="clear"/>
            <w:tcMar>
              <w:top w:type="dxa" w:w="110"/>
              <w:left w:type="dxa" w:w="180"/>
              <w:bottom w:type="dxa" w:w="110"/>
              <w:right w:type="dxa" w:w="180"/>
            </w:tcMar>
          </w:tcPr>
          <w:p>
            <w:r>
              <w:rPr>
                <w:rFonts w:ascii="Arial" w:cs="Arial" w:eastAsia="Arial" w:hAnsi="Arial"/>
                <w:b/>
                <w:bCs/>
                <w:color w:val="93C5FD"/>
                <w:sz w:val="22"/>
                <w:szCs w:val="22"/>
              </w:rPr>
              <w:t xml:space="preserve">TASK-1  </w:t>
            </w:r>
            <w:r>
              <w:rPr>
                <w:rFonts w:ascii="Arial" w:cs="Arial" w:eastAsia="Arial" w:hAnsi="Arial"/>
                <w:b/>
                <w:bCs/>
                <w:color w:val="FFFFFF"/>
                <w:sz w:val="22"/>
                <w:szCs w:val="22"/>
              </w:rPr>
              <w:t xml:space="preserve">AuthRequest struct and full field coverage</w:t>
            </w:r>
          </w:p>
        </w:tc>
      </w:tr>
      <w:tr>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Owner</w:t>
            </w:r>
          </w:p>
          <w:p>
            <w:r>
              <w:rPr>
                <w:rFonts w:ascii="Arial" w:cs="Arial" w:eastAsia="Arial" w:hAnsi="Arial"/>
                <w:b w:val="false"/>
                <w:bCs w:val="false"/>
                <w:color w:val="1E293B"/>
                <w:sz w:val="20"/>
                <w:szCs w:val="20"/>
              </w:rPr>
              <w:t xml:space="preserve">Backend Engineer (Payments Domain)</w:t>
            </w:r>
          </w:p>
        </w:tc>
        <w:tc>
          <w:tcPr>
            <w:tcW w:type="dxa" w:w="2340"/>
            <w:tcBorders>
              <w:top w:val="single" w:color="E2E8F0" w:sz="1"/>
              <w:left w:val="single" w:color="E2E8F0" w:sz="1"/>
              <w:bottom w:val="single" w:color="E2E8F0" w:sz="1"/>
              <w:right w:val="single" w:color="E2E8F0" w:sz="1"/>
            </w:tcBorders>
            <w:shd w:fill="FEE2E2" w:val="clear"/>
            <w:tcMar>
              <w:top w:type="dxa" w:w="70"/>
              <w:left w:type="dxa" w:w="120"/>
              <w:bottom w:type="dxa" w:w="70"/>
              <w:right w:type="dxa" w:w="120"/>
            </w:tcMar>
          </w:tcPr>
          <w:p>
            <w:r>
              <w:rPr>
                <w:rFonts w:ascii="Arial" w:cs="Arial" w:eastAsia="Arial" w:hAnsi="Arial"/>
                <w:b/>
                <w:bCs/>
                <w:color w:val="64748B"/>
                <w:sz w:val="17"/>
                <w:szCs w:val="17"/>
              </w:rPr>
              <w:t xml:space="preserve">Priority</w:t>
            </w:r>
          </w:p>
          <w:p>
            <w:r>
              <w:rPr>
                <w:rFonts w:ascii="Arial" w:cs="Arial" w:eastAsia="Arial" w:hAnsi="Arial"/>
                <w:b/>
                <w:bCs/>
                <w:color w:val="1E293B"/>
                <w:sz w:val="20"/>
                <w:szCs w:val="20"/>
              </w:rPr>
              <w:t xml:space="preserve">Critical</w:t>
            </w:r>
          </w:p>
        </w:tc>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Estimate</w:t>
            </w:r>
          </w:p>
          <w:p>
            <w:r>
              <w:rPr>
                <w:rFonts w:ascii="Arial" w:cs="Arial" w:eastAsia="Arial" w:hAnsi="Arial"/>
                <w:b w:val="false"/>
                <w:bCs w:val="false"/>
                <w:color w:val="1E293B"/>
                <w:sz w:val="20"/>
                <w:szCs w:val="20"/>
              </w:rPr>
              <w:t xml:space="preserve">2 days</w:t>
            </w:r>
          </w:p>
        </w:tc>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Labels</w:t>
            </w:r>
          </w:p>
          <w:p>
            <w:r>
              <w:rPr>
                <w:rFonts w:ascii="Arial" w:cs="Arial" w:eastAsia="Arial" w:hAnsi="Arial"/>
                <w:b w:val="false"/>
                <w:bCs w:val="false"/>
                <w:color w:val="1E293B"/>
                <w:sz w:val="20"/>
                <w:szCs w:val="20"/>
              </w:rPr>
              <w:t xml:space="preserve">ISO-8583</w:t>
            </w:r>
          </w:p>
        </w:tc>
      </w:tr>
      <w:tr>
        <w:tc>
          <w:tcPr>
            <w:tcW w:type="dxa" w:w="9360"/>
            <w:gridSpan w:val="4"/>
            <w:tcBorders>
              <w:top w:val="single" w:color="E2E8F0" w:sz="1"/>
              <w:left w:val="single" w:color="E2E8F0" w:sz="1"/>
              <w:bottom w:val="single" w:color="E2E8F0" w:sz="1"/>
              <w:right w:val="single" w:color="E2E8F0" w:sz="1"/>
            </w:tcBorders>
            <w:tcMar>
              <w:top w:type="dxa" w:w="80"/>
              <w:left w:type="dxa" w:w="180"/>
              <w:bottom w:type="dxa" w:w="80"/>
              <w:right w:type="dxa" w:w="180"/>
            </w:tcMar>
          </w:tcPr>
          <w:p>
            <w:r>
              <w:rPr>
                <w:rFonts w:ascii="Arial" w:cs="Arial" w:eastAsia="Arial" w:hAnsi="Arial"/>
                <w:b/>
                <w:bCs/>
                <w:color w:val="1E3A5F"/>
                <w:sz w:val="19"/>
                <w:szCs w:val="19"/>
              </w:rPr>
              <w:t xml:space="preserve">Description</w:t>
            </w:r>
          </w:p>
          <w:p>
            <w:pPr>
              <w:spacing w:before="40"/>
            </w:pPr>
            <w:r>
              <w:rPr>
                <w:rFonts w:ascii="Arial" w:cs="Arial" w:eastAsia="Arial" w:hAnsi="Arial"/>
                <w:color w:val="1E293B"/>
                <w:sz w:val="20"/>
                <w:szCs w:val="20"/>
              </w:rPr>
              <w:t xml:space="preserve">Define the AuthRequest struct for 0100 messages with all required Discover fields. Verify DiscoverSpec covers F48 and F52 which are used in authorization but missing from the current echo-only spec.</w:t>
            </w:r>
          </w:p>
        </w:tc>
      </w:tr>
      <w:tr>
        <w:tc>
          <w:tcPr>
            <w:tcW w:type="dxa" w:w="9360"/>
            <w:gridSpan w:val="4"/>
            <w:tcBorders>
              <w:top w:val="single" w:color="E2E8F0" w:sz="1"/>
              <w:left w:val="single" w:color="E2E8F0" w:sz="1"/>
              <w:bottom w:val="single" w:color="E2E8F0" w:sz="1"/>
              <w:right w:val="single" w:color="E2E8F0" w:sz="1"/>
            </w:tcBorders>
            <w:shd w:fill="F0F9FF" w:val="clear"/>
            <w:tcMar>
              <w:top w:type="dxa" w:w="80"/>
              <w:left w:type="dxa" w:w="180"/>
              <w:bottom w:type="dxa" w:w="80"/>
              <w:right w:type="dxa" w:w="180"/>
            </w:tcMar>
          </w:tcPr>
          <w:p>
            <w:r>
              <w:rPr>
                <w:rFonts w:ascii="Arial" w:cs="Arial" w:eastAsia="Arial" w:hAnsi="Arial"/>
                <w:b/>
                <w:bCs/>
                <w:color w:val="1E3A5F"/>
                <w:sz w:val="19"/>
                <w:szCs w:val="19"/>
              </w:rPr>
              <w:t xml:space="preserve">Sub-tasks</w:t>
            </w:r>
          </w:p>
          <w:p>
            <w:pPr>
              <w:pStyle w:val="ListParagraph"/>
              <w:numPr>
                <w:ilvl w:val="0"/>
                <w:numId w:val="2"/>
              </w:numPr>
              <w:spacing w:before="40" w:after="40"/>
            </w:pPr>
            <w:r>
              <w:rPr>
                <w:rFonts w:ascii="Arial" w:cs="Arial" w:eastAsia="Arial" w:hAnsi="Arial"/>
                <w:color w:val="1E293B"/>
                <w:sz w:val="20"/>
                <w:szCs w:val="20"/>
              </w:rPr>
              <w:t xml:space="preserve">Create internal/gateway/iso/auth.go: define AuthRequest struct with iso8583 tags for F2 PAN, F3 ProcessingCode, F4 Amount, F7 TransmissionDateTime, F11 STAN, F12 LocalTime, F13 LocalDate, F14 ExpiryDate, F22 POSEntryMode, F25 POSConditionCode, F32 AcquiringInstitutionID, F35 Track2Data, F37 RRN, F41 TerminalID, F42 MerchantID, F49 CurrencyCode</w:t>
            </w:r>
          </w:p>
          <w:p>
            <w:pPr>
              <w:pStyle w:val="ListParagraph"/>
              <w:numPr>
                <w:ilvl w:val="0"/>
                <w:numId w:val="2"/>
              </w:numPr>
              <w:spacing w:before="40" w:after="40"/>
            </w:pPr>
            <w:r>
              <w:rPr>
                <w:rFonts w:ascii="Arial" w:cs="Arial" w:eastAsia="Arial" w:hAnsi="Arial"/>
                <w:color w:val="1E293B"/>
                <w:sz w:val="20"/>
                <w:szCs w:val="20"/>
              </w:rPr>
              <w:t xml:space="preserve">Add F48 (Additional Data, LLLVAR up to 999) and F52 (PIN Block, 8 bytes binary) to DiscoverSpec in spec.go — these are required for authorization but absent from current spec</w:t>
            </w:r>
          </w:p>
          <w:p>
            <w:pPr>
              <w:pStyle w:val="ListParagraph"/>
              <w:numPr>
                <w:ilvl w:val="0"/>
                <w:numId w:val="2"/>
              </w:numPr>
              <w:spacing w:before="40" w:after="40"/>
            </w:pPr>
            <w:r>
              <w:rPr>
                <w:rFonts w:ascii="Arial" w:cs="Arial" w:eastAsia="Arial" w:hAnsi="Arial"/>
                <w:color w:val="1E293B"/>
                <w:sz w:val="20"/>
                <w:szCs w:val="20"/>
              </w:rPr>
              <w:t xml:space="preserve">Add F48 and F52 to AuthRequest struct</w:t>
            </w:r>
          </w:p>
          <w:p>
            <w:pPr>
              <w:pStyle w:val="ListParagraph"/>
              <w:numPr>
                <w:ilvl w:val="0"/>
                <w:numId w:val="2"/>
              </w:numPr>
              <w:spacing w:before="40" w:after="40"/>
            </w:pPr>
            <w:r>
              <w:rPr>
                <w:rFonts w:ascii="Arial" w:cs="Arial" w:eastAsia="Arial" w:hAnsi="Arial"/>
                <w:color w:val="1E293B"/>
                <w:sz w:val="20"/>
                <w:szCs w:val="20"/>
              </w:rPr>
              <w:t xml:space="preserve">Write spec_test.go: call DiscoverSpec.Validate() — must pass with new fields</w:t>
            </w:r>
          </w:p>
          <w:p>
            <w:pPr>
              <w:pStyle w:val="ListParagraph"/>
              <w:numPr>
                <w:ilvl w:val="0"/>
                <w:numId w:val="2"/>
              </w:numPr>
              <w:spacing w:before="40" w:after="40"/>
            </w:pPr>
            <w:r>
              <w:rPr>
                <w:rFonts w:ascii="Arial" w:cs="Arial" w:eastAsia="Arial" w:hAnsi="Arial"/>
                <w:color w:val="1E293B"/>
                <w:sz w:val="20"/>
                <w:szCs w:val="20"/>
              </w:rPr>
              <w:t xml:space="preserve">Write round-trip test in auth_test.go: build AuthRequest with all fields, Marshal+Pack → Unpack+Unmarshal, assert all field values survive</w:t>
            </w:r>
          </w:p>
          <w:p>
            <w:pPr>
              <w:pStyle w:val="ListParagraph"/>
              <w:numPr>
                <w:ilvl w:val="0"/>
                <w:numId w:val="2"/>
              </w:numPr>
              <w:spacing w:before="40" w:after="40"/>
            </w:pPr>
            <w:r>
              <w:rPr>
                <w:rFonts w:ascii="Arial" w:cs="Arial" w:eastAsia="Arial" w:hAnsi="Arial"/>
                <w:color w:val="1E293B"/>
                <w:sz w:val="20"/>
                <w:szCs w:val="20"/>
              </w:rPr>
              <w:t xml:space="preserve">Verify secondary bitmap test: build message with F65+ fields, assert both bitmaps decoded — moov-io handles this automatically but add explicit test</w:t>
            </w:r>
          </w:p>
        </w:tc>
      </w:tr>
      <w:tr>
        <w:tc>
          <w:tcPr>
            <w:tcW w:type="dxa" w:w="9360"/>
            <w:gridSpan w:val="4"/>
            <w:tcBorders>
              <w:top w:val="single" w:color="E2E8F0" w:sz="1"/>
              <w:left w:val="single" w:color="E2E8F0" w:sz="1"/>
              <w:bottom w:val="single" w:color="E2E8F0" w:sz="1"/>
              <w:right w:val="single" w:color="E2E8F0" w:sz="1"/>
            </w:tcBorders>
            <w:shd w:fill="F0FDF4" w:val="clear"/>
            <w:tcMar>
              <w:top w:type="dxa" w:w="80"/>
              <w:left w:type="dxa" w:w="180"/>
              <w:bottom w:type="dxa" w:w="80"/>
              <w:right w:type="dxa" w:w="180"/>
            </w:tcMar>
          </w:tcPr>
          <w:p>
            <w:r>
              <w:rPr>
                <w:rFonts w:ascii="Arial" w:cs="Arial" w:eastAsia="Arial" w:hAnsi="Arial"/>
                <w:b/>
                <w:bCs/>
                <w:color w:val="166534"/>
                <w:sz w:val="19"/>
                <w:szCs w:val="19"/>
              </w:rPr>
              <w:t xml:space="preserve">Acceptance Criteria</w:t>
            </w:r>
          </w:p>
          <w:p>
            <w:pPr>
              <w:pStyle w:val="ListParagraph"/>
              <w:numPr>
                <w:ilvl w:val="0"/>
                <w:numId w:val="3"/>
              </w:numPr>
              <w:spacing w:before="40" w:after="40"/>
            </w:pPr>
            <w:r>
              <w:rPr>
                <w:rFonts w:ascii="Arial" w:cs="Arial" w:eastAsia="Arial" w:hAnsi="Arial"/>
                <w:color w:val="1E293B"/>
                <w:sz w:val="20"/>
                <w:szCs w:val="20"/>
              </w:rPr>
              <w:t xml:space="preserve">DiscoverSpec.Validate() passes with F48 and F52 added</w:t>
            </w:r>
          </w:p>
          <w:p>
            <w:pPr>
              <w:pStyle w:val="ListParagraph"/>
              <w:numPr>
                <w:ilvl w:val="0"/>
                <w:numId w:val="3"/>
              </w:numPr>
              <w:spacing w:before="40" w:after="40"/>
            </w:pPr>
            <w:r>
              <w:rPr>
                <w:rFonts w:ascii="Arial" w:cs="Arial" w:eastAsia="Arial" w:hAnsi="Arial"/>
                <w:color w:val="1E293B"/>
                <w:sz w:val="20"/>
                <w:szCs w:val="20"/>
              </w:rPr>
              <w:t xml:space="preserve">AuthRequest round-trip: all fields survive Pack/Unpack</w:t>
            </w:r>
          </w:p>
          <w:p>
            <w:pPr>
              <w:pStyle w:val="ListParagraph"/>
              <w:numPr>
                <w:ilvl w:val="0"/>
                <w:numId w:val="3"/>
              </w:numPr>
              <w:spacing w:before="40" w:after="40"/>
            </w:pPr>
            <w:r>
              <w:rPr>
                <w:rFonts w:ascii="Arial" w:cs="Arial" w:eastAsia="Arial" w:hAnsi="Arial"/>
                <w:color w:val="1E293B"/>
                <w:sz w:val="20"/>
                <w:szCs w:val="20"/>
              </w:rPr>
              <w:t xml:space="preserve">F2 PAN '4111111111111111' extracted correctly as string</w:t>
            </w:r>
          </w:p>
          <w:p>
            <w:pPr>
              <w:pStyle w:val="ListParagraph"/>
              <w:numPr>
                <w:ilvl w:val="0"/>
                <w:numId w:val="3"/>
              </w:numPr>
              <w:spacing w:before="40" w:after="40"/>
            </w:pPr>
            <w:r>
              <w:rPr>
                <w:rFonts w:ascii="Arial" w:cs="Arial" w:eastAsia="Arial" w:hAnsi="Arial"/>
                <w:color w:val="1E293B"/>
                <w:sz w:val="20"/>
                <w:szCs w:val="20"/>
              </w:rPr>
              <w:t xml:space="preserve">Secondary bitmap fields (F65+) decoded when present</w:t>
            </w:r>
          </w:p>
        </w:tc>
      </w:tr>
      <w:tr>
        <w:tc>
          <w:tcPr>
            <w:tcW w:type="dxa" w:w="9360"/>
            <w:gridSpan w:val="4"/>
            <w:tcBorders>
              <w:top w:val="single" w:color="E2E8F0" w:sz="1"/>
              <w:left w:val="single" w:color="E2E8F0" w:sz="1"/>
              <w:bottom w:val="single" w:color="E2E8F0" w:sz="1"/>
              <w:right w:val="single" w:color="E2E8F0" w:sz="1"/>
            </w:tcBorders>
            <w:shd w:fill="EDE9FE" w:val="clear"/>
            <w:tcMar>
              <w:top w:type="dxa" w:w="80"/>
              <w:left w:type="dxa" w:w="180"/>
              <w:bottom w:type="dxa" w:w="80"/>
              <w:right w:type="dxa" w:w="180"/>
            </w:tcMar>
          </w:tcPr>
          <w:p>
            <w:r>
              <w:rPr>
                <w:rFonts w:ascii="Arial" w:cs="Arial" w:eastAsia="Arial" w:hAnsi="Arial"/>
                <w:b/>
                <w:bCs/>
                <w:color w:val="4C1D95"/>
                <w:sz w:val="19"/>
                <w:szCs w:val="19"/>
              </w:rPr>
              <w:t xml:space="preserve">Go Files to Create / Modify</w:t>
            </w:r>
          </w:p>
          <w:p>
            <w:pPr>
              <w:spacing w:before="28" w:after="28"/>
              <w:ind w:left="180"/>
            </w:pPr>
            <w:r>
              <w:rPr>
                <w:rFonts w:ascii="Courier New" w:cs="Courier New" w:eastAsia="Courier New" w:hAnsi="Courier New"/>
                <w:color w:val="4C1D95"/>
                <w:sz w:val="19"/>
                <w:szCs w:val="19"/>
              </w:rPr>
              <w:t xml:space="preserve">internal/gateway/iso/auth.go       — AuthRequest struct</w:t>
            </w:r>
          </w:p>
          <w:p>
            <w:pPr>
              <w:spacing w:before="28" w:after="28"/>
              <w:ind w:left="180"/>
            </w:pPr>
            <w:r>
              <w:rPr>
                <w:rFonts w:ascii="Courier New" w:cs="Courier New" w:eastAsia="Courier New" w:hAnsi="Courier New"/>
                <w:color w:val="4C1D95"/>
                <w:sz w:val="19"/>
                <w:szCs w:val="19"/>
              </w:rPr>
              <w:t xml:space="preserve">internal/gateway/iso/spec.go       — add F48, F52</w:t>
            </w:r>
          </w:p>
          <w:p>
            <w:pPr>
              <w:spacing w:before="28" w:after="28"/>
              <w:ind w:left="180"/>
            </w:pPr>
            <w:r>
              <w:rPr>
                <w:rFonts w:ascii="Courier New" w:cs="Courier New" w:eastAsia="Courier New" w:hAnsi="Courier New"/>
                <w:color w:val="4C1D95"/>
                <w:sz w:val="19"/>
                <w:szCs w:val="19"/>
              </w:rPr>
              <w:t xml:space="preserve">internal/gateway/iso/auth_test.go  — round-trip and secondary bitmap tests</w:t>
            </w:r>
          </w:p>
          <w:p>
            <w:pPr>
              <w:spacing w:before="28" w:after="28"/>
              <w:ind w:left="180"/>
            </w:pPr>
            <w:r>
              <w:rPr>
                <w:rFonts w:ascii="Courier New" w:cs="Courier New" w:eastAsia="Courier New" w:hAnsi="Courier New"/>
                <w:color w:val="4C1D95"/>
                <w:sz w:val="19"/>
                <w:szCs w:val="19"/>
              </w:rPr>
              <w:t xml:space="preserve">internal/gateway/iso/spec_test.go  — re-run Validate() after spec extension</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E2E8F0" w:sz="1"/>
              <w:left w:val="single" w:color="E2E8F0" w:sz="1"/>
              <w:bottom w:val="single" w:color="E2E8F0" w:sz="1"/>
              <w:right w:val="single" w:color="E2E8F0" w:sz="1"/>
            </w:tcBorders>
            <w:shd w:fill="1E3A5F" w:val="clear"/>
            <w:tcMar>
              <w:top w:type="dxa" w:w="110"/>
              <w:left w:type="dxa" w:w="180"/>
              <w:bottom w:type="dxa" w:w="110"/>
              <w:right w:type="dxa" w:w="180"/>
            </w:tcMar>
          </w:tcPr>
          <w:p>
            <w:r>
              <w:rPr>
                <w:rFonts w:ascii="Arial" w:cs="Arial" w:eastAsia="Arial" w:hAnsi="Arial"/>
                <w:b/>
                <w:bCs/>
                <w:color w:val="93C5FD"/>
                <w:sz w:val="22"/>
                <w:szCs w:val="22"/>
              </w:rPr>
              <w:t xml:space="preserve">TASK-2  </w:t>
            </w:r>
            <w:r>
              <w:rPr>
                <w:rFonts w:ascii="Arial" w:cs="Arial" w:eastAsia="Arial" w:hAnsi="Arial"/>
                <w:b/>
                <w:bCs/>
                <w:color w:val="FFFFFF"/>
                <w:sz w:val="22"/>
                <w:szCs w:val="22"/>
              </w:rPr>
              <w:t xml:space="preserve">PAN masking in zerolog (PCI requirement)</w:t>
            </w:r>
          </w:p>
        </w:tc>
      </w:tr>
      <w:tr>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Owner</w:t>
            </w:r>
          </w:p>
          <w:p>
            <w:r>
              <w:rPr>
                <w:rFonts w:ascii="Arial" w:cs="Arial" w:eastAsia="Arial" w:hAnsi="Arial"/>
                <w:b w:val="false"/>
                <w:bCs w:val="false"/>
                <w:color w:val="1E293B"/>
                <w:sz w:val="20"/>
                <w:szCs w:val="20"/>
              </w:rPr>
              <w:t xml:space="preserve">Backend Engineer</w:t>
            </w:r>
          </w:p>
        </w:tc>
        <w:tc>
          <w:tcPr>
            <w:tcW w:type="dxa" w:w="2340"/>
            <w:tcBorders>
              <w:top w:val="single" w:color="E2E8F0" w:sz="1"/>
              <w:left w:val="single" w:color="E2E8F0" w:sz="1"/>
              <w:bottom w:val="single" w:color="E2E8F0" w:sz="1"/>
              <w:right w:val="single" w:color="E2E8F0" w:sz="1"/>
            </w:tcBorders>
            <w:shd w:fill="FEE2E2" w:val="clear"/>
            <w:tcMar>
              <w:top w:type="dxa" w:w="70"/>
              <w:left w:type="dxa" w:w="120"/>
              <w:bottom w:type="dxa" w:w="70"/>
              <w:right w:type="dxa" w:w="120"/>
            </w:tcMar>
          </w:tcPr>
          <w:p>
            <w:r>
              <w:rPr>
                <w:rFonts w:ascii="Arial" w:cs="Arial" w:eastAsia="Arial" w:hAnsi="Arial"/>
                <w:b/>
                <w:bCs/>
                <w:color w:val="64748B"/>
                <w:sz w:val="17"/>
                <w:szCs w:val="17"/>
              </w:rPr>
              <w:t xml:space="preserve">Priority</w:t>
            </w:r>
          </w:p>
          <w:p>
            <w:r>
              <w:rPr>
                <w:rFonts w:ascii="Arial" w:cs="Arial" w:eastAsia="Arial" w:hAnsi="Arial"/>
                <w:b/>
                <w:bCs/>
                <w:color w:val="1E293B"/>
                <w:sz w:val="20"/>
                <w:szCs w:val="20"/>
              </w:rPr>
              <w:t xml:space="preserve">Critical</w:t>
            </w:r>
          </w:p>
        </w:tc>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Estimate</w:t>
            </w:r>
          </w:p>
          <w:p>
            <w:r>
              <w:rPr>
                <w:rFonts w:ascii="Arial" w:cs="Arial" w:eastAsia="Arial" w:hAnsi="Arial"/>
                <w:b w:val="false"/>
                <w:bCs w:val="false"/>
                <w:color w:val="1E293B"/>
                <w:sz w:val="20"/>
                <w:szCs w:val="20"/>
              </w:rPr>
              <w:t xml:space="preserve">1 day</w:t>
            </w:r>
          </w:p>
        </w:tc>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Labels</w:t>
            </w:r>
          </w:p>
          <w:p>
            <w:r>
              <w:rPr>
                <w:rFonts w:ascii="Arial" w:cs="Arial" w:eastAsia="Arial" w:hAnsi="Arial"/>
                <w:b w:val="false"/>
                <w:bCs w:val="false"/>
                <w:color w:val="1E293B"/>
                <w:sz w:val="20"/>
                <w:szCs w:val="20"/>
              </w:rPr>
              <w:t xml:space="preserve">ISO-8583, Security</w:t>
            </w:r>
          </w:p>
        </w:tc>
      </w:tr>
      <w:tr>
        <w:tc>
          <w:tcPr>
            <w:tcW w:type="dxa" w:w="9360"/>
            <w:gridSpan w:val="4"/>
            <w:tcBorders>
              <w:top w:val="single" w:color="E2E8F0" w:sz="1"/>
              <w:left w:val="single" w:color="E2E8F0" w:sz="1"/>
              <w:bottom w:val="single" w:color="E2E8F0" w:sz="1"/>
              <w:right w:val="single" w:color="E2E8F0" w:sz="1"/>
            </w:tcBorders>
            <w:tcMar>
              <w:top w:type="dxa" w:w="80"/>
              <w:left w:type="dxa" w:w="180"/>
              <w:bottom w:type="dxa" w:w="80"/>
              <w:right w:type="dxa" w:w="180"/>
            </w:tcMar>
          </w:tcPr>
          <w:p>
            <w:r>
              <w:rPr>
                <w:rFonts w:ascii="Arial" w:cs="Arial" w:eastAsia="Arial" w:hAnsi="Arial"/>
                <w:b/>
                <w:bCs/>
                <w:color w:val="1E3A5F"/>
                <w:sz w:val="19"/>
                <w:szCs w:val="19"/>
              </w:rPr>
              <w:t xml:space="preserve">Description</w:t>
            </w:r>
          </w:p>
          <w:p>
            <w:pPr>
              <w:spacing w:before="40"/>
            </w:pPr>
            <w:r>
              <w:rPr>
                <w:rFonts w:ascii="Arial" w:cs="Arial" w:eastAsia="Arial" w:hAnsi="Arial"/>
                <w:color w:val="1E293B"/>
                <w:sz w:val="20"/>
                <w:szCs w:val="20"/>
              </w:rPr>
              <w:t xml:space="preserve">PAN (Field 2) must never appear in plaintext in logs. Implement a MaskPAN helper and use it in all log statements that reference field values. This is a PCI DSS hard requirement.</w:t>
            </w:r>
          </w:p>
        </w:tc>
      </w:tr>
      <w:tr>
        <w:tc>
          <w:tcPr>
            <w:tcW w:type="dxa" w:w="9360"/>
            <w:gridSpan w:val="4"/>
            <w:tcBorders>
              <w:top w:val="single" w:color="E2E8F0" w:sz="1"/>
              <w:left w:val="single" w:color="E2E8F0" w:sz="1"/>
              <w:bottom w:val="single" w:color="E2E8F0" w:sz="1"/>
              <w:right w:val="single" w:color="E2E8F0" w:sz="1"/>
            </w:tcBorders>
            <w:shd w:fill="F0F9FF" w:val="clear"/>
            <w:tcMar>
              <w:top w:type="dxa" w:w="80"/>
              <w:left w:type="dxa" w:w="180"/>
              <w:bottom w:type="dxa" w:w="80"/>
              <w:right w:type="dxa" w:w="180"/>
            </w:tcMar>
          </w:tcPr>
          <w:p>
            <w:r>
              <w:rPr>
                <w:rFonts w:ascii="Arial" w:cs="Arial" w:eastAsia="Arial" w:hAnsi="Arial"/>
                <w:b/>
                <w:bCs/>
                <w:color w:val="1E3A5F"/>
                <w:sz w:val="19"/>
                <w:szCs w:val="19"/>
              </w:rPr>
              <w:t xml:space="preserve">Sub-tasks</w:t>
            </w:r>
          </w:p>
          <w:p>
            <w:pPr>
              <w:pStyle w:val="ListParagraph"/>
              <w:numPr>
                <w:ilvl w:val="0"/>
                <w:numId w:val="2"/>
              </w:numPr>
              <w:spacing w:before="40" w:after="40"/>
            </w:pPr>
            <w:r>
              <w:rPr>
                <w:rFonts w:ascii="Arial" w:cs="Arial" w:eastAsia="Arial" w:hAnsi="Arial"/>
                <w:color w:val="1E293B"/>
                <w:sz w:val="20"/>
                <w:szCs w:val="20"/>
              </w:rPr>
              <w:t xml:space="preserve">Create internal/gateway/iso/masking.go: implement MaskPAN(pan string) string — returns first 6 + ****** + last 4, e.g. '411111******1111'; handles PANs shorter than 10 chars by returning all asterisks</w:t>
            </w:r>
          </w:p>
          <w:p>
            <w:pPr>
              <w:pStyle w:val="ListParagraph"/>
              <w:numPr>
                <w:ilvl w:val="0"/>
                <w:numId w:val="2"/>
              </w:numPr>
              <w:spacing w:before="40" w:after="40"/>
            </w:pPr>
            <w:r>
              <w:rPr>
                <w:rFonts w:ascii="Arial" w:cs="Arial" w:eastAsia="Arial" w:hAnsi="Arial"/>
                <w:color w:val="1E293B"/>
                <w:sz w:val="20"/>
                <w:szCs w:val="20"/>
              </w:rPr>
              <w:t xml:space="preserve">In connection.go: any debug log that prints message fields must use MaskPAN(req.PAN) for F2</w:t>
            </w:r>
          </w:p>
          <w:p>
            <w:pPr>
              <w:pStyle w:val="ListParagraph"/>
              <w:numPr>
                <w:ilvl w:val="0"/>
                <w:numId w:val="2"/>
              </w:numPr>
              <w:spacing w:before="40" w:after="40"/>
            </w:pPr>
            <w:r>
              <w:rPr>
                <w:rFonts w:ascii="Arial" w:cs="Arial" w:eastAsia="Arial" w:hAnsi="Arial"/>
                <w:color w:val="1E293B"/>
                <w:sz w:val="20"/>
                <w:szCs w:val="20"/>
              </w:rPr>
              <w:t xml:space="preserve">Create internal/gateway/iso/masking_test.go: test MaskPAN with 16-digit PAN, 19-digit PAN, short PAN (&lt;10 chars), empty string</w:t>
            </w:r>
          </w:p>
          <w:p>
            <w:pPr>
              <w:pStyle w:val="ListParagraph"/>
              <w:numPr>
                <w:ilvl w:val="0"/>
                <w:numId w:val="2"/>
              </w:numPr>
              <w:spacing w:before="40" w:after="40"/>
            </w:pPr>
            <w:r>
              <w:rPr>
                <w:rFonts w:ascii="Arial" w:cs="Arial" w:eastAsia="Arial" w:hAnsi="Arial"/>
                <w:color w:val="1E293B"/>
                <w:sz w:val="20"/>
                <w:szCs w:val="20"/>
              </w:rPr>
              <w:t xml:space="preserve">Add lint comment // nolint:gosec to any place where PAN is intentionally handled (not logged)</w:t>
            </w:r>
          </w:p>
          <w:p>
            <w:pPr>
              <w:pStyle w:val="ListParagraph"/>
              <w:numPr>
                <w:ilvl w:val="0"/>
                <w:numId w:val="2"/>
              </w:numPr>
              <w:spacing w:before="40" w:after="40"/>
            </w:pPr>
            <w:r>
              <w:rPr>
                <w:rFonts w:ascii="Arial" w:cs="Arial" w:eastAsia="Arial" w:hAnsi="Arial"/>
                <w:color w:val="1E293B"/>
                <w:sz w:val="20"/>
                <w:szCs w:val="20"/>
              </w:rPr>
              <w:t xml:space="preserve">Verify no test fixture or log output contains an unmasked PAN string</w:t>
            </w:r>
          </w:p>
        </w:tc>
      </w:tr>
      <w:tr>
        <w:tc>
          <w:tcPr>
            <w:tcW w:type="dxa" w:w="9360"/>
            <w:gridSpan w:val="4"/>
            <w:tcBorders>
              <w:top w:val="single" w:color="E2E8F0" w:sz="1"/>
              <w:left w:val="single" w:color="E2E8F0" w:sz="1"/>
              <w:bottom w:val="single" w:color="E2E8F0" w:sz="1"/>
              <w:right w:val="single" w:color="E2E8F0" w:sz="1"/>
            </w:tcBorders>
            <w:shd w:fill="F0FDF4" w:val="clear"/>
            <w:tcMar>
              <w:top w:type="dxa" w:w="80"/>
              <w:left w:type="dxa" w:w="180"/>
              <w:bottom w:type="dxa" w:w="80"/>
              <w:right w:type="dxa" w:w="180"/>
            </w:tcMar>
          </w:tcPr>
          <w:p>
            <w:r>
              <w:rPr>
                <w:rFonts w:ascii="Arial" w:cs="Arial" w:eastAsia="Arial" w:hAnsi="Arial"/>
                <w:b/>
                <w:bCs/>
                <w:color w:val="166534"/>
                <w:sz w:val="19"/>
                <w:szCs w:val="19"/>
              </w:rPr>
              <w:t xml:space="preserve">Acceptance Criteria</w:t>
            </w:r>
          </w:p>
          <w:p>
            <w:pPr>
              <w:pStyle w:val="ListParagraph"/>
              <w:numPr>
                <w:ilvl w:val="0"/>
                <w:numId w:val="3"/>
              </w:numPr>
              <w:spacing w:before="40" w:after="40"/>
            </w:pPr>
            <w:r>
              <w:rPr>
                <w:rFonts w:ascii="Arial" w:cs="Arial" w:eastAsia="Arial" w:hAnsi="Arial"/>
                <w:color w:val="1E293B"/>
                <w:sz w:val="20"/>
                <w:szCs w:val="20"/>
              </w:rPr>
              <w:t xml:space="preserve">Log entry for 0100 message shows PAN as '411111******1111' not '4111111111111111'</w:t>
            </w:r>
          </w:p>
          <w:p>
            <w:pPr>
              <w:pStyle w:val="ListParagraph"/>
              <w:numPr>
                <w:ilvl w:val="0"/>
                <w:numId w:val="3"/>
              </w:numPr>
              <w:spacing w:before="40" w:after="40"/>
            </w:pPr>
            <w:r>
              <w:rPr>
                <w:rFonts w:ascii="Arial" w:cs="Arial" w:eastAsia="Arial" w:hAnsi="Arial"/>
                <w:color w:val="1E293B"/>
                <w:sz w:val="20"/>
                <w:szCs w:val="20"/>
              </w:rPr>
              <w:t xml:space="preserve">MaskPAN('4111111111111111') == '411111******1111'</w:t>
            </w:r>
          </w:p>
          <w:p>
            <w:pPr>
              <w:pStyle w:val="ListParagraph"/>
              <w:numPr>
                <w:ilvl w:val="0"/>
                <w:numId w:val="3"/>
              </w:numPr>
              <w:spacing w:before="40" w:after="40"/>
            </w:pPr>
            <w:r>
              <w:rPr>
                <w:rFonts w:ascii="Arial" w:cs="Arial" w:eastAsia="Arial" w:hAnsi="Arial"/>
                <w:color w:val="1E293B"/>
                <w:sz w:val="20"/>
                <w:szCs w:val="20"/>
              </w:rPr>
              <w:t xml:space="preserve">MaskPAN('') returns '**' (all masked)</w:t>
            </w:r>
          </w:p>
        </w:tc>
      </w:tr>
      <w:tr>
        <w:tc>
          <w:tcPr>
            <w:tcW w:type="dxa" w:w="9360"/>
            <w:gridSpan w:val="4"/>
            <w:tcBorders>
              <w:top w:val="single" w:color="E2E8F0" w:sz="1"/>
              <w:left w:val="single" w:color="E2E8F0" w:sz="1"/>
              <w:bottom w:val="single" w:color="E2E8F0" w:sz="1"/>
              <w:right w:val="single" w:color="E2E8F0" w:sz="1"/>
            </w:tcBorders>
            <w:shd w:fill="EDE9FE" w:val="clear"/>
            <w:tcMar>
              <w:top w:type="dxa" w:w="80"/>
              <w:left w:type="dxa" w:w="180"/>
              <w:bottom w:type="dxa" w:w="80"/>
              <w:right w:type="dxa" w:w="180"/>
            </w:tcMar>
          </w:tcPr>
          <w:p>
            <w:r>
              <w:rPr>
                <w:rFonts w:ascii="Arial" w:cs="Arial" w:eastAsia="Arial" w:hAnsi="Arial"/>
                <w:b/>
                <w:bCs/>
                <w:color w:val="4C1D95"/>
                <w:sz w:val="19"/>
                <w:szCs w:val="19"/>
              </w:rPr>
              <w:t xml:space="preserve">Go Files to Create / Modify</w:t>
            </w:r>
          </w:p>
          <w:p>
            <w:pPr>
              <w:spacing w:before="28" w:after="28"/>
              <w:ind w:left="180"/>
            </w:pPr>
            <w:r>
              <w:rPr>
                <w:rFonts w:ascii="Courier New" w:cs="Courier New" w:eastAsia="Courier New" w:hAnsi="Courier New"/>
                <w:color w:val="4C1D95"/>
                <w:sz w:val="19"/>
                <w:szCs w:val="19"/>
              </w:rPr>
              <w:t xml:space="preserve">internal/gateway/iso/masking.go       — MaskPAN()</w:t>
            </w:r>
          </w:p>
          <w:p>
            <w:pPr>
              <w:spacing w:before="28" w:after="28"/>
              <w:ind w:left="180"/>
            </w:pPr>
            <w:r>
              <w:rPr>
                <w:rFonts w:ascii="Courier New" w:cs="Courier New" w:eastAsia="Courier New" w:hAnsi="Courier New"/>
                <w:color w:val="4C1D95"/>
                <w:sz w:val="19"/>
                <w:szCs w:val="19"/>
              </w:rPr>
              <w:t xml:space="preserve">internal/gateway/iso/masking_test.go  — PAN masking unit tests</w:t>
            </w:r>
          </w:p>
          <w:p>
            <w:pPr>
              <w:spacing w:before="28" w:after="28"/>
              <w:ind w:left="180"/>
            </w:pPr>
            <w:r>
              <w:rPr>
                <w:rFonts w:ascii="Courier New" w:cs="Courier New" w:eastAsia="Courier New" w:hAnsi="Courier New"/>
                <w:color w:val="4C1D95"/>
                <w:sz w:val="19"/>
                <w:szCs w:val="19"/>
              </w:rPr>
              <w:t xml:space="preserve">internal/gateway/server/connection.go — use MaskPAN in any field log</w:t>
            </w:r>
          </w:p>
        </w:tc>
      </w:tr>
    </w:tbl>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E2E8F0" w:sz="1"/>
              <w:left w:val="single" w:color="E2E8F0" w:sz="1"/>
              <w:bottom w:val="single" w:color="E2E8F0" w:sz="1"/>
              <w:right w:val="single" w:color="E2E8F0" w:sz="1"/>
            </w:tcBorders>
            <w:shd w:fill="1E3A5F" w:val="clear"/>
            <w:tcMar>
              <w:top w:type="dxa" w:w="110"/>
              <w:left w:type="dxa" w:w="180"/>
              <w:bottom w:type="dxa" w:w="110"/>
              <w:right w:type="dxa" w:w="180"/>
            </w:tcMar>
          </w:tcPr>
          <w:p>
            <w:r>
              <w:rPr>
                <w:rFonts w:ascii="Arial" w:cs="Arial" w:eastAsia="Arial" w:hAnsi="Arial"/>
                <w:b/>
                <w:bCs/>
                <w:color w:val="93C5FD"/>
                <w:sz w:val="22"/>
                <w:szCs w:val="22"/>
              </w:rPr>
              <w:t xml:space="preserve">TASK-3  </w:t>
            </w:r>
            <w:r>
              <w:rPr>
                <w:rFonts w:ascii="Arial" w:cs="Arial" w:eastAsia="Arial" w:hAnsi="Arial"/>
                <w:b/>
                <w:bCs/>
                <w:color w:val="FFFFFF"/>
                <w:sz w:val="22"/>
                <w:szCs w:val="22"/>
              </w:rPr>
              <w:t xml:space="preserve">E2E field parsing tests</w:t>
            </w:r>
          </w:p>
        </w:tc>
      </w:tr>
      <w:tr>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Owner</w:t>
            </w:r>
          </w:p>
          <w:p>
            <w:r>
              <w:rPr>
                <w:rFonts w:ascii="Arial" w:cs="Arial" w:eastAsia="Arial" w:hAnsi="Arial"/>
                <w:b w:val="false"/>
                <w:bCs w:val="false"/>
                <w:color w:val="1E293B"/>
                <w:sz w:val="20"/>
                <w:szCs w:val="20"/>
              </w:rPr>
              <w:t xml:space="preserve">QA / Backend Engineer</w:t>
            </w:r>
          </w:p>
        </w:tc>
        <w:tc>
          <w:tcPr>
            <w:tcW w:type="dxa" w:w="2340"/>
            <w:tcBorders>
              <w:top w:val="single" w:color="E2E8F0" w:sz="1"/>
              <w:left w:val="single" w:color="E2E8F0" w:sz="1"/>
              <w:bottom w:val="single" w:color="E2E8F0" w:sz="1"/>
              <w:right w:val="single" w:color="E2E8F0" w:sz="1"/>
            </w:tcBorders>
            <w:shd w:fill="FEF9C3" w:val="clear"/>
            <w:tcMar>
              <w:top w:type="dxa" w:w="70"/>
              <w:left w:type="dxa" w:w="120"/>
              <w:bottom w:type="dxa" w:w="70"/>
              <w:right w:type="dxa" w:w="120"/>
            </w:tcMar>
          </w:tcPr>
          <w:p>
            <w:r>
              <w:rPr>
                <w:rFonts w:ascii="Arial" w:cs="Arial" w:eastAsia="Arial" w:hAnsi="Arial"/>
                <w:b/>
                <w:bCs/>
                <w:color w:val="64748B"/>
                <w:sz w:val="17"/>
                <w:szCs w:val="17"/>
              </w:rPr>
              <w:t xml:space="preserve">Priority</w:t>
            </w:r>
          </w:p>
          <w:p>
            <w:r>
              <w:rPr>
                <w:rFonts w:ascii="Arial" w:cs="Arial" w:eastAsia="Arial" w:hAnsi="Arial"/>
                <w:b/>
                <w:bCs/>
                <w:color w:val="1E293B"/>
                <w:sz w:val="20"/>
                <w:szCs w:val="20"/>
              </w:rPr>
              <w:t xml:space="preserve">High</w:t>
            </w:r>
          </w:p>
        </w:tc>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Estimate</w:t>
            </w:r>
          </w:p>
          <w:p>
            <w:r>
              <w:rPr>
                <w:rFonts w:ascii="Arial" w:cs="Arial" w:eastAsia="Arial" w:hAnsi="Arial"/>
                <w:b w:val="false"/>
                <w:bCs w:val="false"/>
                <w:color w:val="1E293B"/>
                <w:sz w:val="20"/>
                <w:szCs w:val="20"/>
              </w:rPr>
              <w:t xml:space="preserve">1 day</w:t>
            </w:r>
          </w:p>
        </w:tc>
        <w:tc>
          <w:tcPr>
            <w:tcW w:type="dxa" w:w="2340"/>
            <w:tcBorders>
              <w:top w:val="single" w:color="E2E8F0" w:sz="1"/>
              <w:left w:val="single" w:color="E2E8F0" w:sz="1"/>
              <w:bottom w:val="single" w:color="E2E8F0" w:sz="1"/>
              <w:right w:val="single" w:color="E2E8F0" w:sz="1"/>
            </w:tcBorders>
            <w:shd w:fill="F8FAFC" w:val="clear"/>
            <w:tcMar>
              <w:top w:type="dxa" w:w="70"/>
              <w:left w:type="dxa" w:w="120"/>
              <w:bottom w:type="dxa" w:w="70"/>
              <w:right w:type="dxa" w:w="120"/>
            </w:tcMar>
          </w:tcPr>
          <w:p>
            <w:r>
              <w:rPr>
                <w:rFonts w:ascii="Arial" w:cs="Arial" w:eastAsia="Arial" w:hAnsi="Arial"/>
                <w:b/>
                <w:bCs/>
                <w:color w:val="64748B"/>
                <w:sz w:val="17"/>
                <w:szCs w:val="17"/>
              </w:rPr>
              <w:t xml:space="preserve">Labels</w:t>
            </w:r>
          </w:p>
          <w:p>
            <w:r>
              <w:rPr>
                <w:rFonts w:ascii="Arial" w:cs="Arial" w:eastAsia="Arial" w:hAnsi="Arial"/>
                <w:b w:val="false"/>
                <w:bCs w:val="false"/>
                <w:color w:val="1E293B"/>
                <w:sz w:val="20"/>
                <w:szCs w:val="20"/>
              </w:rPr>
              <w:t xml:space="preserve">Testing</w:t>
            </w:r>
          </w:p>
        </w:tc>
      </w:tr>
      <w:tr>
        <w:tc>
          <w:tcPr>
            <w:tcW w:type="dxa" w:w="9360"/>
            <w:gridSpan w:val="4"/>
            <w:tcBorders>
              <w:top w:val="single" w:color="E2E8F0" w:sz="1"/>
              <w:left w:val="single" w:color="E2E8F0" w:sz="1"/>
              <w:bottom w:val="single" w:color="E2E8F0" w:sz="1"/>
              <w:right w:val="single" w:color="E2E8F0" w:sz="1"/>
            </w:tcBorders>
            <w:tcMar>
              <w:top w:type="dxa" w:w="80"/>
              <w:left w:type="dxa" w:w="180"/>
              <w:bottom w:type="dxa" w:w="80"/>
              <w:right w:type="dxa" w:w="180"/>
            </w:tcMar>
          </w:tcPr>
          <w:p>
            <w:r>
              <w:rPr>
                <w:rFonts w:ascii="Arial" w:cs="Arial" w:eastAsia="Arial" w:hAnsi="Arial"/>
                <w:b/>
                <w:bCs/>
                <w:color w:val="1E3A5F"/>
                <w:sz w:val="19"/>
                <w:szCs w:val="19"/>
              </w:rPr>
              <w:t xml:space="preserve">Description</w:t>
            </w:r>
          </w:p>
          <w:p>
            <w:pPr>
              <w:spacing w:before="40"/>
            </w:pPr>
            <w:r>
              <w:rPr>
                <w:rFonts w:ascii="Arial" w:cs="Arial" w:eastAsia="Arial" w:hAnsi="Arial"/>
                <w:color w:val="1E293B"/>
                <w:sz w:val="20"/>
                <w:szCs w:val="20"/>
              </w:rPr>
              <w:t xml:space="preserve">Add E2E tests that send real 0100 authorization messages with specific field values and assert the parsed response fields.</w:t>
            </w:r>
          </w:p>
        </w:tc>
      </w:tr>
      <w:tr>
        <w:tc>
          <w:tcPr>
            <w:tcW w:type="dxa" w:w="9360"/>
            <w:gridSpan w:val="4"/>
            <w:tcBorders>
              <w:top w:val="single" w:color="E2E8F0" w:sz="1"/>
              <w:left w:val="single" w:color="E2E8F0" w:sz="1"/>
              <w:bottom w:val="single" w:color="E2E8F0" w:sz="1"/>
              <w:right w:val="single" w:color="E2E8F0" w:sz="1"/>
            </w:tcBorders>
            <w:shd w:fill="F0F9FF" w:val="clear"/>
            <w:tcMar>
              <w:top w:type="dxa" w:w="80"/>
              <w:left w:type="dxa" w:w="180"/>
              <w:bottom w:type="dxa" w:w="80"/>
              <w:right w:type="dxa" w:w="180"/>
            </w:tcMar>
          </w:tcPr>
          <w:p>
            <w:r>
              <w:rPr>
                <w:rFonts w:ascii="Arial" w:cs="Arial" w:eastAsia="Arial" w:hAnsi="Arial"/>
                <w:b/>
                <w:bCs/>
                <w:color w:val="1E3A5F"/>
                <w:sz w:val="19"/>
                <w:szCs w:val="19"/>
              </w:rPr>
              <w:t xml:space="preserve">Sub-tasks</w:t>
            </w:r>
          </w:p>
          <w:p>
            <w:pPr>
              <w:pStyle w:val="ListParagraph"/>
              <w:numPr>
                <w:ilvl w:val="0"/>
                <w:numId w:val="2"/>
              </w:numPr>
              <w:spacing w:before="40" w:after="40"/>
            </w:pPr>
            <w:r>
              <w:rPr>
                <w:rFonts w:ascii="Arial" w:cs="Arial" w:eastAsia="Arial" w:hAnsi="Arial"/>
                <w:color w:val="1E293B"/>
                <w:sz w:val="20"/>
                <w:szCs w:val="20"/>
              </w:rPr>
              <w:t xml:space="preserve">TestFieldParsing_Auth0100 — build 0100 with PAN='4111111111111111', Amount='000000010000', TID='TERM0001'; send to gateway; assert response MTI and F39</w:t>
            </w:r>
          </w:p>
          <w:p>
            <w:pPr>
              <w:pStyle w:val="ListParagraph"/>
              <w:numPr>
                <w:ilvl w:val="0"/>
                <w:numId w:val="2"/>
              </w:numPr>
              <w:spacing w:before="40" w:after="40"/>
            </w:pPr>
            <w:r>
              <w:rPr>
                <w:rFonts w:ascii="Arial" w:cs="Arial" w:eastAsia="Arial" w:hAnsi="Arial"/>
                <w:color w:val="1E293B"/>
                <w:sz w:val="20"/>
                <w:szCs w:val="20"/>
              </w:rPr>
              <w:t xml:space="preserve">TestFieldParsing_SecondaryBitmap — build message with F90 (original data elements) set; assert gateway processes without error</w:t>
            </w:r>
          </w:p>
          <w:p>
            <w:pPr>
              <w:pStyle w:val="ListParagraph"/>
              <w:numPr>
                <w:ilvl w:val="0"/>
                <w:numId w:val="2"/>
              </w:numPr>
              <w:spacing w:before="40" w:after="40"/>
            </w:pPr>
            <w:r>
              <w:rPr>
                <w:rFonts w:ascii="Arial" w:cs="Arial" w:eastAsia="Arial" w:hAnsi="Arial"/>
                <w:color w:val="1E293B"/>
                <w:sz w:val="20"/>
                <w:szCs w:val="20"/>
              </w:rPr>
              <w:t xml:space="preserve">TestFieldParsing_PANNotInLogs — verify log output does not contain '4111111111111111' (use log capture or grep on log file)</w:t>
            </w:r>
          </w:p>
          <w:p>
            <w:pPr>
              <w:pStyle w:val="ListParagraph"/>
              <w:numPr>
                <w:ilvl w:val="0"/>
                <w:numId w:val="2"/>
              </w:numPr>
              <w:spacing w:before="40" w:after="40"/>
            </w:pPr>
            <w:r>
              <w:rPr>
                <w:rFonts w:ascii="Arial" w:cs="Arial" w:eastAsia="Arial" w:hAnsi="Arial"/>
                <w:color w:val="1E293B"/>
                <w:sz w:val="20"/>
                <w:szCs w:val="20"/>
              </w:rPr>
              <w:t xml:space="preserve">All tests use //go:build e2e</w:t>
            </w:r>
          </w:p>
        </w:tc>
      </w:tr>
      <w:tr>
        <w:tc>
          <w:tcPr>
            <w:tcW w:type="dxa" w:w="9360"/>
            <w:gridSpan w:val="4"/>
            <w:tcBorders>
              <w:top w:val="single" w:color="E2E8F0" w:sz="1"/>
              <w:left w:val="single" w:color="E2E8F0" w:sz="1"/>
              <w:bottom w:val="single" w:color="E2E8F0" w:sz="1"/>
              <w:right w:val="single" w:color="E2E8F0" w:sz="1"/>
            </w:tcBorders>
            <w:shd w:fill="F0FDF4" w:val="clear"/>
            <w:tcMar>
              <w:top w:type="dxa" w:w="80"/>
              <w:left w:type="dxa" w:w="180"/>
              <w:bottom w:type="dxa" w:w="80"/>
              <w:right w:type="dxa" w:w="180"/>
            </w:tcMar>
          </w:tcPr>
          <w:p>
            <w:r>
              <w:rPr>
                <w:rFonts w:ascii="Arial" w:cs="Arial" w:eastAsia="Arial" w:hAnsi="Arial"/>
                <w:b/>
                <w:bCs/>
                <w:color w:val="166534"/>
                <w:sz w:val="19"/>
                <w:szCs w:val="19"/>
              </w:rPr>
              <w:t xml:space="preserve">Acceptance Criteria</w:t>
            </w:r>
          </w:p>
          <w:p>
            <w:pPr>
              <w:pStyle w:val="ListParagraph"/>
              <w:numPr>
                <w:ilvl w:val="0"/>
                <w:numId w:val="3"/>
              </w:numPr>
              <w:spacing w:before="40" w:after="40"/>
            </w:pPr>
            <w:r>
              <w:rPr>
                <w:rFonts w:ascii="Arial" w:cs="Arial" w:eastAsia="Arial" w:hAnsi="Arial"/>
                <w:color w:val="1E293B"/>
                <w:sz w:val="20"/>
                <w:szCs w:val="20"/>
              </w:rPr>
              <w:t xml:space="preserve">0100 with full field set processed without parse error</w:t>
            </w:r>
          </w:p>
          <w:p>
            <w:pPr>
              <w:pStyle w:val="ListParagraph"/>
              <w:numPr>
                <w:ilvl w:val="0"/>
                <w:numId w:val="3"/>
              </w:numPr>
              <w:spacing w:before="40" w:after="40"/>
            </w:pPr>
            <w:r>
              <w:rPr>
                <w:rFonts w:ascii="Arial" w:cs="Arial" w:eastAsia="Arial" w:hAnsi="Arial"/>
                <w:color w:val="1E293B"/>
                <w:sz w:val="20"/>
                <w:szCs w:val="20"/>
              </w:rPr>
              <w:t xml:space="preserve">PAN does not appear in plaintext in any log output</w:t>
            </w:r>
          </w:p>
        </w:tc>
      </w:tr>
      <w:tr>
        <w:tc>
          <w:tcPr>
            <w:tcW w:type="dxa" w:w="9360"/>
            <w:gridSpan w:val="4"/>
            <w:tcBorders>
              <w:top w:val="single" w:color="E2E8F0" w:sz="1"/>
              <w:left w:val="single" w:color="E2E8F0" w:sz="1"/>
              <w:bottom w:val="single" w:color="E2E8F0" w:sz="1"/>
              <w:right w:val="single" w:color="E2E8F0" w:sz="1"/>
            </w:tcBorders>
            <w:shd w:fill="EDE9FE" w:val="clear"/>
            <w:tcMar>
              <w:top w:type="dxa" w:w="80"/>
              <w:left w:type="dxa" w:w="180"/>
              <w:bottom w:type="dxa" w:w="80"/>
              <w:right w:type="dxa" w:w="180"/>
            </w:tcMar>
          </w:tcPr>
          <w:p>
            <w:r>
              <w:rPr>
                <w:rFonts w:ascii="Arial" w:cs="Arial" w:eastAsia="Arial" w:hAnsi="Arial"/>
                <w:b/>
                <w:bCs/>
                <w:color w:val="4C1D95"/>
                <w:sz w:val="19"/>
                <w:szCs w:val="19"/>
              </w:rPr>
              <w:t xml:space="preserve">Go Files to Create / Modify</w:t>
            </w:r>
          </w:p>
          <w:p>
            <w:pPr>
              <w:spacing w:before="28" w:after="28"/>
              <w:ind w:left="180"/>
            </w:pPr>
            <w:r>
              <w:rPr>
                <w:rFonts w:ascii="Courier New" w:cs="Courier New" w:eastAsia="Courier New" w:hAnsi="Courier New"/>
                <w:color w:val="4C1D95"/>
                <w:sz w:val="19"/>
                <w:szCs w:val="19"/>
              </w:rPr>
              <w:t xml:space="preserve">api/gateway/echo_e2e_test.go  — field parsing E2E tests</w:t>
            </w:r>
          </w:p>
        </w:tc>
      </w:tr>
    </w:tbl>
    <w:p>
      <w:pPr>
        <w:spacing w:before="180" w:after="0"/>
      </w:pPr>
    </w:p>
    <w:p>
      <w:pPr>
        <w:pStyle w:val="Heading1"/>
        <w:pBdr>
          <w:bottom w:val="single" w:color="2563EB" w:sz="8" w:space="6"/>
        </w:pBdr>
        <w:spacing w:before="360" w:after="140"/>
      </w:pPr>
      <w:r>
        <w:rPr>
          <w:rFonts w:ascii="Arial" w:cs="Arial" w:eastAsia="Arial" w:hAnsi="Arial"/>
          <w:b/>
          <w:bCs/>
          <w:color w:val="1E3A5F"/>
          <w:sz w:val="34"/>
          <w:szCs w:val="34"/>
        </w:rPr>
        <w:t xml:space="preserve">3. Delivery sequence</w:t>
      </w:r>
    </w:p>
    <w:p>
      <w:pPr>
        <w:pStyle w:val="ListParagraph"/>
        <w:numPr>
          <w:ilvl w:val="0"/>
          <w:numId w:val="3"/>
        </w:numPr>
        <w:spacing w:before="40" w:after="40"/>
      </w:pPr>
      <w:r>
        <w:rPr>
          <w:rFonts w:ascii="Arial" w:cs="Arial" w:eastAsia="Arial" w:hAnsi="Arial"/>
          <w:color w:val="1E293B"/>
          <w:sz w:val="21"/>
          <w:szCs w:val="21"/>
        </w:rPr>
        <w:t xml:space="preserve">TASK-1 and TASK-2 can run in parallel</w:t>
      </w:r>
    </w:p>
    <w:p>
      <w:pPr>
        <w:pStyle w:val="ListParagraph"/>
        <w:numPr>
          <w:ilvl w:val="0"/>
          <w:numId w:val="3"/>
        </w:numPr>
        <w:spacing w:before="40" w:after="40"/>
      </w:pPr>
      <w:r>
        <w:rPr>
          <w:rFonts w:ascii="Arial" w:cs="Arial" w:eastAsia="Arial" w:hAnsi="Arial"/>
          <w:color w:val="1E293B"/>
          <w:sz w:val="21"/>
          <w:szCs w:val="21"/>
        </w:rPr>
        <w:t xml:space="preserve">TASK-3 requires both TASK-1 and TASK-2 complete</w:t>
      </w:r>
    </w:p>
    <w:p>
      <w:pPr>
        <w:pStyle w:val="Heading1"/>
        <w:pBdr>
          <w:bottom w:val="single" w:color="2563EB" w:sz="8" w:space="6"/>
        </w:pBdr>
        <w:spacing w:before="360" w:after="140"/>
      </w:pPr>
      <w:r>
        <w:rPr>
          <w:rFonts w:ascii="Arial" w:cs="Arial" w:eastAsia="Arial" w:hAnsi="Arial"/>
          <w:b/>
          <w:bCs/>
          <w:color w:val="1E3A5F"/>
          <w:sz w:val="34"/>
          <w:szCs w:val="34"/>
        </w:rPr>
        <w:t xml:space="preserve">4. Definition of done</w:t>
      </w:r>
    </w:p>
    <w:p>
      <w:pPr>
        <w:pStyle w:val="ListParagraph"/>
        <w:numPr>
          <w:ilvl w:val="0"/>
          <w:numId w:val="2"/>
        </w:numPr>
        <w:spacing w:before="40" w:after="40"/>
      </w:pPr>
      <w:r>
        <w:rPr>
          <w:rFonts w:ascii="Arial" w:cs="Arial" w:eastAsia="Arial" w:hAnsi="Arial"/>
          <w:color w:val="1E293B"/>
          <w:sz w:val="21"/>
          <w:szCs w:val="21"/>
        </w:rPr>
        <w:t xml:space="preserve">go build ./... passes</w:t>
      </w:r>
    </w:p>
    <w:p>
      <w:pPr>
        <w:pStyle w:val="ListParagraph"/>
        <w:numPr>
          <w:ilvl w:val="0"/>
          <w:numId w:val="2"/>
        </w:numPr>
        <w:spacing w:before="40" w:after="40"/>
      </w:pPr>
      <w:r>
        <w:rPr>
          <w:rFonts w:ascii="Arial" w:cs="Arial" w:eastAsia="Arial" w:hAnsi="Arial"/>
          <w:color w:val="1E293B"/>
          <w:sz w:val="21"/>
          <w:szCs w:val="21"/>
        </w:rPr>
        <w:t xml:space="preserve">go test -race ./internal/gateway/... — all green</w:t>
      </w:r>
    </w:p>
    <w:p>
      <w:pPr>
        <w:pStyle w:val="ListParagraph"/>
        <w:numPr>
          <w:ilvl w:val="0"/>
          <w:numId w:val="2"/>
        </w:numPr>
        <w:spacing w:before="40" w:after="40"/>
      </w:pPr>
      <w:r>
        <w:rPr>
          <w:rFonts w:ascii="Arial" w:cs="Arial" w:eastAsia="Arial" w:hAnsi="Arial"/>
          <w:color w:val="1E293B"/>
          <w:sz w:val="21"/>
          <w:szCs w:val="21"/>
        </w:rPr>
        <w:t xml:space="preserve">golangci-lint run ./internal/gateway/... — zero issues</w:t>
      </w:r>
    </w:p>
    <w:p>
      <w:pPr>
        <w:pStyle w:val="ListParagraph"/>
        <w:numPr>
          <w:ilvl w:val="0"/>
          <w:numId w:val="2"/>
        </w:numPr>
        <w:spacing w:before="40" w:after="40"/>
      </w:pPr>
      <w:r>
        <w:rPr>
          <w:rFonts w:ascii="Arial" w:cs="Arial" w:eastAsia="Arial" w:hAnsi="Arial"/>
          <w:color w:val="1E293B"/>
          <w:sz w:val="21"/>
          <w:szCs w:val="21"/>
        </w:rPr>
        <w:t xml:space="preserve">DiscoverSpec.Validate() passes with all fields including F48, F52</w:t>
      </w:r>
    </w:p>
    <w:p>
      <w:pPr>
        <w:pStyle w:val="ListParagraph"/>
        <w:numPr>
          <w:ilvl w:val="0"/>
          <w:numId w:val="2"/>
        </w:numPr>
        <w:spacing w:before="40" w:after="40"/>
      </w:pPr>
      <w:r>
        <w:rPr>
          <w:rFonts w:ascii="Arial" w:cs="Arial" w:eastAsia="Arial" w:hAnsi="Arial"/>
          <w:color w:val="1E293B"/>
          <w:sz w:val="21"/>
          <w:szCs w:val="21"/>
        </w:rPr>
        <w:t xml:space="preserve">PAN never appears unmasked in any log output (PCI requirement)</w:t>
      </w:r>
    </w:p>
    <w:p>
      <w:pPr>
        <w:pStyle w:val="ListParagraph"/>
        <w:numPr>
          <w:ilvl w:val="0"/>
          <w:numId w:val="2"/>
        </w:numPr>
        <w:spacing w:before="40" w:after="40"/>
      </w:pPr>
      <w:r>
        <w:rPr>
          <w:rFonts w:ascii="Arial" w:cs="Arial" w:eastAsia="Arial" w:hAnsi="Arial"/>
          <w:color w:val="1E293B"/>
          <w:sz w:val="21"/>
          <w:szCs w:val="21"/>
        </w:rPr>
        <w:t xml:space="preserve">AuthRequest round-trip test green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260" w:after="100"/>
      <w:outlineLvl w:val="1"/>
    </w:pPr>
    <w:rPr>
      <w:rFonts w:ascii="Arial" w:cs="Arial" w:eastAsia="Arial" w:hAnsi="Arial"/>
      <w:b/>
      <w:bCs/>
      <w:color w:val="1E3A5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2026-03-24T11:28:33.321Z</dcterms:created>
  <dcterms:modified xsi:type="dcterms:W3CDTF">2026-03-24T11:28:33.321Z</dcterms:modified>
</cp:coreProperties>
</file>

<file path=docProps/custom.xml><?xml version="1.0" encoding="utf-8"?>
<Properties xmlns="http://schemas.openxmlformats.org/officeDocument/2006/custom-properties" xmlns:vt="http://schemas.openxmlformats.org/officeDocument/2006/docPropsVTypes"/>
</file>