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48"/>
          <w:szCs w:val="48"/>
          <w:rtl w:val="0"/>
        </w:rPr>
        <w:t xml:space="preserve">TARUN BANSAL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5090160</wp:posOffset>
            </wp:positionH>
            <wp:positionV relativeFrom="paragraph">
              <wp:posOffset>0</wp:posOffset>
            </wp:positionV>
            <wp:extent cx="556260" cy="556260"/>
            <wp:effectExtent b="0" l="0" r="0" t="0"/>
            <wp:wrapSquare wrapText="bothSides" distB="0" distT="0" distL="114300" distR="114300"/>
            <wp:docPr descr="A person wearing glasses and smiling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person wearing glasses and smiling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Senior Backend Engineer | Distributed Systems &amp; Cloud-Native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8c" w:space="5" w:sz="6" w:val="single"/>
        </w:pBdr>
        <w:spacing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Amsterdam, Netherlands  |  +31 642 547 507  |  tbansal@outlook.com  |  Citizenship: Netherlands  |  EU work authorised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Calibri" w:cs="Calibri" w:eastAsia="Calibri" w:hAnsi="Calibri"/>
          <w:color w:val="1a1a1a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 with 19+ years of experience building high-throughput distributed systems for banking, payments, and regulated financial platforms across Europe and APAC.</w:t>
        <w:br w:type="textWrapping"/>
        <w:t xml:space="preserve">Specialises in cloud-native microservices, event-driven architectures, and contract-first API platforms using Java, Spring Boot, Kafka, and Kubernetes.</w:t>
        <w:br w:type="textWrapping"/>
        <w:t xml:space="preserve">Proven track record leading system modernisation initiatives, improving reliability and throughput of production-critical systems, and embedding engineering quality practices (testing, observability, and security) within regulated environments.</w:t>
      </w:r>
    </w:p>
    <w:p w:rsidR="00000000" w:rsidDel="00000000" w:rsidP="00000000" w:rsidRDefault="00000000" w:rsidRPr="00000000" w14:paraId="00000006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Languages &amp;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Java 25, Kotlin, Spring Boot 4, Spring Cloud, Spring AI, WebFlux, Reactor, Spring Batch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Microservices, DDD, Hexagonal, Event-Driven, Contract-First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Pact, OpenAPI, Spock (BDD), Playwright (E2E), TDD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OWASP, SAST/DAST, Threat Modelling, Secure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Apache Kafka, Kafka Streams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IBM 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AWS, EKS, Docker, Helm, Azure DevOps, CI/CD, GitHub Copilot,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ELK, Prometheus, Grafana, OpenTelemetry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PSD2, SWIFT, 3D 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8"/>
                <w:szCs w:val="18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50.0" w:type="dxa"/>
              <w:left w:w="12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Amazon DynamoDB, Oracle Database, PostgreSQL, MySQL</w:t>
            </w:r>
          </w:p>
        </w:tc>
      </w:tr>
    </w:tbl>
    <w:p w:rsidR="00000000" w:rsidDel="00000000" w:rsidP="00000000" w:rsidRDefault="00000000" w:rsidRPr="00000000" w14:paraId="00000019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b w:val="1"/>
          <w:bCs w:val="1"/>
          <w:color w:val="1f4e8c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KEY ACHIEVEMENTS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onboarding microservices to Spring WebFlux, boosting peak processing and cutting batch reconciliation time (ING).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Owned production incident response across ING’s onboarding platform, coordinating cross-squad resolution of critical system failures (ING).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customer data synchronisation from TIBCO to an event-driven Kafka pipeline (ING).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Integrated the core Banking system with Singapore’s PayNow network using IBM MQ, improving reliability through enhanced failover and automated reconciliation (Standard Chartered Bank).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Set up distributed tracing using OpenTelemetry and Jaeger to make production issues easier to spot and debug (Wolters Kluwer).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Wolters Kluwer Netherlands’ services from AWS ECS to EKS (Wolters Kluwer).</w:t>
      </w:r>
    </w:p>
    <w:p w:rsidR="00000000" w:rsidDel="00000000" w:rsidP="00000000" w:rsidRDefault="00000000" w:rsidRPr="00000000" w14:paraId="00000020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EMPLOYMENT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8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Wolters Kluwer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Netherlands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Feb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event-driven data pipelines on AWS EKS to distribute regulatory content across downstream services, supporting the team's ECS-to-EKS migration.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Domain-Driven microservices using Hexagonal Architecture, later adopted as the programme standard.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Introduced contract-first API design with OpenAPI and Pact testing, significantly reducing integration failures.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Acted as Security Champion, embedding OWASP, SAST/DAST, and threat modelling into CI/CD pipelines.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Improved regression stability by implementing Playwright E2E and Spock BDD automation.</w:t>
      </w:r>
    </w:p>
    <w:p w:rsidR="00000000" w:rsidDel="00000000" w:rsidP="00000000" w:rsidRDefault="00000000" w:rsidRPr="00000000" w14:paraId="00000027">
      <w:pPr>
        <w:spacing w:after="40" w:before="18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ING Bank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Netherlands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Dec 2022–Feb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the onboarding and customer data sync platform, overseeing delivery across a cross-functional team.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onboarding microservices from a synchronous stack to Spring WebFlux and Kafka, improving throughput and decoupling batch reconciliation from real-time flows.</w:t>
      </w:r>
    </w:p>
    <w:p w:rsidR="00000000" w:rsidDel="00000000" w:rsidP="00000000" w:rsidRDefault="00000000" w:rsidRPr="00000000" w14:paraId="0000002A">
      <w:pPr>
        <w:spacing w:after="40" w:before="18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Wolters Kluwer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Netherlands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May 2021–Dec 2022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Contributed to the development of InView Tax, a flagship legal content management system built on reactive Spring WebFlux and Neo4j.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Introduced contract-first microservice development with OpenAPI and Pact testing.</w:t>
      </w:r>
    </w:p>
    <w:p w:rsidR="00000000" w:rsidDel="00000000" w:rsidP="00000000" w:rsidRDefault="00000000" w:rsidRPr="00000000" w14:paraId="0000002D">
      <w:pPr>
        <w:spacing w:after="40" w:before="18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ING Bank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Netherlands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Jul 2020–May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Contributed to building a securities onboarding platform using Domain-Driven Design, implementing containerisation with Docker and Kubernetes, CI/CD pipelines, observability, and data persistence layers.</w:t>
      </w:r>
    </w:p>
    <w:p w:rsidR="00000000" w:rsidDel="00000000" w:rsidP="00000000" w:rsidRDefault="00000000" w:rsidRPr="00000000" w14:paraId="0000002F">
      <w:pPr>
        <w:spacing w:after="40" w:before="18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Backend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 KLM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Netherlands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Oct 2018–Jul 2020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and maintained Java-based microservices supporting baggage tracking and passenger operations, contributing to KLM’s ground operations platform.</w:t>
      </w:r>
    </w:p>
    <w:p w:rsidR="00000000" w:rsidDel="00000000" w:rsidP="00000000" w:rsidRDefault="00000000" w:rsidRPr="00000000" w14:paraId="00000031">
      <w:pPr>
        <w:spacing w:after="40" w:before="18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Software Engineer (Contract)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Standard Chartered Bank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Singapore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May 2016–Oct 2018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and delivered core payment processing modules, including cross-border SWIFT transfers for a multi-country payment platform operating across 28 countries.</w:t>
      </w:r>
    </w:p>
    <w:p w:rsidR="00000000" w:rsidDel="00000000" w:rsidP="00000000" w:rsidRDefault="00000000" w:rsidRPr="00000000" w14:paraId="00000033">
      <w:pPr>
        <w:spacing w:after="40" w:before="18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Bravura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Solutions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Melbourne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Aug 2008–April 2016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and maintained wealth management and superannuation software for financial services clients across Australia and Asia-Pacific.</w:t>
      </w:r>
    </w:p>
    <w:p w:rsidR="00000000" w:rsidDel="00000000" w:rsidP="00000000" w:rsidRDefault="00000000" w:rsidRPr="00000000" w14:paraId="00000035">
      <w:pPr>
        <w:spacing w:after="40" w:before="18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PeopleStrong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| 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India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Oct 2006–Aug 2008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30" w:before="30" w:line="240" w:lineRule="auto"/>
        <w:ind w:left="440" w:hanging="2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and maintained payroll and talent management software products.</w:t>
      </w:r>
    </w:p>
    <w:p w:rsidR="00000000" w:rsidDel="00000000" w:rsidP="00000000" w:rsidRDefault="00000000" w:rsidRPr="00000000" w14:paraId="00000037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rPr>
          <w:rFonts w:ascii="Calibri" w:cs="Calibri" w:eastAsia="Calibri" w:hAnsi="Calibri"/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Bachelor of Technology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0"/>
          <w:szCs w:val="20"/>
          <w:rtl w:val="0"/>
        </w:rPr>
        <w:t xml:space="preserve">Information Technology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Kurukshetra University –India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9"/>
          <w:szCs w:val="19"/>
          <w:rtl w:val="0"/>
        </w:rPr>
        <w:t xml:space="preserve">Aug 2002–July 2006</w:t>
      </w:r>
    </w:p>
    <w:p w:rsidR="00000000" w:rsidDel="00000000" w:rsidP="00000000" w:rsidRDefault="00000000" w:rsidRPr="00000000" w14:paraId="00000039">
      <w:pPr>
        <w:pBdr>
          <w:bottom w:color="1f4e8c" w:space="3" w:sz="10" w:val="single"/>
        </w:pBdr>
        <w:spacing w:after="80" w:before="220" w:line="24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1"/>
          <w:szCs w:val="21"/>
          <w:rtl w:val="0"/>
        </w:rPr>
        <w:t xml:space="preserve">OTHER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rPr>
          <w:rFonts w:ascii="Calibri" w:cs="Calibri" w:eastAsia="Calibri" w:hAnsi="Calibri"/>
          <w:b w:val="1"/>
          <w:bCs w:val="1"/>
          <w:color w:val="1a1a1a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Github: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9"/>
            <w:szCs w:val="19"/>
            <w:u w:val="single"/>
            <w:rtl w:val="0"/>
          </w:rPr>
          <w:t xml:space="preserve">https://github.com/to-buss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="240" w:lineRule="auto"/>
        <w:rPr>
          <w:rFonts w:ascii="Calibri" w:cs="Calibri" w:eastAsia="Calibri" w:hAnsi="Calibri"/>
          <w:b w:val="1"/>
          <w:bCs w:val="1"/>
          <w:color w:val="1a1a1a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19"/>
          <w:szCs w:val="19"/>
          <w:rtl w:val="0"/>
        </w:rPr>
        <w:t xml:space="preserve">Linkedin: https://www.linkedin.com/in/tarun-b-6035a25b/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4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to-bu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2026-03-16T10:30:03Z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2b9e4942-26dc-4cfa-9989-165253159f29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