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710" w:rsidRPr="00611363" w:rsidRDefault="00562E8E">
      <w:r w:rsidRPr="00BD36E7">
        <w:rPr>
          <w:b/>
          <w:sz w:val="25"/>
          <w:szCs w:val="25"/>
          <w:u w:val="single"/>
        </w:rPr>
        <w:t>Objective:</w:t>
      </w:r>
      <w:r w:rsidRPr="00BD36E7">
        <w:rPr>
          <w:sz w:val="25"/>
          <w:szCs w:val="25"/>
        </w:rPr>
        <w:t xml:space="preserve"> </w:t>
      </w:r>
    </w:p>
    <w:p w:rsidR="00611363" w:rsidRPr="00611363" w:rsidRDefault="00611363" w:rsidP="00611363">
      <w:pPr>
        <w:autoSpaceDE w:val="0"/>
        <w:autoSpaceDN w:val="0"/>
        <w:adjustRightInd w:val="0"/>
        <w:spacing w:after="0" w:line="240" w:lineRule="auto"/>
        <w:rPr>
          <w:rFonts w:cs="CMR12"/>
          <w:lang w:val="en-IN"/>
        </w:rPr>
      </w:pPr>
      <w:r w:rsidRPr="00611363">
        <w:rPr>
          <w:rFonts w:cs="CMR12"/>
          <w:lang w:val="en-IN"/>
        </w:rPr>
        <w:t>To setup the interference fringes of the double slit variety using a single source and Fresnel’s bi</w:t>
      </w:r>
      <w:r w:rsidR="007C50CF">
        <w:rPr>
          <w:rFonts w:cs="CMR12"/>
          <w:lang w:val="en-IN"/>
        </w:rPr>
        <w:t>-</w:t>
      </w:r>
      <w:r w:rsidRPr="00611363">
        <w:rPr>
          <w:rFonts w:cs="CMR12"/>
          <w:lang w:val="en-IN"/>
        </w:rPr>
        <w:t xml:space="preserve">prism and hence determine the wavelength of sodium </w:t>
      </w:r>
      <w:r w:rsidR="00E12176">
        <w:rPr>
          <w:rFonts w:cs="CMR12"/>
          <w:lang w:val="en-IN"/>
        </w:rPr>
        <w:t>light</w:t>
      </w:r>
    </w:p>
    <w:p w:rsidR="00562E8E" w:rsidRPr="007C50CF" w:rsidRDefault="00611363" w:rsidP="00611363">
      <w:pPr>
        <w:rPr>
          <w:sz w:val="25"/>
          <w:szCs w:val="25"/>
        </w:rPr>
      </w:pPr>
      <w:r>
        <w:rPr>
          <w:rFonts w:ascii="CMR12" w:hAnsi="CMR12" w:cs="CMR12"/>
          <w:sz w:val="24"/>
          <w:szCs w:val="24"/>
          <w:lang w:val="en-IN"/>
        </w:rPr>
        <w:br/>
      </w:r>
      <w:r w:rsidR="00562E8E" w:rsidRPr="007C50CF">
        <w:rPr>
          <w:b/>
          <w:sz w:val="25"/>
          <w:szCs w:val="25"/>
          <w:u w:val="single"/>
        </w:rPr>
        <w:t>Experimental setup:</w:t>
      </w:r>
      <w:r w:rsidR="00562E8E" w:rsidRPr="007C50CF">
        <w:rPr>
          <w:sz w:val="25"/>
          <w:szCs w:val="25"/>
        </w:rPr>
        <w:t xml:space="preserve"> </w:t>
      </w:r>
    </w:p>
    <w:p w:rsidR="007C50CF" w:rsidRPr="007C50CF" w:rsidRDefault="007C50CF" w:rsidP="007C50CF">
      <w:pPr>
        <w:autoSpaceDE w:val="0"/>
        <w:autoSpaceDN w:val="0"/>
        <w:adjustRightInd w:val="0"/>
        <w:spacing w:after="0" w:line="240" w:lineRule="auto"/>
        <w:rPr>
          <w:rFonts w:cs="CMR12"/>
          <w:lang w:val="en-IN"/>
        </w:rPr>
      </w:pPr>
      <w:r w:rsidRPr="007C50CF">
        <w:rPr>
          <w:rFonts w:cs="CMR12"/>
          <w:lang w:val="en-IN"/>
        </w:rPr>
        <w:t xml:space="preserve">Optical bench with mounts, sodium </w:t>
      </w:r>
      <w:r w:rsidRPr="007C50CF">
        <w:rPr>
          <w:rFonts w:cs="CMR12"/>
        </w:rPr>
        <w:t>vapor</w:t>
      </w:r>
      <w:r w:rsidRPr="007C50CF">
        <w:rPr>
          <w:rFonts w:cs="CMR12"/>
          <w:lang w:val="en-IN"/>
        </w:rPr>
        <w:t xml:space="preserve"> lamp, Fresnel biprism, convex lens,</w:t>
      </w:r>
      <w:r>
        <w:rPr>
          <w:rFonts w:cs="CMR12"/>
          <w:lang w:val="en-IN"/>
        </w:rPr>
        <w:t xml:space="preserve"> </w:t>
      </w:r>
      <w:r w:rsidRPr="007C50CF">
        <w:rPr>
          <w:rFonts w:cs="CMR12"/>
          <w:lang w:val="en-IN"/>
        </w:rPr>
        <w:t>slit,</w:t>
      </w:r>
      <w:r>
        <w:rPr>
          <w:rFonts w:cs="CMR12"/>
          <w:lang w:val="en-IN"/>
        </w:rPr>
        <w:t xml:space="preserve"> </w:t>
      </w:r>
      <w:r w:rsidRPr="007C50CF">
        <w:rPr>
          <w:rFonts w:cs="CMR12"/>
          <w:lang w:val="en-IN"/>
        </w:rPr>
        <w:t xml:space="preserve">eyepiece </w:t>
      </w:r>
      <w:r>
        <w:rPr>
          <w:rFonts w:cs="CMR12"/>
          <w:lang w:val="en-IN"/>
        </w:rPr>
        <w:t>with micrometer</w:t>
      </w:r>
    </w:p>
    <w:p w:rsidR="007C50CF" w:rsidRDefault="007C50CF" w:rsidP="007C50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IN"/>
        </w:rPr>
      </w:pPr>
    </w:p>
    <w:p w:rsidR="00021B25" w:rsidRDefault="007C50CF" w:rsidP="007C50CF">
      <w:pPr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Theory:</w:t>
      </w:r>
    </w:p>
    <w:p w:rsidR="001F4B1D" w:rsidRDefault="001F4B1D" w:rsidP="007C50CF">
      <w:pPr>
        <w:rPr>
          <w:szCs w:val="25"/>
        </w:rPr>
      </w:pPr>
      <w:r w:rsidRPr="001F4B1D">
        <w:rPr>
          <w:szCs w:val="25"/>
        </w:rPr>
        <w:t>The biprism</w:t>
      </w:r>
      <w:r>
        <w:rPr>
          <w:szCs w:val="25"/>
        </w:rPr>
        <w:t xml:space="preserve"> </w:t>
      </w:r>
      <w:r w:rsidR="00746BE9">
        <w:rPr>
          <w:szCs w:val="25"/>
        </w:rPr>
        <w:t xml:space="preserve">consists of a glass prism with two of its sides making an angle of about 180 degrees and other two being around 30 seconds. </w:t>
      </w:r>
      <w:r w:rsidR="000C0D2C">
        <w:rPr>
          <w:szCs w:val="25"/>
        </w:rPr>
        <w:t xml:space="preserve">When its refracting edge is placed parallel to the slit, the incident light from the slit gets divided into two parts </w:t>
      </w:r>
      <w:r w:rsidR="00926E27">
        <w:rPr>
          <w:szCs w:val="25"/>
        </w:rPr>
        <w:t xml:space="preserve">both of which appear to come from two virtual sources. Since the two sources are coherent, they can interfere to result in </w:t>
      </w:r>
      <w:r w:rsidR="00941A4C">
        <w:rPr>
          <w:szCs w:val="25"/>
        </w:rPr>
        <w:t xml:space="preserve">the interference fringes of alternate light and dark bands. </w:t>
      </w:r>
    </w:p>
    <w:p w:rsidR="0036430A" w:rsidRDefault="0036430A" w:rsidP="007C50CF">
      <w:pPr>
        <w:rPr>
          <w:rFonts w:eastAsiaTheme="minorEastAsia"/>
          <w:szCs w:val="25"/>
        </w:rPr>
      </w:pPr>
      <w:r>
        <w:rPr>
          <w:szCs w:val="25"/>
        </w:rPr>
        <w:t xml:space="preserve">The fringe width </w:t>
      </w:r>
      <m:oMath>
        <m:r>
          <w:rPr>
            <w:rFonts w:ascii="Cambria Math" w:hAnsi="Cambria Math"/>
            <w:szCs w:val="25"/>
          </w:rPr>
          <m:t>β</m:t>
        </m:r>
      </m:oMath>
      <w:r w:rsidR="00990102">
        <w:rPr>
          <w:rFonts w:eastAsiaTheme="minorEastAsia"/>
          <w:szCs w:val="25"/>
        </w:rPr>
        <w:t xml:space="preserve"> = D</w:t>
      </w:r>
      <m:oMath>
        <m:r>
          <w:rPr>
            <w:rFonts w:ascii="Cambria Math" w:eastAsiaTheme="minorEastAsia" w:hAnsi="Cambria Math"/>
            <w:szCs w:val="25"/>
          </w:rPr>
          <m:t>λ</m:t>
        </m:r>
      </m:oMath>
      <w:r w:rsidR="00990102">
        <w:rPr>
          <w:rFonts w:eastAsiaTheme="minorEastAsia"/>
          <w:szCs w:val="25"/>
        </w:rPr>
        <w:t>/d where D is the distance bet</w:t>
      </w:r>
      <w:r w:rsidR="00FF6474">
        <w:rPr>
          <w:rFonts w:eastAsiaTheme="minorEastAsia"/>
          <w:szCs w:val="25"/>
        </w:rPr>
        <w:t xml:space="preserve">ween the slit and the eye-piece, d = distance between the two virtual sources and </w:t>
      </w:r>
      <m:oMath>
        <m:r>
          <w:rPr>
            <w:rFonts w:ascii="Cambria Math" w:eastAsiaTheme="minorEastAsia" w:hAnsi="Cambria Math"/>
            <w:szCs w:val="25"/>
          </w:rPr>
          <m:t>λ=</m:t>
        </m:r>
      </m:oMath>
      <w:r w:rsidR="00FF6474">
        <w:rPr>
          <w:rFonts w:eastAsiaTheme="minorEastAsia"/>
          <w:szCs w:val="25"/>
        </w:rPr>
        <w:t xml:space="preserve"> wavelength of the source. </w:t>
      </w:r>
      <w:r w:rsidR="006075E0">
        <w:rPr>
          <w:rFonts w:eastAsiaTheme="minorEastAsia"/>
          <w:szCs w:val="25"/>
        </w:rPr>
        <w:t xml:space="preserve">How to </w:t>
      </w:r>
      <w:proofErr w:type="gramStart"/>
      <w:r w:rsidR="0025545E">
        <w:rPr>
          <w:rFonts w:eastAsiaTheme="minorEastAsia"/>
          <w:szCs w:val="25"/>
        </w:rPr>
        <w:t>calculate ‘d’</w:t>
      </w:r>
      <w:proofErr w:type="gramEnd"/>
      <w:r w:rsidR="006075E0">
        <w:rPr>
          <w:rFonts w:eastAsiaTheme="minorEastAsia"/>
          <w:szCs w:val="25"/>
        </w:rPr>
        <w:t xml:space="preserve"> is </w:t>
      </w:r>
      <w:r w:rsidR="00ED146C">
        <w:rPr>
          <w:rFonts w:eastAsiaTheme="minorEastAsia"/>
          <w:szCs w:val="25"/>
        </w:rPr>
        <w:t>mentioned</w:t>
      </w:r>
      <w:r w:rsidR="006075E0">
        <w:rPr>
          <w:rFonts w:eastAsiaTheme="minorEastAsia"/>
          <w:szCs w:val="25"/>
        </w:rPr>
        <w:t xml:space="preserve"> in the last step of the procedure.</w:t>
      </w:r>
    </w:p>
    <w:p w:rsidR="006075E0" w:rsidRDefault="006075E0" w:rsidP="007C50CF">
      <w:pPr>
        <w:rPr>
          <w:rFonts w:eastAsiaTheme="minorEastAsia"/>
          <w:szCs w:val="25"/>
        </w:rPr>
      </w:pPr>
    </w:p>
    <w:p w:rsidR="006075E0" w:rsidRDefault="006075E0" w:rsidP="007C50CF">
      <w:pPr>
        <w:rPr>
          <w:rFonts w:eastAsiaTheme="minorEastAsia"/>
          <w:szCs w:val="25"/>
        </w:rPr>
      </w:pPr>
    </w:p>
    <w:p w:rsidR="006075E0" w:rsidRDefault="006075E0" w:rsidP="007C50CF">
      <w:pPr>
        <w:rPr>
          <w:rFonts w:eastAsiaTheme="minorEastAsia"/>
          <w:szCs w:val="25"/>
        </w:rPr>
      </w:pPr>
    </w:p>
    <w:p w:rsidR="006075E0" w:rsidRDefault="006075E0" w:rsidP="007C50CF">
      <w:pPr>
        <w:rPr>
          <w:rFonts w:eastAsiaTheme="minorEastAsia"/>
          <w:szCs w:val="25"/>
        </w:rPr>
      </w:pPr>
    </w:p>
    <w:p w:rsidR="006075E0" w:rsidRDefault="006075E0" w:rsidP="007C50CF">
      <w:pPr>
        <w:rPr>
          <w:rFonts w:eastAsiaTheme="minorEastAsia"/>
          <w:szCs w:val="25"/>
        </w:rPr>
      </w:pPr>
    </w:p>
    <w:p w:rsidR="006075E0" w:rsidRDefault="006075E0" w:rsidP="007C50CF">
      <w:pPr>
        <w:rPr>
          <w:rFonts w:eastAsiaTheme="minorEastAsia"/>
          <w:szCs w:val="25"/>
        </w:rPr>
      </w:pPr>
    </w:p>
    <w:p w:rsidR="006075E0" w:rsidRDefault="006075E0" w:rsidP="007C50CF">
      <w:pPr>
        <w:rPr>
          <w:rFonts w:eastAsiaTheme="minorEastAsia"/>
          <w:szCs w:val="25"/>
        </w:rPr>
      </w:pPr>
    </w:p>
    <w:p w:rsidR="006075E0" w:rsidRDefault="006075E0" w:rsidP="007C50CF">
      <w:pPr>
        <w:rPr>
          <w:rFonts w:eastAsiaTheme="minorEastAsia"/>
          <w:szCs w:val="25"/>
        </w:rPr>
      </w:pPr>
    </w:p>
    <w:p w:rsidR="006075E0" w:rsidRPr="00ED146C" w:rsidRDefault="006075E0" w:rsidP="007C50CF">
      <w:pPr>
        <w:rPr>
          <w:sz w:val="25"/>
          <w:szCs w:val="25"/>
        </w:rPr>
      </w:pPr>
    </w:p>
    <w:p w:rsidR="00270D2D" w:rsidRDefault="00270D2D">
      <w:pPr>
        <w:rPr>
          <w:rFonts w:eastAsiaTheme="minorEastAsia"/>
          <w:b/>
          <w:sz w:val="25"/>
          <w:szCs w:val="25"/>
          <w:u w:val="single"/>
        </w:rPr>
      </w:pPr>
      <w:r w:rsidRPr="00ED146C">
        <w:rPr>
          <w:rFonts w:eastAsiaTheme="minorEastAsia"/>
          <w:b/>
          <w:sz w:val="25"/>
          <w:szCs w:val="25"/>
          <w:u w:val="single"/>
        </w:rPr>
        <w:t>Procedure:</w:t>
      </w:r>
    </w:p>
    <w:p w:rsidR="00ED146C" w:rsidRDefault="004B6142" w:rsidP="004B6142">
      <w:pPr>
        <w:pStyle w:val="ListParagraph"/>
        <w:numPr>
          <w:ilvl w:val="0"/>
          <w:numId w:val="6"/>
        </w:numPr>
        <w:rPr>
          <w:szCs w:val="25"/>
        </w:rPr>
      </w:pPr>
      <w:r>
        <w:rPr>
          <w:szCs w:val="25"/>
        </w:rPr>
        <w:t>It was made sure that the centre of the slit, centre of the biprism and the centre of the eye-piece were in a straight line</w:t>
      </w:r>
      <w:r w:rsidR="004F3CDE">
        <w:rPr>
          <w:szCs w:val="25"/>
        </w:rPr>
        <w:t xml:space="preserve"> at same height.</w:t>
      </w:r>
    </w:p>
    <w:p w:rsidR="004F3CDE" w:rsidRDefault="004F3CDE" w:rsidP="004B6142">
      <w:pPr>
        <w:pStyle w:val="ListParagraph"/>
        <w:numPr>
          <w:ilvl w:val="0"/>
          <w:numId w:val="6"/>
        </w:numPr>
        <w:rPr>
          <w:szCs w:val="25"/>
        </w:rPr>
      </w:pPr>
      <w:r>
        <w:rPr>
          <w:szCs w:val="25"/>
        </w:rPr>
        <w:t>Sodium lamp was switched on and the slit width was set to narrow</w:t>
      </w:r>
      <w:r w:rsidR="00680ACD">
        <w:rPr>
          <w:szCs w:val="25"/>
        </w:rPr>
        <w:t>.</w:t>
      </w:r>
    </w:p>
    <w:p w:rsidR="00680ACD" w:rsidRDefault="00680ACD" w:rsidP="004B6142">
      <w:pPr>
        <w:pStyle w:val="ListParagraph"/>
        <w:numPr>
          <w:ilvl w:val="0"/>
          <w:numId w:val="6"/>
        </w:numPr>
        <w:rPr>
          <w:szCs w:val="25"/>
        </w:rPr>
      </w:pPr>
      <w:r>
        <w:rPr>
          <w:szCs w:val="25"/>
        </w:rPr>
        <w:t>By th</w:t>
      </w:r>
      <w:r w:rsidR="00DF0084">
        <w:rPr>
          <w:szCs w:val="25"/>
        </w:rPr>
        <w:t>e movement of the tangent screw, the biprism was rotated and brought parallel to the slit.</w:t>
      </w:r>
    </w:p>
    <w:p w:rsidR="00DF0084" w:rsidRDefault="00DF0084" w:rsidP="004B6142">
      <w:pPr>
        <w:pStyle w:val="ListParagraph"/>
        <w:numPr>
          <w:ilvl w:val="0"/>
          <w:numId w:val="6"/>
        </w:numPr>
        <w:rPr>
          <w:szCs w:val="25"/>
        </w:rPr>
      </w:pPr>
      <w:r>
        <w:rPr>
          <w:szCs w:val="25"/>
        </w:rPr>
        <w:t xml:space="preserve">By the adjustments of the </w:t>
      </w:r>
      <w:r w:rsidR="008344EB">
        <w:rPr>
          <w:szCs w:val="25"/>
        </w:rPr>
        <w:t>plane biprism and the mutual separation of slit, biprism and eye-piece</w:t>
      </w:r>
      <w:r w:rsidR="001E4C0A">
        <w:rPr>
          <w:szCs w:val="25"/>
        </w:rPr>
        <w:t>,</w:t>
      </w:r>
      <w:r w:rsidR="008344EB">
        <w:rPr>
          <w:szCs w:val="25"/>
        </w:rPr>
        <w:t xml:space="preserve"> fring</w:t>
      </w:r>
      <w:r w:rsidR="001E4C0A">
        <w:rPr>
          <w:szCs w:val="25"/>
        </w:rPr>
        <w:t>es were seen through the eye-piece</w:t>
      </w:r>
    </w:p>
    <w:p w:rsidR="001E4C0A" w:rsidRDefault="00145862" w:rsidP="004B6142">
      <w:pPr>
        <w:pStyle w:val="ListParagraph"/>
        <w:numPr>
          <w:ilvl w:val="0"/>
          <w:numId w:val="6"/>
        </w:numPr>
        <w:rPr>
          <w:szCs w:val="25"/>
        </w:rPr>
      </w:pPr>
      <w:r>
        <w:rPr>
          <w:szCs w:val="25"/>
        </w:rPr>
        <w:lastRenderedPageBreak/>
        <w:t>The fringe widt</w:t>
      </w:r>
      <w:r w:rsidR="004F4020">
        <w:rPr>
          <w:szCs w:val="25"/>
        </w:rPr>
        <w:t>h was found by measuring the mean width of 20 consecutive fringes through the micrometer attached to the eye-piece.</w:t>
      </w:r>
      <w:r w:rsidR="00C329F4">
        <w:rPr>
          <w:szCs w:val="25"/>
        </w:rPr>
        <w:t xml:space="preserve"> Ho</w:t>
      </w:r>
      <w:r w:rsidR="00680423">
        <w:rPr>
          <w:szCs w:val="25"/>
        </w:rPr>
        <w:t xml:space="preserve">wever, the micrometer also needs to be calibrated for the purpose. </w:t>
      </w:r>
    </w:p>
    <w:p w:rsidR="004F4020" w:rsidRDefault="004F4020" w:rsidP="004B6142">
      <w:pPr>
        <w:pStyle w:val="ListParagraph"/>
        <w:numPr>
          <w:ilvl w:val="0"/>
          <w:numId w:val="6"/>
        </w:numPr>
        <w:rPr>
          <w:szCs w:val="25"/>
        </w:rPr>
      </w:pPr>
      <w:r>
        <w:rPr>
          <w:szCs w:val="25"/>
        </w:rPr>
        <w:t xml:space="preserve">The distance between the slit and eye-piece was also measured from the scale attached to the optical bench. </w:t>
      </w:r>
    </w:p>
    <w:p w:rsidR="004F4020" w:rsidRPr="004B6142" w:rsidRDefault="004F4020" w:rsidP="004B6142">
      <w:pPr>
        <w:pStyle w:val="ListParagraph"/>
        <w:numPr>
          <w:ilvl w:val="0"/>
          <w:numId w:val="6"/>
        </w:numPr>
        <w:rPr>
          <w:szCs w:val="25"/>
        </w:rPr>
      </w:pPr>
      <w:r>
        <w:rPr>
          <w:szCs w:val="25"/>
        </w:rPr>
        <w:t xml:space="preserve">In order to calculate the </w:t>
      </w:r>
      <w:r w:rsidR="00802E86">
        <w:rPr>
          <w:szCs w:val="25"/>
        </w:rPr>
        <w:t xml:space="preserve">distance between the virtual sources, a convex lens was inserted between the biprism and eye-piece. The lens was moved to the eye-piece until two sharp images of </w:t>
      </w:r>
      <w:r w:rsidR="001722D7">
        <w:rPr>
          <w:szCs w:val="25"/>
        </w:rPr>
        <w:t xml:space="preserve">the slit were obtained. The distance between the images as found through micrometer and </w:t>
      </w:r>
      <w:r w:rsidR="0040229D">
        <w:rPr>
          <w:szCs w:val="25"/>
        </w:rPr>
        <w:t>labeled d</w:t>
      </w:r>
      <w:r w:rsidR="0040229D">
        <w:rPr>
          <w:szCs w:val="25"/>
          <w:vertAlign w:val="subscript"/>
        </w:rPr>
        <w:t>1</w:t>
      </w:r>
      <w:r w:rsidR="0040229D">
        <w:rPr>
          <w:szCs w:val="25"/>
        </w:rPr>
        <w:t xml:space="preserve">. Similarly, the lens was moved to </w:t>
      </w:r>
      <w:r w:rsidR="00D44F18">
        <w:rPr>
          <w:szCs w:val="25"/>
        </w:rPr>
        <w:t>the biprism and again the distance d</w:t>
      </w:r>
      <w:r w:rsidR="00D44F18">
        <w:rPr>
          <w:szCs w:val="25"/>
          <w:vertAlign w:val="subscript"/>
        </w:rPr>
        <w:t>2</w:t>
      </w:r>
      <w:r w:rsidR="00D44F18">
        <w:rPr>
          <w:szCs w:val="25"/>
        </w:rPr>
        <w:t xml:space="preserve"> between the sharp images is found. The distance d is nothing but geometric mean of d</w:t>
      </w:r>
      <w:r w:rsidR="00D44F18">
        <w:rPr>
          <w:szCs w:val="25"/>
          <w:vertAlign w:val="subscript"/>
        </w:rPr>
        <w:t>1</w:t>
      </w:r>
      <w:r w:rsidR="00D44F18">
        <w:rPr>
          <w:szCs w:val="25"/>
        </w:rPr>
        <w:t xml:space="preserve"> and d</w:t>
      </w:r>
      <w:r w:rsidR="00D44F18">
        <w:rPr>
          <w:szCs w:val="25"/>
          <w:vertAlign w:val="subscript"/>
        </w:rPr>
        <w:t xml:space="preserve">2. </w:t>
      </w:r>
    </w:p>
    <w:p w:rsidR="006C3BFB" w:rsidRDefault="0025545E" w:rsidP="00FF06D6">
      <w:pPr>
        <w:rPr>
          <w:rFonts w:eastAsiaTheme="minorEastAsia"/>
          <w:b/>
          <w:sz w:val="25"/>
          <w:szCs w:val="25"/>
          <w:u w:val="single"/>
        </w:rPr>
      </w:pPr>
      <w:r>
        <w:rPr>
          <w:rFonts w:eastAsiaTheme="minorEastAsia"/>
          <w:b/>
          <w:sz w:val="25"/>
          <w:szCs w:val="25"/>
          <w:u w:val="single"/>
        </w:rPr>
        <w:t>Observations</w:t>
      </w:r>
      <w:r w:rsidR="00864A27">
        <w:rPr>
          <w:rFonts w:eastAsiaTheme="minorEastAsia"/>
          <w:b/>
          <w:sz w:val="25"/>
          <w:szCs w:val="25"/>
          <w:u w:val="single"/>
        </w:rPr>
        <w:t xml:space="preserve"> and Calculations</w:t>
      </w:r>
      <w:r>
        <w:rPr>
          <w:rFonts w:eastAsiaTheme="minorEastAsia"/>
          <w:b/>
          <w:sz w:val="25"/>
          <w:szCs w:val="25"/>
          <w:u w:val="single"/>
        </w:rPr>
        <w:t>:</w:t>
      </w:r>
    </w:p>
    <w:p w:rsidR="00680423" w:rsidRDefault="00680423" w:rsidP="00680423">
      <w:pPr>
        <w:rPr>
          <w:rFonts w:eastAsiaTheme="minorEastAsia"/>
          <w:b/>
          <w:szCs w:val="25"/>
          <w:u w:val="single"/>
        </w:rPr>
      </w:pPr>
      <w:r>
        <w:rPr>
          <w:rFonts w:eastAsiaTheme="minorEastAsia"/>
          <w:b/>
          <w:szCs w:val="25"/>
          <w:u w:val="single"/>
        </w:rPr>
        <w:t>Calibration of micrometer: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22415" w:rsidTr="00A22415">
        <w:tc>
          <w:tcPr>
            <w:tcW w:w="4621" w:type="dxa"/>
          </w:tcPr>
          <w:p w:rsidR="00A22415" w:rsidRDefault="00A22415" w:rsidP="00A22415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Rotations of the micrometer screw</w:t>
            </w:r>
          </w:p>
        </w:tc>
        <w:tc>
          <w:tcPr>
            <w:tcW w:w="4621" w:type="dxa"/>
          </w:tcPr>
          <w:p w:rsidR="00A22415" w:rsidRDefault="00A22415" w:rsidP="00680423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Displacement on the main scale (in mm)</w:t>
            </w:r>
          </w:p>
        </w:tc>
      </w:tr>
      <w:tr w:rsidR="00A22415" w:rsidTr="00A22415">
        <w:tc>
          <w:tcPr>
            <w:tcW w:w="4621" w:type="dxa"/>
          </w:tcPr>
          <w:p w:rsidR="00A22415" w:rsidRDefault="00A22415" w:rsidP="00680423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4</w:t>
            </w:r>
          </w:p>
        </w:tc>
        <w:tc>
          <w:tcPr>
            <w:tcW w:w="4621" w:type="dxa"/>
          </w:tcPr>
          <w:p w:rsidR="00A22415" w:rsidRDefault="00A22415" w:rsidP="00680423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2.5</w:t>
            </w:r>
          </w:p>
        </w:tc>
      </w:tr>
      <w:tr w:rsidR="00A22415" w:rsidTr="00A22415">
        <w:tc>
          <w:tcPr>
            <w:tcW w:w="4621" w:type="dxa"/>
          </w:tcPr>
          <w:p w:rsidR="00A22415" w:rsidRDefault="00A22415" w:rsidP="00680423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8</w:t>
            </w:r>
          </w:p>
        </w:tc>
        <w:tc>
          <w:tcPr>
            <w:tcW w:w="4621" w:type="dxa"/>
          </w:tcPr>
          <w:p w:rsidR="00A22415" w:rsidRDefault="00A22415" w:rsidP="00680423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5.0</w:t>
            </w:r>
          </w:p>
        </w:tc>
      </w:tr>
      <w:tr w:rsidR="00A22415" w:rsidTr="00A22415">
        <w:tc>
          <w:tcPr>
            <w:tcW w:w="4621" w:type="dxa"/>
          </w:tcPr>
          <w:p w:rsidR="00A22415" w:rsidRDefault="00A22415" w:rsidP="00680423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12</w:t>
            </w:r>
          </w:p>
        </w:tc>
        <w:tc>
          <w:tcPr>
            <w:tcW w:w="4621" w:type="dxa"/>
          </w:tcPr>
          <w:p w:rsidR="00A22415" w:rsidRDefault="00A22415" w:rsidP="00680423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7.5</w:t>
            </w:r>
          </w:p>
        </w:tc>
      </w:tr>
      <w:tr w:rsidR="00A22415" w:rsidTr="00A22415">
        <w:tc>
          <w:tcPr>
            <w:tcW w:w="4621" w:type="dxa"/>
          </w:tcPr>
          <w:p w:rsidR="00A22415" w:rsidRDefault="00A22415" w:rsidP="00680423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16</w:t>
            </w:r>
          </w:p>
        </w:tc>
        <w:tc>
          <w:tcPr>
            <w:tcW w:w="4621" w:type="dxa"/>
          </w:tcPr>
          <w:p w:rsidR="00A22415" w:rsidRDefault="00A22415" w:rsidP="00680423">
            <w:pPr>
              <w:rPr>
                <w:rFonts w:eastAsiaTheme="minorEastAsia"/>
                <w:szCs w:val="25"/>
              </w:rPr>
            </w:pPr>
            <w:r>
              <w:rPr>
                <w:rFonts w:eastAsiaTheme="minorEastAsia"/>
                <w:szCs w:val="25"/>
              </w:rPr>
              <w:t>10.0</w:t>
            </w:r>
          </w:p>
        </w:tc>
      </w:tr>
    </w:tbl>
    <w:p w:rsidR="00680423" w:rsidRDefault="00A22415" w:rsidP="00FF06D6">
      <w:pPr>
        <w:rPr>
          <w:rFonts w:eastAsiaTheme="minorEastAsia"/>
          <w:b/>
          <w:sz w:val="25"/>
          <w:szCs w:val="25"/>
          <w:u w:val="single"/>
        </w:rPr>
      </w:pPr>
      <w:r>
        <w:rPr>
          <w:rFonts w:eastAsiaTheme="minorEastAsia"/>
          <w:szCs w:val="25"/>
        </w:rPr>
        <w:br/>
        <w:t xml:space="preserve">So, </w:t>
      </w:r>
      <w:r w:rsidR="00103943">
        <w:rPr>
          <w:rFonts w:eastAsiaTheme="minorEastAsia"/>
          <w:szCs w:val="25"/>
        </w:rPr>
        <w:t>1 rotation of the screw is equivalent to 10/16 mm of displacement on the main scale.</w:t>
      </w:r>
    </w:p>
    <w:p w:rsidR="00680423" w:rsidRDefault="00680423" w:rsidP="00FF06D6">
      <w:pPr>
        <w:rPr>
          <w:rFonts w:eastAsiaTheme="minorEastAsia"/>
          <w:b/>
          <w:sz w:val="25"/>
          <w:szCs w:val="25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873"/>
        <w:gridCol w:w="1503"/>
        <w:gridCol w:w="2410"/>
        <w:gridCol w:w="2804"/>
      </w:tblGrid>
      <w:tr w:rsidR="00390A5C" w:rsidTr="008F5ACC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S.No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50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 reading on micrometer</w:t>
            </w:r>
          </w:p>
        </w:tc>
        <w:tc>
          <w:tcPr>
            <w:tcW w:w="2410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Final reading on micrometer</w:t>
            </w:r>
          </w:p>
        </w:tc>
        <w:tc>
          <w:tcPr>
            <w:tcW w:w="2804" w:type="dxa"/>
          </w:tcPr>
          <w:p w:rsidR="00390A5C" w:rsidRDefault="00390A5C" w:rsidP="00497C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Fringe width (in no. of rotations of micrometer screw)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1.60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1.80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2.02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2.02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2.16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2.16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2.31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2.31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2.43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2.43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2.57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2.57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2.71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2.71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2.89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390A5C" w:rsidTr="008C29D2">
        <w:tc>
          <w:tcPr>
            <w:tcW w:w="873" w:type="dxa"/>
          </w:tcPr>
          <w:p w:rsidR="00390A5C" w:rsidRDefault="00390A5C" w:rsidP="00FF0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503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2.89</w:t>
            </w:r>
          </w:p>
        </w:tc>
        <w:tc>
          <w:tcPr>
            <w:tcW w:w="2410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3.04</w:t>
            </w:r>
          </w:p>
        </w:tc>
        <w:tc>
          <w:tcPr>
            <w:tcW w:w="2804" w:type="dxa"/>
            <w:vAlign w:val="bottom"/>
          </w:tcPr>
          <w:p w:rsidR="00390A5C" w:rsidRDefault="00390A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</w:tbl>
    <w:p w:rsidR="00FF06D6" w:rsidRDefault="00FF06D6" w:rsidP="00FF06D6">
      <w:pPr>
        <w:rPr>
          <w:rFonts w:eastAsiaTheme="minorEastAsia"/>
        </w:rPr>
      </w:pPr>
    </w:p>
    <w:p w:rsidR="00796F13" w:rsidRDefault="00796F13" w:rsidP="00390A5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Least count of micrometer = </w:t>
      </w:r>
      <w:r w:rsidR="003D4C8A">
        <w:rPr>
          <w:rFonts w:eastAsiaTheme="minorEastAsia"/>
        </w:rPr>
        <w:t>2.5/400 mm (as 4 rotations of screw are equivalent to 2.5 mm and each rotation has 100 divisions)</w:t>
      </w:r>
    </w:p>
    <w:p w:rsidR="00390A5C" w:rsidRPr="00390A5C" w:rsidRDefault="00390A5C" w:rsidP="00390A5C">
      <w:p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eastAsiaTheme="minorEastAsia"/>
        </w:rPr>
        <w:t xml:space="preserve">The mean width = </w:t>
      </w:r>
      <w:r w:rsidRPr="00390A5C">
        <w:rPr>
          <w:rFonts w:ascii="Calibri" w:eastAsia="Times New Roman" w:hAnsi="Calibri" w:cs="Times New Roman"/>
          <w:color w:val="000000"/>
          <w:lang w:val="en-IN" w:eastAsia="en-IN"/>
        </w:rPr>
        <w:t>2.87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rotations = </w:t>
      </w:r>
      <w:r w:rsidR="00854599">
        <w:rPr>
          <w:rFonts w:ascii="Calibri" w:eastAsia="Times New Roman" w:hAnsi="Calibri" w:cs="Times New Roman"/>
          <w:color w:val="000000"/>
          <w:lang w:val="en-IN" w:eastAsia="en-IN"/>
        </w:rPr>
        <w:t>0.09</w:t>
      </w:r>
      <w:r w:rsidR="00A95A46">
        <w:rPr>
          <w:rFonts w:ascii="Calibri" w:eastAsia="Times New Roman" w:hAnsi="Calibri" w:cs="Times New Roman"/>
          <w:color w:val="000000"/>
          <w:lang w:val="en-IN" w:eastAsia="en-IN"/>
        </w:rPr>
        <w:t>4</w:t>
      </w:r>
      <w:r w:rsidR="00AC66BF">
        <w:rPr>
          <w:rFonts w:ascii="Calibri" w:eastAsia="Times New Roman" w:hAnsi="Calibri" w:cs="Times New Roman"/>
          <w:color w:val="000000"/>
          <w:lang w:val="en-IN" w:eastAsia="en-IN"/>
        </w:rPr>
        <w:t xml:space="preserve"> mm</w:t>
      </w:r>
      <w:r w:rsidR="009A1976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IN" w:eastAsia="en-IN"/>
          </w:rPr>
          <m:t>±</m:t>
        </m:r>
      </m:oMath>
      <w:r w:rsidR="009A1976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A95A46">
        <w:rPr>
          <w:rFonts w:ascii="Calibri" w:eastAsia="Times New Roman" w:hAnsi="Calibri" w:cs="Times New Roman"/>
          <w:color w:val="000000"/>
          <w:lang w:val="en-IN" w:eastAsia="en-IN"/>
        </w:rPr>
        <w:t>0.00625mm</w:t>
      </w:r>
    </w:p>
    <w:p w:rsidR="00367958" w:rsidRDefault="00864A27" w:rsidP="00FF06D6">
      <w:pPr>
        <w:rPr>
          <w:rFonts w:eastAsiaTheme="minorEastAsia"/>
        </w:rPr>
      </w:pPr>
      <w:r>
        <w:rPr>
          <w:rFonts w:eastAsiaTheme="minorEastAsia"/>
        </w:rPr>
        <w:t>D = 74.0 cm</w:t>
      </w:r>
      <w:r w:rsidR="003D4C8A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IN" w:eastAsia="en-IN"/>
          </w:rPr>
          <m:t xml:space="preserve">± </m:t>
        </m:r>
      </m:oMath>
      <w:r w:rsidR="003D4C8A">
        <w:rPr>
          <w:rFonts w:eastAsiaTheme="minorEastAsia"/>
          <w:color w:val="000000"/>
          <w:lang w:val="en-IN" w:eastAsia="en-IN"/>
        </w:rPr>
        <w:t>0.05 cm</w:t>
      </w:r>
      <w:r w:rsidR="0027195A">
        <w:rPr>
          <w:rFonts w:eastAsiaTheme="minorEastAsia"/>
        </w:rPr>
        <w:br/>
        <w:t>‘d</w:t>
      </w:r>
      <w:r w:rsidR="0027195A">
        <w:rPr>
          <w:rFonts w:eastAsiaTheme="minorEastAsia"/>
          <w:vertAlign w:val="subscript"/>
        </w:rPr>
        <w:t>1</w:t>
      </w:r>
      <w:r w:rsidR="0027195A">
        <w:rPr>
          <w:rFonts w:eastAsiaTheme="minorEastAsia"/>
        </w:rPr>
        <w:t xml:space="preserve">’ = </w:t>
      </w:r>
      <w:r w:rsidR="000F1447">
        <w:rPr>
          <w:rFonts w:eastAsiaTheme="minorEastAsia"/>
        </w:rPr>
        <w:t>8.13 mm</w:t>
      </w:r>
      <w:r w:rsidR="003D4C8A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IN" w:eastAsia="en-IN"/>
          </w:rPr>
          <m:t>±</m:t>
        </m:r>
      </m:oMath>
      <w:r w:rsidR="003D4C8A">
        <w:rPr>
          <w:rFonts w:eastAsiaTheme="minorEastAsia"/>
          <w:color w:val="000000"/>
          <w:lang w:val="en-IN" w:eastAsia="en-IN"/>
        </w:rPr>
        <w:t xml:space="preserve"> </w:t>
      </w:r>
      <w:r w:rsidR="003D4C8A">
        <w:rPr>
          <w:rFonts w:ascii="Calibri" w:eastAsia="Times New Roman" w:hAnsi="Calibri" w:cs="Times New Roman"/>
          <w:color w:val="000000"/>
          <w:lang w:val="en-IN" w:eastAsia="en-IN"/>
        </w:rPr>
        <w:t>0.00625mm</w:t>
      </w:r>
      <w:r w:rsidR="000F1447">
        <w:rPr>
          <w:rFonts w:eastAsiaTheme="minorEastAsia"/>
        </w:rPr>
        <w:br/>
        <w:t>‘d</w:t>
      </w:r>
      <w:r w:rsidR="000F1447">
        <w:rPr>
          <w:rFonts w:eastAsiaTheme="minorEastAsia"/>
          <w:vertAlign w:val="subscript"/>
        </w:rPr>
        <w:t>2</w:t>
      </w:r>
      <w:r w:rsidR="000F1447">
        <w:rPr>
          <w:rFonts w:eastAsiaTheme="minorEastAsia"/>
        </w:rPr>
        <w:t xml:space="preserve">’ = </w:t>
      </w:r>
      <w:r w:rsidR="00796F13">
        <w:rPr>
          <w:rFonts w:eastAsiaTheme="minorEastAsia"/>
        </w:rPr>
        <w:t>2.90</w:t>
      </w:r>
      <w:r w:rsidR="000F1447">
        <w:rPr>
          <w:rFonts w:eastAsiaTheme="minorEastAsia"/>
        </w:rPr>
        <w:t xml:space="preserve"> mm</w:t>
      </w:r>
      <w:r w:rsidR="003D4C8A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IN" w:eastAsia="en-IN"/>
          </w:rPr>
          <m:t>±</m:t>
        </m:r>
      </m:oMath>
      <w:r w:rsidR="003D4C8A">
        <w:rPr>
          <w:rFonts w:eastAsiaTheme="minorEastAsia"/>
          <w:color w:val="000000"/>
          <w:lang w:val="en-IN" w:eastAsia="en-IN"/>
        </w:rPr>
        <w:t xml:space="preserve"> </w:t>
      </w:r>
      <w:r w:rsidR="003D4C8A">
        <w:rPr>
          <w:rFonts w:ascii="Calibri" w:eastAsia="Times New Roman" w:hAnsi="Calibri" w:cs="Times New Roman"/>
          <w:color w:val="000000"/>
          <w:lang w:val="en-IN" w:eastAsia="en-IN"/>
        </w:rPr>
        <w:t>0.00625mm</w:t>
      </w:r>
      <w:r w:rsidR="00367958">
        <w:rPr>
          <w:rFonts w:eastAsiaTheme="minorEastAsia"/>
        </w:rPr>
        <w:br/>
        <w:t xml:space="preserve">d = </w:t>
      </w:r>
      <w:r w:rsidR="00B14094">
        <w:rPr>
          <w:rFonts w:eastAsiaTheme="minorEastAsia"/>
        </w:rPr>
        <w:t>(d1×d2)</w:t>
      </w:r>
      <w:r w:rsidR="00B14094">
        <w:rPr>
          <w:rFonts w:eastAsiaTheme="minorEastAsia"/>
          <w:vertAlign w:val="superscript"/>
        </w:rPr>
        <w:t>1/2</w:t>
      </w:r>
      <w:r w:rsidR="00B14094">
        <w:rPr>
          <w:rFonts w:eastAsiaTheme="minorEastAsia"/>
        </w:rPr>
        <w:t xml:space="preserve"> = </w:t>
      </w:r>
      <w:r w:rsidR="00796F13">
        <w:rPr>
          <w:rFonts w:eastAsiaTheme="minorEastAsia"/>
        </w:rPr>
        <w:t>4</w:t>
      </w:r>
      <w:r w:rsidR="00CB5E81">
        <w:rPr>
          <w:rFonts w:eastAsiaTheme="minorEastAsia"/>
        </w:rPr>
        <w:t>.</w:t>
      </w:r>
      <w:r w:rsidR="00796F13">
        <w:rPr>
          <w:rFonts w:eastAsiaTheme="minorEastAsia"/>
        </w:rPr>
        <w:t>8</w:t>
      </w:r>
      <w:r w:rsidR="00CB5E81">
        <w:rPr>
          <w:rFonts w:eastAsiaTheme="minorEastAsia"/>
        </w:rPr>
        <w:t>6</w:t>
      </w:r>
      <w:r w:rsidR="0027195A">
        <w:rPr>
          <w:rFonts w:eastAsiaTheme="minorEastAsia"/>
        </w:rPr>
        <w:t xml:space="preserve"> mm</w:t>
      </w:r>
      <w:r w:rsidR="003D4C8A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IN" w:eastAsia="en-IN"/>
          </w:rPr>
          <m:t>±</m:t>
        </m:r>
      </m:oMath>
      <w:r w:rsidR="003D4C8A">
        <w:rPr>
          <w:rFonts w:eastAsiaTheme="minorEastAsia"/>
          <w:color w:val="000000"/>
          <w:lang w:val="en-IN" w:eastAsia="en-IN"/>
        </w:rPr>
        <w:t xml:space="preserve"> </w:t>
      </w:r>
      <w:r w:rsidR="003D4C8A">
        <w:rPr>
          <w:rFonts w:ascii="Calibri" w:eastAsia="Times New Roman" w:hAnsi="Calibri" w:cs="Times New Roman"/>
          <w:color w:val="000000"/>
          <w:lang w:val="en-IN" w:eastAsia="en-IN"/>
        </w:rPr>
        <w:t>0.00625mm</w:t>
      </w:r>
    </w:p>
    <w:p w:rsidR="00B21C30" w:rsidRPr="00B21C30" w:rsidRDefault="000F1447" w:rsidP="00FF06D6">
      <w:pPr>
        <w:rPr>
          <w:rFonts w:eastAsiaTheme="minorEastAsia"/>
          <w:color w:val="000000"/>
          <w:lang w:val="en-IN" w:eastAsia="en-IN"/>
        </w:rPr>
      </w:pPr>
      <w:r>
        <w:rPr>
          <w:rFonts w:eastAsiaTheme="minorEastAsia"/>
        </w:rPr>
        <w:t xml:space="preserve">Wavelength of light = </w:t>
      </w:r>
      <w:r w:rsidR="005B19E5">
        <w:rPr>
          <w:rFonts w:eastAsiaTheme="minorEastAsia"/>
        </w:rPr>
        <w:t>d</w:t>
      </w:r>
      <m:oMath>
        <m:r>
          <w:rPr>
            <w:rFonts w:ascii="Cambria Math" w:hAnsi="Cambria Math"/>
            <w:szCs w:val="25"/>
          </w:rPr>
          <m:t>β</m:t>
        </m:r>
      </m:oMath>
      <w:r w:rsidR="005B19E5">
        <w:rPr>
          <w:rFonts w:eastAsiaTheme="minorEastAsia"/>
          <w:szCs w:val="25"/>
        </w:rPr>
        <w:t xml:space="preserve">/D = </w:t>
      </w:r>
      <w:r w:rsidR="00796F13">
        <w:rPr>
          <w:rFonts w:eastAsiaTheme="minorEastAsia"/>
          <w:szCs w:val="25"/>
        </w:rPr>
        <w:t>617</w:t>
      </w:r>
      <w:r w:rsidR="009A1976">
        <w:rPr>
          <w:rFonts w:eastAsiaTheme="minorEastAsia"/>
          <w:szCs w:val="25"/>
        </w:rPr>
        <w:t>.</w:t>
      </w:r>
      <w:r w:rsidR="00796F13">
        <w:rPr>
          <w:rFonts w:eastAsiaTheme="minorEastAsia"/>
          <w:szCs w:val="25"/>
        </w:rPr>
        <w:t>3</w:t>
      </w:r>
      <w:r w:rsidR="009A1976">
        <w:rPr>
          <w:rFonts w:eastAsiaTheme="minorEastAsia"/>
          <w:szCs w:val="25"/>
        </w:rPr>
        <w:t xml:space="preserve"> nm</w:t>
      </w:r>
      <w:r w:rsidR="003D4C8A">
        <w:rPr>
          <w:rFonts w:eastAsiaTheme="minorEastAsia"/>
          <w:szCs w:val="25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IN" w:eastAsia="en-IN"/>
          </w:rPr>
          <m:t>±</m:t>
        </m:r>
      </m:oMath>
      <w:r w:rsidR="003D4C8A">
        <w:rPr>
          <w:rFonts w:eastAsiaTheme="minorEastAsia"/>
          <w:color w:val="000000"/>
          <w:lang w:val="en-IN" w:eastAsia="en-IN"/>
        </w:rPr>
        <w:t xml:space="preserve"> </w:t>
      </w:r>
      <w:r w:rsidR="00B21C30">
        <w:rPr>
          <w:rFonts w:eastAsiaTheme="minorEastAsia"/>
          <w:color w:val="000000"/>
          <w:lang w:val="en-IN" w:eastAsia="en-IN"/>
        </w:rPr>
        <w:t xml:space="preserve">0.85% = </w:t>
      </w:r>
      <w:r w:rsidR="00B21C30">
        <w:rPr>
          <w:rFonts w:eastAsiaTheme="minorEastAsia"/>
          <w:szCs w:val="25"/>
        </w:rPr>
        <w:t xml:space="preserve">617.3 nm </w:t>
      </w:r>
      <m:oMath>
        <m:r>
          <w:rPr>
            <w:rFonts w:ascii="Cambria Math" w:eastAsia="Times New Roman" w:hAnsi="Cambria Math" w:cs="Times New Roman"/>
            <w:color w:val="000000"/>
            <w:lang w:val="en-IN" w:eastAsia="en-IN"/>
          </w:rPr>
          <m:t>±</m:t>
        </m:r>
      </m:oMath>
      <w:r w:rsidR="00B21C30">
        <w:rPr>
          <w:rFonts w:eastAsiaTheme="minorEastAsia"/>
          <w:color w:val="000000"/>
          <w:lang w:val="en-IN" w:eastAsia="en-IN"/>
        </w:rPr>
        <w:t xml:space="preserve"> 5.2 nm</w:t>
      </w:r>
    </w:p>
    <w:p w:rsidR="0025545E" w:rsidRPr="003A1DE4" w:rsidRDefault="0025545E" w:rsidP="0025545E">
      <w:pPr>
        <w:rPr>
          <w:rFonts w:eastAsiaTheme="minorEastAsia"/>
          <w:b/>
          <w:sz w:val="25"/>
          <w:szCs w:val="25"/>
          <w:u w:val="single"/>
        </w:rPr>
      </w:pPr>
      <w:r w:rsidRPr="003A1DE4">
        <w:rPr>
          <w:rFonts w:eastAsiaTheme="minorEastAsia"/>
          <w:b/>
          <w:sz w:val="25"/>
          <w:szCs w:val="25"/>
          <w:u w:val="single"/>
        </w:rPr>
        <w:t>Precautions:</w:t>
      </w:r>
    </w:p>
    <w:p w:rsidR="00FF06D6" w:rsidRDefault="003A1DE4" w:rsidP="00E134B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Biprism</w:t>
      </w:r>
      <w:r w:rsidR="00E134B4">
        <w:rPr>
          <w:rFonts w:eastAsiaTheme="minorEastAsia"/>
        </w:rPr>
        <w:t xml:space="preserve"> should be handled very carefully.</w:t>
      </w:r>
      <w:r>
        <w:rPr>
          <w:rFonts w:eastAsiaTheme="minorEastAsia"/>
        </w:rPr>
        <w:t xml:space="preserve"> It is expensive and fragile.</w:t>
      </w:r>
    </w:p>
    <w:p w:rsidR="00E134B4" w:rsidRDefault="00E134B4" w:rsidP="00E134B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surface of the lens</w:t>
      </w:r>
      <w:r w:rsidR="003A1DE4">
        <w:rPr>
          <w:rFonts w:eastAsiaTheme="minorEastAsia"/>
        </w:rPr>
        <w:t>, biprism and eyepiece</w:t>
      </w:r>
      <w:r>
        <w:rPr>
          <w:rFonts w:eastAsiaTheme="minorEastAsia"/>
        </w:rPr>
        <w:t xml:space="preserve"> should be cleaned with a clean tissue paper and should not be touched with fingers.</w:t>
      </w:r>
    </w:p>
    <w:p w:rsidR="000B2D4A" w:rsidRDefault="00E134B4" w:rsidP="00C95C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Micro</w:t>
      </w:r>
      <w:r w:rsidR="003A1DE4">
        <w:rPr>
          <w:rFonts w:eastAsiaTheme="minorEastAsia"/>
        </w:rPr>
        <w:t>meter</w:t>
      </w:r>
      <w:r>
        <w:rPr>
          <w:rFonts w:eastAsiaTheme="minorEastAsia"/>
        </w:rPr>
        <w:t xml:space="preserve"> should be moved only in one direction </w:t>
      </w:r>
      <w:r w:rsidR="000B2D4A">
        <w:rPr>
          <w:rFonts w:eastAsiaTheme="minorEastAsia"/>
        </w:rPr>
        <w:t>to avoid backlash error.</w:t>
      </w:r>
    </w:p>
    <w:p w:rsidR="00137CF3" w:rsidRPr="000D7D21" w:rsidRDefault="00137CF3" w:rsidP="00137CF3"/>
    <w:p w:rsidR="003E3675" w:rsidRPr="003E3675" w:rsidRDefault="003E3675" w:rsidP="00A943F9">
      <w:pPr>
        <w:rPr>
          <w:rFonts w:eastAsiaTheme="minorEastAsia"/>
          <w:szCs w:val="25"/>
        </w:rPr>
      </w:pPr>
    </w:p>
    <w:p w:rsidR="00270D2D" w:rsidRPr="008853C8" w:rsidRDefault="00270D2D" w:rsidP="008853C8">
      <w:pPr>
        <w:rPr>
          <w:rFonts w:eastAsiaTheme="minorEastAsia"/>
        </w:rPr>
      </w:pPr>
    </w:p>
    <w:p w:rsidR="00232BC8" w:rsidRDefault="00232BC8"/>
    <w:p w:rsidR="006C3BFB" w:rsidRPr="00A91A27" w:rsidRDefault="006C3BFB"/>
    <w:sectPr w:rsidR="006C3BFB" w:rsidRPr="00A91A27" w:rsidSect="00B360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971" w:rsidRDefault="00BC4971" w:rsidP="005B4710">
      <w:pPr>
        <w:spacing w:after="0" w:line="240" w:lineRule="auto"/>
      </w:pPr>
      <w:r>
        <w:separator/>
      </w:r>
    </w:p>
  </w:endnote>
  <w:endnote w:type="continuationSeparator" w:id="0">
    <w:p w:rsidR="00BC4971" w:rsidRDefault="00BC4971" w:rsidP="005B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971" w:rsidRDefault="00BC4971" w:rsidP="005B4710">
      <w:pPr>
        <w:spacing w:after="0" w:line="240" w:lineRule="auto"/>
      </w:pPr>
      <w:r>
        <w:separator/>
      </w:r>
    </w:p>
  </w:footnote>
  <w:footnote w:type="continuationSeparator" w:id="0">
    <w:p w:rsidR="00BC4971" w:rsidRDefault="00BC4971" w:rsidP="005B4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710" w:rsidRDefault="00BD36E7">
    <w:pPr>
      <w:pStyle w:val="Header"/>
    </w:pPr>
    <w:r>
      <w:t>Physics Lab report</w:t>
    </w:r>
    <w:r>
      <w:tab/>
    </w:r>
    <w:r w:rsidRPr="00BD36E7">
      <w:rPr>
        <w:sz w:val="32"/>
        <w:szCs w:val="32"/>
      </w:rPr>
      <w:t>Experiment 2</w:t>
    </w:r>
    <w:r w:rsidR="005B4710">
      <w:tab/>
      <w:t xml:space="preserve">September </w:t>
    </w:r>
    <w:r>
      <w:t>25</w:t>
    </w:r>
    <w:r w:rsidR="00C877D3">
      <w:t>,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891"/>
    <w:multiLevelType w:val="hybridMultilevel"/>
    <w:tmpl w:val="9B4C3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810C5"/>
    <w:multiLevelType w:val="hybridMultilevel"/>
    <w:tmpl w:val="DD2C7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F019C"/>
    <w:multiLevelType w:val="hybridMultilevel"/>
    <w:tmpl w:val="1BEEC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C5228"/>
    <w:multiLevelType w:val="hybridMultilevel"/>
    <w:tmpl w:val="61960BD4"/>
    <w:lvl w:ilvl="0" w:tplc="698818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1084E"/>
    <w:multiLevelType w:val="hybridMultilevel"/>
    <w:tmpl w:val="16309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F231A"/>
    <w:multiLevelType w:val="hybridMultilevel"/>
    <w:tmpl w:val="C472E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62BAD"/>
    <w:multiLevelType w:val="hybridMultilevel"/>
    <w:tmpl w:val="A59A8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2E8E"/>
    <w:rsid w:val="00003124"/>
    <w:rsid w:val="00021B25"/>
    <w:rsid w:val="0005456D"/>
    <w:rsid w:val="0009418C"/>
    <w:rsid w:val="000B2D4A"/>
    <w:rsid w:val="000C0D2C"/>
    <w:rsid w:val="000F1447"/>
    <w:rsid w:val="000F73EF"/>
    <w:rsid w:val="00103943"/>
    <w:rsid w:val="001372B2"/>
    <w:rsid w:val="00137CF3"/>
    <w:rsid w:val="00145862"/>
    <w:rsid w:val="001722D7"/>
    <w:rsid w:val="001E4C0A"/>
    <w:rsid w:val="001F4B1D"/>
    <w:rsid w:val="00227E88"/>
    <w:rsid w:val="00232BC8"/>
    <w:rsid w:val="0025545E"/>
    <w:rsid w:val="00263625"/>
    <w:rsid w:val="00270D2D"/>
    <w:rsid w:val="0027195A"/>
    <w:rsid w:val="002D74E2"/>
    <w:rsid w:val="0030032B"/>
    <w:rsid w:val="00303A70"/>
    <w:rsid w:val="0033139D"/>
    <w:rsid w:val="00350092"/>
    <w:rsid w:val="0036430A"/>
    <w:rsid w:val="00367958"/>
    <w:rsid w:val="00390A5C"/>
    <w:rsid w:val="003A1DE4"/>
    <w:rsid w:val="003C662C"/>
    <w:rsid w:val="003D4C8A"/>
    <w:rsid w:val="003E3675"/>
    <w:rsid w:val="0040229D"/>
    <w:rsid w:val="00485110"/>
    <w:rsid w:val="00497C4F"/>
    <w:rsid w:val="004A0058"/>
    <w:rsid w:val="004B6142"/>
    <w:rsid w:val="004D26B7"/>
    <w:rsid w:val="004F3CDE"/>
    <w:rsid w:val="004F4020"/>
    <w:rsid w:val="004F5C34"/>
    <w:rsid w:val="00507365"/>
    <w:rsid w:val="00525964"/>
    <w:rsid w:val="00562E8E"/>
    <w:rsid w:val="00585FA8"/>
    <w:rsid w:val="005A4F11"/>
    <w:rsid w:val="005B19E5"/>
    <w:rsid w:val="005B4710"/>
    <w:rsid w:val="006075E0"/>
    <w:rsid w:val="00611363"/>
    <w:rsid w:val="00617607"/>
    <w:rsid w:val="00627D49"/>
    <w:rsid w:val="006713AC"/>
    <w:rsid w:val="00680423"/>
    <w:rsid w:val="00680ACD"/>
    <w:rsid w:val="0068206D"/>
    <w:rsid w:val="006C3BFB"/>
    <w:rsid w:val="006D0D06"/>
    <w:rsid w:val="006E2294"/>
    <w:rsid w:val="00721BA0"/>
    <w:rsid w:val="00746BE9"/>
    <w:rsid w:val="0079642B"/>
    <w:rsid w:val="00796F13"/>
    <w:rsid w:val="007A07D4"/>
    <w:rsid w:val="007C50CF"/>
    <w:rsid w:val="007E0621"/>
    <w:rsid w:val="00802E86"/>
    <w:rsid w:val="00811991"/>
    <w:rsid w:val="00817FE3"/>
    <w:rsid w:val="00830894"/>
    <w:rsid w:val="00834246"/>
    <w:rsid w:val="008344EB"/>
    <w:rsid w:val="00854599"/>
    <w:rsid w:val="00864A27"/>
    <w:rsid w:val="008853C8"/>
    <w:rsid w:val="008A68C6"/>
    <w:rsid w:val="008E360C"/>
    <w:rsid w:val="008F5ACC"/>
    <w:rsid w:val="00926E27"/>
    <w:rsid w:val="00941A4C"/>
    <w:rsid w:val="00990102"/>
    <w:rsid w:val="00997A7E"/>
    <w:rsid w:val="009A1976"/>
    <w:rsid w:val="00A1110C"/>
    <w:rsid w:val="00A157A6"/>
    <w:rsid w:val="00A22415"/>
    <w:rsid w:val="00A27CD9"/>
    <w:rsid w:val="00A715EE"/>
    <w:rsid w:val="00A91A27"/>
    <w:rsid w:val="00A943F9"/>
    <w:rsid w:val="00A95A46"/>
    <w:rsid w:val="00AB464F"/>
    <w:rsid w:val="00AC0D2A"/>
    <w:rsid w:val="00AC66BF"/>
    <w:rsid w:val="00B14094"/>
    <w:rsid w:val="00B21C30"/>
    <w:rsid w:val="00B360BA"/>
    <w:rsid w:val="00B56658"/>
    <w:rsid w:val="00BB3681"/>
    <w:rsid w:val="00BC4971"/>
    <w:rsid w:val="00BD36E7"/>
    <w:rsid w:val="00BD3747"/>
    <w:rsid w:val="00C329F4"/>
    <w:rsid w:val="00C37BFB"/>
    <w:rsid w:val="00C6307A"/>
    <w:rsid w:val="00C7090A"/>
    <w:rsid w:val="00C732D8"/>
    <w:rsid w:val="00C877D3"/>
    <w:rsid w:val="00C95C65"/>
    <w:rsid w:val="00CB5E81"/>
    <w:rsid w:val="00D27427"/>
    <w:rsid w:val="00D301A5"/>
    <w:rsid w:val="00D34208"/>
    <w:rsid w:val="00D44F18"/>
    <w:rsid w:val="00DA1312"/>
    <w:rsid w:val="00DB3974"/>
    <w:rsid w:val="00DD547A"/>
    <w:rsid w:val="00DF0084"/>
    <w:rsid w:val="00E07D4E"/>
    <w:rsid w:val="00E12176"/>
    <w:rsid w:val="00E134B4"/>
    <w:rsid w:val="00E731FD"/>
    <w:rsid w:val="00ED146C"/>
    <w:rsid w:val="00EF4377"/>
    <w:rsid w:val="00F17923"/>
    <w:rsid w:val="00F375CC"/>
    <w:rsid w:val="00F7088F"/>
    <w:rsid w:val="00FC6A57"/>
    <w:rsid w:val="00FD52A9"/>
    <w:rsid w:val="00FD54A8"/>
    <w:rsid w:val="00FE01D7"/>
    <w:rsid w:val="00FF06D6"/>
    <w:rsid w:val="00FF6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4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71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B4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4710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313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9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70D2D"/>
    <w:pPr>
      <w:ind w:left="720"/>
      <w:contextualSpacing/>
    </w:pPr>
  </w:style>
  <w:style w:type="table" w:styleId="TableGrid">
    <w:name w:val="Table Grid"/>
    <w:basedOn w:val="TableNormal"/>
    <w:uiPriority w:val="59"/>
    <w:rsid w:val="005A4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2</cp:revision>
  <dcterms:created xsi:type="dcterms:W3CDTF">2012-10-08T18:46:00Z</dcterms:created>
  <dcterms:modified xsi:type="dcterms:W3CDTF">2012-10-08T18:46:00Z</dcterms:modified>
</cp:coreProperties>
</file>