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80FB" w14:textId="77777777" w:rsidR="004C2DF7" w:rsidRPr="00C721D6" w:rsidRDefault="004C2DF7" w:rsidP="00204D9D">
      <w:pPr>
        <w:pStyle w:val="Title"/>
        <w:jc w:val="both"/>
        <w:rPr>
          <w:rFonts w:ascii="Verdana" w:hAnsi="Verdana"/>
          <w:b/>
        </w:rPr>
      </w:pPr>
      <w:r w:rsidRPr="00C721D6">
        <w:rPr>
          <w:rFonts w:ascii="Verdana" w:hAnsi="Verdana"/>
          <w:b/>
        </w:rPr>
        <w:t>Heap</w:t>
      </w:r>
    </w:p>
    <w:p w14:paraId="77C4D201" w14:textId="77777777" w:rsidR="004C2DF7" w:rsidRPr="00C721D6" w:rsidRDefault="004C2DF7" w:rsidP="00E03457">
      <w:pPr>
        <w:jc w:val="both"/>
        <w:rPr>
          <w:rFonts w:ascii="Verdana" w:hAnsi="Verdana"/>
        </w:rPr>
      </w:pPr>
      <w:r w:rsidRPr="00C721D6">
        <w:rPr>
          <w:rFonts w:ascii="Verdana" w:hAnsi="Verdana"/>
        </w:rPr>
        <w:t>A heap is a specialized tree-based data structure that satisfies the heap property.</w:t>
      </w:r>
    </w:p>
    <w:p w14:paraId="54B972BD" w14:textId="77777777" w:rsidR="004C2DF7" w:rsidRPr="00C721D6" w:rsidRDefault="004C2DF7" w:rsidP="00E03457">
      <w:pPr>
        <w:jc w:val="both"/>
        <w:rPr>
          <w:rFonts w:ascii="Verdana" w:hAnsi="Verdana"/>
        </w:rPr>
      </w:pPr>
      <w:r w:rsidRPr="00C721D6">
        <w:rPr>
          <w:rFonts w:ascii="Verdana" w:hAnsi="Verdana"/>
        </w:rPr>
        <w:t xml:space="preserve">Heap property: if P is a parent node of C, then </w:t>
      </w:r>
    </w:p>
    <w:p w14:paraId="69739898" w14:textId="77777777" w:rsidR="004C2DF7" w:rsidRPr="00C721D6" w:rsidRDefault="004C2DF7" w:rsidP="00E03457">
      <w:pPr>
        <w:pStyle w:val="ListParagraph"/>
        <w:numPr>
          <w:ilvl w:val="0"/>
          <w:numId w:val="1"/>
        </w:numPr>
        <w:jc w:val="both"/>
        <w:rPr>
          <w:rFonts w:ascii="Verdana" w:hAnsi="Verdana"/>
        </w:rPr>
      </w:pPr>
      <w:r w:rsidRPr="00C721D6">
        <w:rPr>
          <w:rFonts w:ascii="Verdana" w:hAnsi="Verdana"/>
        </w:rPr>
        <w:t xml:space="preserve">The key (the value) of P is either &gt;= the key of C (in a max heap) </w:t>
      </w:r>
    </w:p>
    <w:p w14:paraId="12B1FA8E" w14:textId="77777777" w:rsidR="004C2DF7" w:rsidRPr="00C721D6" w:rsidRDefault="004C2DF7" w:rsidP="00E03457">
      <w:pPr>
        <w:pStyle w:val="ListParagraph"/>
        <w:numPr>
          <w:ilvl w:val="0"/>
          <w:numId w:val="1"/>
        </w:numPr>
        <w:jc w:val="both"/>
        <w:rPr>
          <w:rFonts w:ascii="Verdana" w:hAnsi="Verdana"/>
        </w:rPr>
      </w:pPr>
      <w:r w:rsidRPr="00C721D6">
        <w:rPr>
          <w:rFonts w:ascii="Verdana" w:hAnsi="Verdana"/>
        </w:rPr>
        <w:t>The key (the value) of P is &lt;= to the key of C (in a min heap).</w:t>
      </w:r>
    </w:p>
    <w:p w14:paraId="50E5CC50" w14:textId="77777777" w:rsidR="004C2DF7" w:rsidRPr="00C721D6" w:rsidRDefault="004C2DF7" w:rsidP="00E03457">
      <w:pPr>
        <w:jc w:val="both"/>
        <w:rPr>
          <w:rFonts w:ascii="Verdana" w:hAnsi="Verdana"/>
        </w:rPr>
      </w:pPr>
      <w:r w:rsidRPr="00C721D6">
        <w:rPr>
          <w:rFonts w:ascii="Verdana" w:hAnsi="Verdana"/>
        </w:rPr>
        <w:t>The node at the "top" of the heap (with no parents) is called the root node.</w:t>
      </w:r>
    </w:p>
    <w:p w14:paraId="1ADBF1C8" w14:textId="77777777" w:rsidR="0041611A" w:rsidRPr="00C721D6" w:rsidRDefault="0041611A" w:rsidP="00E03457">
      <w:pPr>
        <w:jc w:val="both"/>
        <w:rPr>
          <w:rFonts w:ascii="Verdana" w:hAnsi="Verdana"/>
        </w:rPr>
      </w:pPr>
    </w:p>
    <w:p w14:paraId="02D73B89" w14:textId="77777777" w:rsidR="004C2DF7" w:rsidRPr="00C721D6" w:rsidRDefault="004C2DF7" w:rsidP="00E03457">
      <w:pPr>
        <w:jc w:val="both"/>
        <w:rPr>
          <w:rFonts w:ascii="Verdana" w:hAnsi="Verdana"/>
        </w:rPr>
      </w:pPr>
      <w:r w:rsidRPr="00C721D6">
        <w:rPr>
          <w:rFonts w:ascii="Verdana" w:hAnsi="Verdana"/>
        </w:rPr>
        <w:t>Introduced by J. W. J. Williams in 1964, as a data structure for the heapsort sorting algorithm</w:t>
      </w:r>
    </w:p>
    <w:p w14:paraId="16139AE3" w14:textId="77777777" w:rsidR="004C2DF7" w:rsidRPr="00C721D6" w:rsidRDefault="004C2DF7" w:rsidP="00E03457">
      <w:pPr>
        <w:jc w:val="both"/>
        <w:rPr>
          <w:rFonts w:ascii="Verdana" w:hAnsi="Verdana"/>
        </w:rPr>
      </w:pPr>
    </w:p>
    <w:p w14:paraId="0929BF14" w14:textId="77777777" w:rsidR="004C2DF7" w:rsidRPr="00C721D6" w:rsidRDefault="004C2DF7" w:rsidP="00E03457">
      <w:pPr>
        <w:jc w:val="both"/>
        <w:rPr>
          <w:rFonts w:ascii="Verdana" w:hAnsi="Verdana"/>
        </w:rPr>
      </w:pPr>
      <w:r w:rsidRPr="00C721D6">
        <w:rPr>
          <w:rFonts w:ascii="Verdana" w:hAnsi="Verdana"/>
        </w:rPr>
        <w:t xml:space="preserve">Heap is one maximally efficient implementation of an abstract data type called a priority queue, and in fact priority queues are often referred to as "heaps", regardless of how they may be implemented. </w:t>
      </w:r>
    </w:p>
    <w:p w14:paraId="219406C2" w14:textId="77777777" w:rsidR="004C2DF7" w:rsidRPr="00C721D6" w:rsidRDefault="004C2DF7" w:rsidP="00E03457">
      <w:pPr>
        <w:jc w:val="both"/>
        <w:rPr>
          <w:rFonts w:ascii="Verdana" w:hAnsi="Verdana"/>
        </w:rPr>
      </w:pPr>
      <w:r w:rsidRPr="00C721D6">
        <w:rPr>
          <w:rFonts w:ascii="Verdana" w:hAnsi="Verdana"/>
        </w:rPr>
        <w:t>A common implementation of a heap is the binary heap, in which the tree is a binary tree.</w:t>
      </w:r>
    </w:p>
    <w:p w14:paraId="46D4058F" w14:textId="77777777" w:rsidR="00320478" w:rsidRPr="00C721D6" w:rsidRDefault="00320478" w:rsidP="00E03457">
      <w:pPr>
        <w:jc w:val="both"/>
        <w:rPr>
          <w:rFonts w:ascii="Verdana" w:hAnsi="Verdana"/>
        </w:rPr>
      </w:pPr>
      <w:r w:rsidRPr="00C721D6">
        <w:rPr>
          <w:rFonts w:ascii="Verdana" w:hAnsi="Verdana"/>
          <w:noProof/>
          <w:lang w:val="en-IN" w:eastAsia="en-IN"/>
        </w:rPr>
        <w:drawing>
          <wp:inline distT="0" distB="0" distL="0" distR="0" wp14:anchorId="19E37FBB" wp14:editId="47A7F12A">
            <wp:extent cx="3543300" cy="2614711"/>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47" r="2597"/>
                    <a:stretch/>
                  </pic:blipFill>
                  <pic:spPr bwMode="auto">
                    <a:xfrm>
                      <a:off x="0" y="0"/>
                      <a:ext cx="3549594" cy="26193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E62AEC" w14:textId="77777777" w:rsidR="00320478" w:rsidRPr="00C721D6" w:rsidRDefault="00320478" w:rsidP="00E03457">
      <w:pPr>
        <w:jc w:val="both"/>
        <w:rPr>
          <w:rFonts w:ascii="Verdana" w:hAnsi="Verdana"/>
        </w:rPr>
      </w:pPr>
      <w:r w:rsidRPr="00C721D6">
        <w:rPr>
          <w:rFonts w:ascii="Verdana" w:hAnsi="Verdana"/>
        </w:rPr>
        <w:t>Example of a binary max-heap with node keys being integers from 1 to 100</w:t>
      </w:r>
    </w:p>
    <w:p w14:paraId="6F096FC1" w14:textId="77777777" w:rsidR="00A27C95" w:rsidRPr="00C721D6" w:rsidRDefault="00A27C95" w:rsidP="00E03457">
      <w:pPr>
        <w:pStyle w:val="Heading1"/>
        <w:jc w:val="both"/>
        <w:rPr>
          <w:rFonts w:ascii="Verdana" w:hAnsi="Verdana"/>
        </w:rPr>
      </w:pPr>
      <w:r w:rsidRPr="00C721D6">
        <w:rPr>
          <w:rFonts w:ascii="Verdana" w:hAnsi="Verdana"/>
        </w:rPr>
        <w:lastRenderedPageBreak/>
        <w:t>Operations</w:t>
      </w:r>
    </w:p>
    <w:p w14:paraId="58113F04" w14:textId="77777777" w:rsidR="00A27C95" w:rsidRPr="00C721D6" w:rsidRDefault="00A27C95" w:rsidP="00E03457">
      <w:pPr>
        <w:pStyle w:val="Heading2"/>
        <w:jc w:val="both"/>
        <w:rPr>
          <w:rFonts w:ascii="Verdana" w:hAnsi="Verdana"/>
        </w:rPr>
      </w:pPr>
      <w:r w:rsidRPr="00C721D6">
        <w:rPr>
          <w:rFonts w:ascii="Verdana" w:hAnsi="Verdana"/>
        </w:rPr>
        <w:t>Basic</w:t>
      </w:r>
    </w:p>
    <w:p w14:paraId="28AB58B1" w14:textId="77777777" w:rsidR="00A27C95" w:rsidRPr="00C721D6" w:rsidRDefault="00A27C95" w:rsidP="00E03457">
      <w:pPr>
        <w:jc w:val="both"/>
        <w:rPr>
          <w:rFonts w:ascii="Verdana" w:hAnsi="Verdana"/>
        </w:rPr>
      </w:pPr>
      <w:r w:rsidRPr="00C721D6">
        <w:rPr>
          <w:rFonts w:ascii="Verdana" w:hAnsi="Verdana"/>
          <w:b/>
        </w:rPr>
        <w:t>find-max [or find-min]:</w:t>
      </w:r>
      <w:r w:rsidRPr="00C721D6">
        <w:rPr>
          <w:rFonts w:ascii="Verdana" w:hAnsi="Verdana"/>
        </w:rPr>
        <w:t xml:space="preserve"> find a maximum item of a max-heap, or a minimum item of a min-heap, respectively (a.k.a. peek)</w:t>
      </w:r>
    </w:p>
    <w:p w14:paraId="507648C7" w14:textId="77777777" w:rsidR="00A27C95" w:rsidRPr="00C721D6" w:rsidRDefault="00A27C95" w:rsidP="00E03457">
      <w:pPr>
        <w:jc w:val="both"/>
        <w:rPr>
          <w:rFonts w:ascii="Verdana" w:hAnsi="Verdana"/>
        </w:rPr>
      </w:pPr>
      <w:r w:rsidRPr="00C721D6">
        <w:rPr>
          <w:rFonts w:ascii="Verdana" w:hAnsi="Verdana"/>
          <w:b/>
        </w:rPr>
        <w:t>insert:</w:t>
      </w:r>
      <w:r w:rsidRPr="00C721D6">
        <w:rPr>
          <w:rFonts w:ascii="Verdana" w:hAnsi="Verdana"/>
        </w:rPr>
        <w:t xml:space="preserve"> adding a new key to the heap (a.k.a., push)</w:t>
      </w:r>
    </w:p>
    <w:p w14:paraId="64D2E943" w14:textId="77777777" w:rsidR="00A27C95" w:rsidRPr="00C721D6" w:rsidRDefault="00A27C95" w:rsidP="00E03457">
      <w:pPr>
        <w:jc w:val="both"/>
        <w:rPr>
          <w:rFonts w:ascii="Verdana" w:hAnsi="Verdana"/>
        </w:rPr>
      </w:pPr>
      <w:r w:rsidRPr="00C721D6">
        <w:rPr>
          <w:rFonts w:ascii="Verdana" w:hAnsi="Verdana"/>
          <w:b/>
        </w:rPr>
        <w:t>extract-max [or extract-min]:</w:t>
      </w:r>
      <w:r w:rsidRPr="00C721D6">
        <w:rPr>
          <w:rFonts w:ascii="Verdana" w:hAnsi="Verdana"/>
        </w:rPr>
        <w:t xml:space="preserve"> returns the node of maximum value from a max heap [or minimum value from a min heap] after removing it from the heap (a.k.a., pop)</w:t>
      </w:r>
    </w:p>
    <w:p w14:paraId="0A4B898F" w14:textId="77777777" w:rsidR="00A27C95" w:rsidRPr="00C721D6" w:rsidRDefault="00A27C95" w:rsidP="00E03457">
      <w:pPr>
        <w:jc w:val="both"/>
        <w:rPr>
          <w:rFonts w:ascii="Verdana" w:hAnsi="Verdana"/>
        </w:rPr>
      </w:pPr>
      <w:r w:rsidRPr="00C721D6">
        <w:rPr>
          <w:rFonts w:ascii="Verdana" w:hAnsi="Verdana"/>
          <w:b/>
        </w:rPr>
        <w:t>delete-max [or delete-min]:</w:t>
      </w:r>
      <w:r w:rsidRPr="00C721D6">
        <w:rPr>
          <w:rFonts w:ascii="Verdana" w:hAnsi="Verdana"/>
        </w:rPr>
        <w:t xml:space="preserve"> removing the root node of a max heap [or min heap], respectively</w:t>
      </w:r>
    </w:p>
    <w:p w14:paraId="0EE8DABD" w14:textId="77777777" w:rsidR="00A27C95" w:rsidRPr="00C721D6" w:rsidRDefault="00A27C95" w:rsidP="00E03457">
      <w:pPr>
        <w:jc w:val="both"/>
        <w:rPr>
          <w:rFonts w:ascii="Verdana" w:hAnsi="Verdana"/>
        </w:rPr>
      </w:pPr>
      <w:r w:rsidRPr="00C721D6">
        <w:rPr>
          <w:rFonts w:ascii="Verdana" w:hAnsi="Verdana"/>
          <w:b/>
        </w:rPr>
        <w:t>replace:</w:t>
      </w:r>
      <w:r w:rsidRPr="00C721D6">
        <w:rPr>
          <w:rFonts w:ascii="Verdana" w:hAnsi="Verdana"/>
        </w:rPr>
        <w:t xml:space="preserve"> pop root and push a new key. More efficient than pop followed by push, since only need to balance once, not twice, and appropriate for fixed-size heaps</w:t>
      </w:r>
    </w:p>
    <w:p w14:paraId="161C4972" w14:textId="77777777" w:rsidR="00A27C95" w:rsidRPr="00C721D6" w:rsidRDefault="00A27C95" w:rsidP="00E03457">
      <w:pPr>
        <w:jc w:val="both"/>
        <w:rPr>
          <w:rFonts w:ascii="Verdana" w:hAnsi="Verdana"/>
        </w:rPr>
      </w:pPr>
    </w:p>
    <w:p w14:paraId="563A6A83" w14:textId="77777777" w:rsidR="00A27C95" w:rsidRPr="00C721D6" w:rsidRDefault="00A27C95" w:rsidP="00E03457">
      <w:pPr>
        <w:pStyle w:val="Heading2"/>
        <w:jc w:val="both"/>
        <w:rPr>
          <w:rFonts w:ascii="Verdana" w:hAnsi="Verdana"/>
        </w:rPr>
      </w:pPr>
      <w:r w:rsidRPr="00C721D6">
        <w:rPr>
          <w:rFonts w:ascii="Verdana" w:hAnsi="Verdana"/>
        </w:rPr>
        <w:t>Creation</w:t>
      </w:r>
    </w:p>
    <w:p w14:paraId="1A15041A" w14:textId="77777777" w:rsidR="00A27C95" w:rsidRPr="00C721D6" w:rsidRDefault="00A27C95" w:rsidP="00E03457">
      <w:pPr>
        <w:jc w:val="both"/>
        <w:rPr>
          <w:rFonts w:ascii="Verdana" w:hAnsi="Verdana"/>
        </w:rPr>
      </w:pPr>
      <w:r w:rsidRPr="00C721D6">
        <w:rPr>
          <w:rFonts w:ascii="Verdana" w:hAnsi="Verdana"/>
          <w:b/>
        </w:rPr>
        <w:t>create-heap:</w:t>
      </w:r>
      <w:r w:rsidRPr="00C721D6">
        <w:rPr>
          <w:rFonts w:ascii="Verdana" w:hAnsi="Verdana"/>
        </w:rPr>
        <w:t xml:space="preserve"> create an empty heap</w:t>
      </w:r>
    </w:p>
    <w:p w14:paraId="334B0B20" w14:textId="77777777" w:rsidR="00A27C95" w:rsidRPr="00C721D6" w:rsidRDefault="00A27C95" w:rsidP="00E03457">
      <w:pPr>
        <w:jc w:val="both"/>
        <w:rPr>
          <w:rFonts w:ascii="Verdana" w:hAnsi="Verdana"/>
        </w:rPr>
      </w:pPr>
      <w:proofErr w:type="spellStart"/>
      <w:r w:rsidRPr="00C721D6">
        <w:rPr>
          <w:rFonts w:ascii="Verdana" w:hAnsi="Verdana"/>
          <w:b/>
        </w:rPr>
        <w:t>heapify</w:t>
      </w:r>
      <w:proofErr w:type="spellEnd"/>
      <w:r w:rsidRPr="00C721D6">
        <w:rPr>
          <w:rFonts w:ascii="Verdana" w:hAnsi="Verdana"/>
          <w:b/>
        </w:rPr>
        <w:t>:</w:t>
      </w:r>
      <w:r w:rsidRPr="00C721D6">
        <w:rPr>
          <w:rFonts w:ascii="Verdana" w:hAnsi="Verdana"/>
        </w:rPr>
        <w:t xml:space="preserve"> create a heap out of given array of elements</w:t>
      </w:r>
    </w:p>
    <w:p w14:paraId="60F68E82" w14:textId="77777777" w:rsidR="00A27C95" w:rsidRPr="00C721D6" w:rsidRDefault="00A27C95" w:rsidP="00E03457">
      <w:pPr>
        <w:jc w:val="both"/>
        <w:rPr>
          <w:rFonts w:ascii="Verdana" w:hAnsi="Verdana"/>
        </w:rPr>
      </w:pPr>
      <w:r w:rsidRPr="00C721D6">
        <w:rPr>
          <w:rFonts w:ascii="Verdana" w:hAnsi="Verdana"/>
          <w:b/>
        </w:rPr>
        <w:t>merge (union):</w:t>
      </w:r>
      <w:r w:rsidRPr="00C721D6">
        <w:rPr>
          <w:rFonts w:ascii="Verdana" w:hAnsi="Verdana"/>
        </w:rPr>
        <w:t xml:space="preserve"> joining two heaps to form a valid new heap containing all the elements of both, preserving the original heaps</w:t>
      </w:r>
    </w:p>
    <w:p w14:paraId="6DC600CB" w14:textId="77777777" w:rsidR="00A27C95" w:rsidRPr="00C721D6" w:rsidRDefault="00A27C95" w:rsidP="00E03457">
      <w:pPr>
        <w:jc w:val="both"/>
        <w:rPr>
          <w:rFonts w:ascii="Verdana" w:hAnsi="Verdana"/>
        </w:rPr>
      </w:pPr>
      <w:r w:rsidRPr="00C721D6">
        <w:rPr>
          <w:rFonts w:ascii="Verdana" w:hAnsi="Verdana"/>
          <w:b/>
        </w:rPr>
        <w:t>meld:</w:t>
      </w:r>
      <w:r w:rsidRPr="00C721D6">
        <w:rPr>
          <w:rFonts w:ascii="Verdana" w:hAnsi="Verdana"/>
        </w:rPr>
        <w:t xml:space="preserve"> joining two heaps to form a valid new heap containing all the elements of both, destroying the original heaps</w:t>
      </w:r>
    </w:p>
    <w:p w14:paraId="60195757" w14:textId="77777777" w:rsidR="00A27C95" w:rsidRPr="00C721D6" w:rsidRDefault="00A27C95" w:rsidP="00E03457">
      <w:pPr>
        <w:jc w:val="both"/>
        <w:rPr>
          <w:rFonts w:ascii="Verdana" w:hAnsi="Verdana"/>
        </w:rPr>
      </w:pPr>
    </w:p>
    <w:p w14:paraId="47389E84" w14:textId="77777777" w:rsidR="00A27C95" w:rsidRPr="00C721D6" w:rsidRDefault="00A27C95" w:rsidP="00E03457">
      <w:pPr>
        <w:pStyle w:val="Heading2"/>
        <w:jc w:val="both"/>
        <w:rPr>
          <w:rFonts w:ascii="Verdana" w:hAnsi="Verdana"/>
        </w:rPr>
      </w:pPr>
      <w:r w:rsidRPr="00C721D6">
        <w:rPr>
          <w:rFonts w:ascii="Verdana" w:hAnsi="Verdana"/>
        </w:rPr>
        <w:t>Inspection</w:t>
      </w:r>
    </w:p>
    <w:p w14:paraId="6225F5BC" w14:textId="77777777" w:rsidR="00A27C95" w:rsidRPr="00C721D6" w:rsidRDefault="00A27C95" w:rsidP="00E03457">
      <w:pPr>
        <w:jc w:val="both"/>
        <w:rPr>
          <w:rFonts w:ascii="Verdana" w:hAnsi="Verdana"/>
        </w:rPr>
      </w:pPr>
      <w:r w:rsidRPr="00C721D6">
        <w:rPr>
          <w:rFonts w:ascii="Verdana" w:hAnsi="Verdana"/>
          <w:b/>
        </w:rPr>
        <w:t>size:</w:t>
      </w:r>
      <w:r w:rsidRPr="00C721D6">
        <w:rPr>
          <w:rFonts w:ascii="Verdana" w:hAnsi="Verdana"/>
        </w:rPr>
        <w:t xml:space="preserve"> return the number of items in the heap.</w:t>
      </w:r>
    </w:p>
    <w:p w14:paraId="65510795" w14:textId="77777777" w:rsidR="00A27C95" w:rsidRPr="00C721D6" w:rsidRDefault="00A27C95" w:rsidP="00E03457">
      <w:pPr>
        <w:jc w:val="both"/>
        <w:rPr>
          <w:rFonts w:ascii="Verdana" w:hAnsi="Verdana"/>
        </w:rPr>
      </w:pPr>
      <w:r w:rsidRPr="00C721D6">
        <w:rPr>
          <w:rFonts w:ascii="Verdana" w:hAnsi="Verdana"/>
          <w:b/>
        </w:rPr>
        <w:t>is-empty:</w:t>
      </w:r>
      <w:r w:rsidRPr="00C721D6">
        <w:rPr>
          <w:rFonts w:ascii="Verdana" w:hAnsi="Verdana"/>
        </w:rPr>
        <w:t xml:space="preserve"> return true if the heap is empty, false otherwise.</w:t>
      </w:r>
    </w:p>
    <w:p w14:paraId="709CDA9C" w14:textId="77777777" w:rsidR="00A27C95" w:rsidRPr="00C721D6" w:rsidRDefault="00A27C95" w:rsidP="00E03457">
      <w:pPr>
        <w:jc w:val="both"/>
        <w:rPr>
          <w:rFonts w:ascii="Verdana" w:hAnsi="Verdana"/>
        </w:rPr>
      </w:pPr>
    </w:p>
    <w:p w14:paraId="4C7B79B3" w14:textId="77777777" w:rsidR="00A27C95" w:rsidRPr="00C721D6" w:rsidRDefault="00A27C95" w:rsidP="00E03457">
      <w:pPr>
        <w:pStyle w:val="Heading2"/>
        <w:jc w:val="both"/>
        <w:rPr>
          <w:rFonts w:ascii="Verdana" w:hAnsi="Verdana"/>
        </w:rPr>
      </w:pPr>
      <w:r w:rsidRPr="00C721D6">
        <w:rPr>
          <w:rFonts w:ascii="Verdana" w:hAnsi="Verdana"/>
        </w:rPr>
        <w:t>Internal</w:t>
      </w:r>
    </w:p>
    <w:p w14:paraId="37F89893" w14:textId="77777777" w:rsidR="00A27C95" w:rsidRPr="00C721D6" w:rsidRDefault="00A27C95" w:rsidP="00E03457">
      <w:pPr>
        <w:jc w:val="both"/>
        <w:rPr>
          <w:rFonts w:ascii="Verdana" w:hAnsi="Verdana"/>
        </w:rPr>
      </w:pPr>
      <w:r w:rsidRPr="00C721D6">
        <w:rPr>
          <w:rFonts w:ascii="Verdana" w:hAnsi="Verdana"/>
          <w:b/>
        </w:rPr>
        <w:t>increase-key or decrease-key:</w:t>
      </w:r>
      <w:r w:rsidRPr="00C721D6">
        <w:rPr>
          <w:rFonts w:ascii="Verdana" w:hAnsi="Verdana"/>
        </w:rPr>
        <w:t xml:space="preserve"> updating a key within a max- or min-heap, respectively</w:t>
      </w:r>
    </w:p>
    <w:p w14:paraId="5702235B" w14:textId="77777777" w:rsidR="00A27C95" w:rsidRPr="00C721D6" w:rsidRDefault="00A27C95" w:rsidP="00E03457">
      <w:pPr>
        <w:jc w:val="both"/>
        <w:rPr>
          <w:rFonts w:ascii="Verdana" w:hAnsi="Verdana"/>
        </w:rPr>
      </w:pPr>
      <w:r w:rsidRPr="00C721D6">
        <w:rPr>
          <w:rFonts w:ascii="Verdana" w:hAnsi="Verdana"/>
          <w:b/>
        </w:rPr>
        <w:t>delete:</w:t>
      </w:r>
      <w:r w:rsidRPr="00C721D6">
        <w:rPr>
          <w:rFonts w:ascii="Verdana" w:hAnsi="Verdana"/>
        </w:rPr>
        <w:t xml:space="preserve"> delete an arbitrary node (followed by moving last node and sifting to maintain heap)</w:t>
      </w:r>
    </w:p>
    <w:p w14:paraId="08133FBD" w14:textId="77777777" w:rsidR="00A27C95" w:rsidRPr="00C721D6" w:rsidRDefault="00A27C95" w:rsidP="00E03457">
      <w:pPr>
        <w:jc w:val="both"/>
        <w:rPr>
          <w:rFonts w:ascii="Verdana" w:hAnsi="Verdana"/>
        </w:rPr>
      </w:pPr>
      <w:r w:rsidRPr="00C721D6">
        <w:rPr>
          <w:rFonts w:ascii="Verdana" w:hAnsi="Verdana"/>
          <w:b/>
        </w:rPr>
        <w:lastRenderedPageBreak/>
        <w:t>sift-up:</w:t>
      </w:r>
      <w:r w:rsidRPr="00C721D6">
        <w:rPr>
          <w:rFonts w:ascii="Verdana" w:hAnsi="Verdana"/>
        </w:rPr>
        <w:t xml:space="preserve"> move a node up in the tree, as long as needed; used to restore heap condition after insertion. Called "sift" because node moves up the tree until it reaches the correct level, as in a sieve.</w:t>
      </w:r>
    </w:p>
    <w:p w14:paraId="6580FBCB" w14:textId="77777777" w:rsidR="00A27C95" w:rsidRPr="00C721D6" w:rsidRDefault="00A27C95" w:rsidP="00E03457">
      <w:pPr>
        <w:jc w:val="both"/>
        <w:rPr>
          <w:rFonts w:ascii="Verdana" w:hAnsi="Verdana"/>
        </w:rPr>
      </w:pPr>
      <w:r w:rsidRPr="00C721D6">
        <w:rPr>
          <w:rFonts w:ascii="Verdana" w:hAnsi="Verdana"/>
          <w:b/>
        </w:rPr>
        <w:t>sift-down:</w:t>
      </w:r>
      <w:r w:rsidRPr="00C721D6">
        <w:rPr>
          <w:rFonts w:ascii="Verdana" w:hAnsi="Verdana"/>
        </w:rPr>
        <w:t xml:space="preserve"> move a node down in the tree, similar to sift-up; used to restore heap condition after deletion or replacement.</w:t>
      </w:r>
    </w:p>
    <w:p w14:paraId="20487530" w14:textId="77777777" w:rsidR="00A27C95" w:rsidRPr="00C721D6" w:rsidRDefault="00E03457" w:rsidP="00E03457">
      <w:pPr>
        <w:pStyle w:val="Heading1"/>
        <w:jc w:val="both"/>
        <w:rPr>
          <w:rFonts w:ascii="Verdana" w:hAnsi="Verdana"/>
        </w:rPr>
      </w:pPr>
      <w:r w:rsidRPr="00C721D6">
        <w:rPr>
          <w:rFonts w:ascii="Verdana" w:hAnsi="Verdana"/>
        </w:rPr>
        <w:t>Implementation</w:t>
      </w:r>
    </w:p>
    <w:p w14:paraId="16C46F22" w14:textId="77777777" w:rsidR="00E03457" w:rsidRPr="00C721D6" w:rsidRDefault="00E03457" w:rsidP="00E03457">
      <w:pPr>
        <w:jc w:val="both"/>
        <w:rPr>
          <w:rFonts w:ascii="Verdana" w:hAnsi="Verdana"/>
        </w:rPr>
      </w:pPr>
      <w:r w:rsidRPr="00C721D6">
        <w:rPr>
          <w:rFonts w:ascii="Verdana" w:hAnsi="Verdana"/>
        </w:rPr>
        <w:t>Heaps are usually implemented in an array (fixed size or dynamic array), and do not require pointers between elements. After an element is inserted into or deleted from a heap, the heap property may be violated and the heap must be balanced by internal operations.</w:t>
      </w:r>
    </w:p>
    <w:p w14:paraId="08E823C7" w14:textId="77777777" w:rsidR="00E03457" w:rsidRPr="00C721D6" w:rsidRDefault="00E03457" w:rsidP="00E03457">
      <w:pPr>
        <w:jc w:val="both"/>
        <w:rPr>
          <w:rFonts w:ascii="Verdana" w:hAnsi="Verdana"/>
        </w:rPr>
      </w:pPr>
    </w:p>
    <w:p w14:paraId="4CB13427" w14:textId="77777777" w:rsidR="00E03457" w:rsidRPr="00C721D6" w:rsidRDefault="00E03457" w:rsidP="00E03457">
      <w:pPr>
        <w:jc w:val="both"/>
        <w:rPr>
          <w:rFonts w:ascii="Verdana" w:hAnsi="Verdana"/>
        </w:rPr>
      </w:pPr>
      <w:r w:rsidRPr="00C721D6">
        <w:rPr>
          <w:rFonts w:ascii="Verdana" w:hAnsi="Verdana"/>
        </w:rPr>
        <w:t xml:space="preserve">Binary heaps may be represented in a very space-efficient way (as an implicit data structure) using an array alone. </w:t>
      </w:r>
    </w:p>
    <w:p w14:paraId="452A921C" w14:textId="77777777" w:rsidR="00E03457" w:rsidRPr="00C721D6" w:rsidRDefault="00E03457" w:rsidP="00E03457">
      <w:pPr>
        <w:jc w:val="both"/>
        <w:rPr>
          <w:rFonts w:ascii="Verdana" w:hAnsi="Verdana"/>
        </w:rPr>
      </w:pPr>
      <w:r w:rsidRPr="00C721D6">
        <w:rPr>
          <w:rFonts w:ascii="Verdana" w:hAnsi="Verdana"/>
        </w:rPr>
        <w:t xml:space="preserve">The first (or last) element will contain the root. The next two elements of the array contain its children. The next four contain the four children of the two child nodes, etc. </w:t>
      </w:r>
      <w:r w:rsidRPr="00C721D6">
        <w:rPr>
          <w:rFonts w:ascii="Verdana" w:hAnsi="Verdana"/>
          <w:b/>
        </w:rPr>
        <w:t>Thus the children of the node at position n would be at positions 2n and 2n + 1 in a one-based array, or 2n + 1 and 2n + 2 in a zero-based array</w:t>
      </w:r>
      <w:r w:rsidRPr="00C721D6">
        <w:rPr>
          <w:rFonts w:ascii="Verdana" w:hAnsi="Verdana"/>
        </w:rPr>
        <w:t xml:space="preserve">. </w:t>
      </w:r>
    </w:p>
    <w:p w14:paraId="0D342320" w14:textId="77777777" w:rsidR="00621C6C" w:rsidRPr="00C721D6" w:rsidRDefault="00E03457" w:rsidP="00E03457">
      <w:pPr>
        <w:jc w:val="both"/>
        <w:rPr>
          <w:rFonts w:ascii="Verdana" w:hAnsi="Verdana"/>
        </w:rPr>
      </w:pPr>
      <w:r w:rsidRPr="00C721D6">
        <w:rPr>
          <w:rFonts w:ascii="Verdana" w:hAnsi="Verdana"/>
        </w:rPr>
        <w:t xml:space="preserve">This allows moving up or down the tree by doing simple index computations. Balancing a heap is done by sift-up or sift-down operations (swapping elements which are out of order). As we can build a heap from an array without requiring extra memory, </w:t>
      </w:r>
      <w:r w:rsidRPr="00C721D6">
        <w:rPr>
          <w:rFonts w:ascii="Verdana" w:hAnsi="Verdana"/>
          <w:b/>
        </w:rPr>
        <w:t>heapsort can be used to sort an array in-place</w:t>
      </w:r>
      <w:r w:rsidRPr="00C721D6">
        <w:rPr>
          <w:rFonts w:ascii="Verdana" w:hAnsi="Verdana"/>
        </w:rPr>
        <w:t xml:space="preserve">. </w:t>
      </w:r>
      <w:r w:rsidRPr="00C721D6">
        <w:rPr>
          <w:rFonts w:ascii="Verdana" w:hAnsi="Verdana"/>
        </w:rPr>
        <w:tab/>
      </w:r>
    </w:p>
    <w:p w14:paraId="24344C22" w14:textId="77777777" w:rsidR="00621C6C" w:rsidRPr="00C721D6" w:rsidRDefault="009B3F65" w:rsidP="00E03457">
      <w:pPr>
        <w:pStyle w:val="Heading1"/>
        <w:jc w:val="both"/>
        <w:rPr>
          <w:rFonts w:ascii="Verdana" w:hAnsi="Verdana"/>
        </w:rPr>
      </w:pPr>
      <w:r w:rsidRPr="00C721D6">
        <w:rPr>
          <w:rFonts w:ascii="Verdana" w:hAnsi="Verdana"/>
        </w:rPr>
        <w:t>Time Complexity</w:t>
      </w:r>
    </w:p>
    <w:p w14:paraId="05596F19" w14:textId="77777777" w:rsidR="009B3F65" w:rsidRPr="00C721D6" w:rsidRDefault="00C4612C" w:rsidP="00E03457">
      <w:pPr>
        <w:jc w:val="both"/>
        <w:rPr>
          <w:rFonts w:ascii="Verdana" w:hAnsi="Verdana"/>
        </w:rPr>
      </w:pPr>
      <w:r w:rsidRPr="00C721D6">
        <w:rPr>
          <w:rFonts w:ascii="Verdana" w:hAnsi="Verdana"/>
        </w:rPr>
        <w:t>O(f) is an asymptotic upper bound and Θ(f) is an asymptotically tight bound. Function names assume a min-heap.</w:t>
      </w:r>
    </w:p>
    <w:tbl>
      <w:tblPr>
        <w:tblStyle w:val="GridTable4"/>
        <w:tblW w:w="5103" w:type="pct"/>
        <w:tblLook w:val="04A0" w:firstRow="1" w:lastRow="0" w:firstColumn="1" w:lastColumn="0" w:noHBand="0" w:noVBand="1"/>
      </w:tblPr>
      <w:tblGrid>
        <w:gridCol w:w="2026"/>
        <w:gridCol w:w="1874"/>
        <w:gridCol w:w="1790"/>
        <w:gridCol w:w="1790"/>
        <w:gridCol w:w="2063"/>
      </w:tblGrid>
      <w:tr w:rsidR="00E32901" w:rsidRPr="00C721D6" w14:paraId="4831A4D2" w14:textId="77777777" w:rsidTr="0057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14:paraId="5307D524" w14:textId="77777777" w:rsidR="00E32901" w:rsidRPr="00C721D6" w:rsidRDefault="00E32901" w:rsidP="00E03457">
            <w:pPr>
              <w:spacing w:after="200" w:line="276" w:lineRule="auto"/>
              <w:jc w:val="both"/>
              <w:rPr>
                <w:rFonts w:ascii="Verdana" w:hAnsi="Verdana"/>
              </w:rPr>
            </w:pPr>
            <w:r w:rsidRPr="00C721D6">
              <w:rPr>
                <w:rFonts w:ascii="Verdana" w:hAnsi="Verdana"/>
              </w:rPr>
              <w:t>Operation</w:t>
            </w:r>
          </w:p>
        </w:tc>
        <w:tc>
          <w:tcPr>
            <w:tcW w:w="982" w:type="pct"/>
            <w:hideMark/>
          </w:tcPr>
          <w:p w14:paraId="6E88B5B8"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Binary</w:t>
            </w:r>
          </w:p>
        </w:tc>
        <w:tc>
          <w:tcPr>
            <w:tcW w:w="938" w:type="pct"/>
            <w:hideMark/>
          </w:tcPr>
          <w:p w14:paraId="0DB0466A"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Leftist</w:t>
            </w:r>
          </w:p>
        </w:tc>
        <w:tc>
          <w:tcPr>
            <w:tcW w:w="938" w:type="pct"/>
            <w:hideMark/>
          </w:tcPr>
          <w:p w14:paraId="3E89F9A5"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Binomial</w:t>
            </w:r>
          </w:p>
        </w:tc>
        <w:tc>
          <w:tcPr>
            <w:tcW w:w="1082" w:type="pct"/>
            <w:hideMark/>
          </w:tcPr>
          <w:p w14:paraId="4E3AFE11"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Fibonacci</w:t>
            </w:r>
          </w:p>
        </w:tc>
      </w:tr>
      <w:tr w:rsidR="00E32901" w:rsidRPr="00C721D6" w14:paraId="7ABC05F4" w14:textId="77777777" w:rsidTr="0057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14:paraId="338CF38B" w14:textId="77777777" w:rsidR="00E32901" w:rsidRPr="00C721D6" w:rsidRDefault="00E32901" w:rsidP="00E03457">
            <w:pPr>
              <w:spacing w:after="200" w:line="276" w:lineRule="auto"/>
              <w:jc w:val="both"/>
              <w:rPr>
                <w:rFonts w:ascii="Verdana" w:hAnsi="Verdana"/>
              </w:rPr>
            </w:pPr>
            <w:r w:rsidRPr="00C721D6">
              <w:rPr>
                <w:rFonts w:ascii="Verdana" w:hAnsi="Verdana"/>
              </w:rPr>
              <w:t>find-min</w:t>
            </w:r>
          </w:p>
        </w:tc>
        <w:tc>
          <w:tcPr>
            <w:tcW w:w="982" w:type="pct"/>
            <w:hideMark/>
          </w:tcPr>
          <w:p w14:paraId="4167DA83"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38" w:type="pct"/>
            <w:hideMark/>
          </w:tcPr>
          <w:p w14:paraId="4836A436"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38" w:type="pct"/>
            <w:hideMark/>
          </w:tcPr>
          <w:p w14:paraId="73469689"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1082" w:type="pct"/>
            <w:hideMark/>
          </w:tcPr>
          <w:p w14:paraId="760A0DB0"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r w:rsidR="00E32901" w:rsidRPr="00C721D6" w14:paraId="7699AF7E" w14:textId="77777777" w:rsidTr="00575A07">
        <w:tc>
          <w:tcPr>
            <w:cnfStyle w:val="001000000000" w:firstRow="0" w:lastRow="0" w:firstColumn="1" w:lastColumn="0" w:oddVBand="0" w:evenVBand="0" w:oddHBand="0" w:evenHBand="0" w:firstRowFirstColumn="0" w:firstRowLastColumn="0" w:lastRowFirstColumn="0" w:lastRowLastColumn="0"/>
            <w:tcW w:w="1061" w:type="pct"/>
            <w:hideMark/>
          </w:tcPr>
          <w:p w14:paraId="1A3D6CEF" w14:textId="77777777" w:rsidR="00E32901" w:rsidRPr="00C721D6" w:rsidRDefault="00E32901" w:rsidP="00E03457">
            <w:pPr>
              <w:spacing w:after="200" w:line="276" w:lineRule="auto"/>
              <w:jc w:val="both"/>
              <w:rPr>
                <w:rFonts w:ascii="Verdana" w:hAnsi="Verdana"/>
              </w:rPr>
            </w:pPr>
            <w:r w:rsidRPr="00C721D6">
              <w:rPr>
                <w:rFonts w:ascii="Verdana" w:hAnsi="Verdana"/>
              </w:rPr>
              <w:t>delete-min</w:t>
            </w:r>
          </w:p>
        </w:tc>
        <w:tc>
          <w:tcPr>
            <w:tcW w:w="982" w:type="pct"/>
            <w:hideMark/>
          </w:tcPr>
          <w:p w14:paraId="4188DA13"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938" w:type="pct"/>
            <w:hideMark/>
          </w:tcPr>
          <w:p w14:paraId="3A22EF28"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938" w:type="pct"/>
            <w:hideMark/>
          </w:tcPr>
          <w:p w14:paraId="693DACB7"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1082" w:type="pct"/>
            <w:hideMark/>
          </w:tcPr>
          <w:p w14:paraId="7E17EADA"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w:t>
            </w:r>
          </w:p>
        </w:tc>
      </w:tr>
      <w:tr w:rsidR="00E32901" w:rsidRPr="00C721D6" w14:paraId="29173F14" w14:textId="77777777" w:rsidTr="0057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14:paraId="00EE702F" w14:textId="77777777" w:rsidR="00E32901" w:rsidRPr="00C721D6" w:rsidRDefault="0070649E" w:rsidP="00E03457">
            <w:pPr>
              <w:spacing w:after="200" w:line="276" w:lineRule="auto"/>
              <w:jc w:val="both"/>
              <w:rPr>
                <w:rFonts w:ascii="Verdana" w:hAnsi="Verdana"/>
              </w:rPr>
            </w:pPr>
            <w:r w:rsidRPr="00C721D6">
              <w:rPr>
                <w:rFonts w:ascii="Verdana" w:hAnsi="Verdana"/>
              </w:rPr>
              <w:t>insert</w:t>
            </w:r>
          </w:p>
        </w:tc>
        <w:tc>
          <w:tcPr>
            <w:tcW w:w="982" w:type="pct"/>
            <w:hideMark/>
          </w:tcPr>
          <w:p w14:paraId="565274D8"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w:t>
            </w:r>
          </w:p>
        </w:tc>
        <w:tc>
          <w:tcPr>
            <w:tcW w:w="938" w:type="pct"/>
            <w:hideMark/>
          </w:tcPr>
          <w:p w14:paraId="34595E09"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938" w:type="pct"/>
            <w:hideMark/>
          </w:tcPr>
          <w:p w14:paraId="63793CDC"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1082" w:type="pct"/>
            <w:hideMark/>
          </w:tcPr>
          <w:p w14:paraId="3D20A99A"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r w:rsidR="00E32901" w:rsidRPr="00C721D6" w14:paraId="6511A5A8" w14:textId="77777777" w:rsidTr="00575A07">
        <w:tc>
          <w:tcPr>
            <w:cnfStyle w:val="001000000000" w:firstRow="0" w:lastRow="0" w:firstColumn="1" w:lastColumn="0" w:oddVBand="0" w:evenVBand="0" w:oddHBand="0" w:evenHBand="0" w:firstRowFirstColumn="0" w:firstRowLastColumn="0" w:lastRowFirstColumn="0" w:lastRowLastColumn="0"/>
            <w:tcW w:w="1061" w:type="pct"/>
            <w:hideMark/>
          </w:tcPr>
          <w:p w14:paraId="7BDBBCB3" w14:textId="77777777" w:rsidR="00E32901" w:rsidRPr="00C721D6" w:rsidRDefault="00E32901" w:rsidP="00E03457">
            <w:pPr>
              <w:spacing w:after="200" w:line="276" w:lineRule="auto"/>
              <w:jc w:val="both"/>
              <w:rPr>
                <w:rFonts w:ascii="Verdana" w:hAnsi="Verdana"/>
              </w:rPr>
            </w:pPr>
            <w:r w:rsidRPr="00C721D6">
              <w:rPr>
                <w:rFonts w:ascii="Verdana" w:hAnsi="Verdana"/>
              </w:rPr>
              <w:t>decrease-key</w:t>
            </w:r>
          </w:p>
        </w:tc>
        <w:tc>
          <w:tcPr>
            <w:tcW w:w="982" w:type="pct"/>
            <w:hideMark/>
          </w:tcPr>
          <w:p w14:paraId="37E32872"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938" w:type="pct"/>
            <w:hideMark/>
          </w:tcPr>
          <w:p w14:paraId="20937C5A"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w:t>
            </w:r>
            <w:r w:rsidRPr="00C721D6">
              <w:rPr>
                <w:rFonts w:ascii="Verdana" w:hAnsi="Verdana"/>
                <w:i/>
                <w:iCs/>
              </w:rPr>
              <w:t>n</w:t>
            </w:r>
            <w:r w:rsidRPr="00C721D6">
              <w:rPr>
                <w:rFonts w:ascii="Verdana" w:hAnsi="Verdana"/>
              </w:rPr>
              <w:t>)</w:t>
            </w:r>
          </w:p>
        </w:tc>
        <w:tc>
          <w:tcPr>
            <w:tcW w:w="938" w:type="pct"/>
            <w:hideMark/>
          </w:tcPr>
          <w:p w14:paraId="5516417D"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1082" w:type="pct"/>
            <w:hideMark/>
          </w:tcPr>
          <w:p w14:paraId="51DB4C79"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r w:rsidR="00E32901" w:rsidRPr="00C721D6" w14:paraId="3B741826" w14:textId="77777777" w:rsidTr="0057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14:paraId="710D06DA" w14:textId="77777777" w:rsidR="00E32901" w:rsidRPr="00C721D6" w:rsidRDefault="0070649E" w:rsidP="00E03457">
            <w:pPr>
              <w:spacing w:after="200" w:line="276" w:lineRule="auto"/>
              <w:jc w:val="both"/>
              <w:rPr>
                <w:rFonts w:ascii="Verdana" w:hAnsi="Verdana"/>
              </w:rPr>
            </w:pPr>
            <w:r w:rsidRPr="00C721D6">
              <w:rPr>
                <w:rFonts w:ascii="Verdana" w:hAnsi="Verdana"/>
              </w:rPr>
              <w:t>M</w:t>
            </w:r>
            <w:r w:rsidR="00E32901" w:rsidRPr="00C721D6">
              <w:rPr>
                <w:rFonts w:ascii="Verdana" w:hAnsi="Verdana"/>
              </w:rPr>
              <w:t>erge</w:t>
            </w:r>
          </w:p>
        </w:tc>
        <w:tc>
          <w:tcPr>
            <w:tcW w:w="982" w:type="pct"/>
            <w:hideMark/>
          </w:tcPr>
          <w:p w14:paraId="1BCCDDD2"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w:t>
            </w:r>
            <w:r w:rsidRPr="00C721D6">
              <w:rPr>
                <w:rFonts w:ascii="Verdana" w:hAnsi="Verdana"/>
                <w:i/>
                <w:iCs/>
              </w:rPr>
              <w:t>n</w:t>
            </w:r>
            <w:r w:rsidRPr="00C721D6">
              <w:rPr>
                <w:rFonts w:ascii="Verdana" w:hAnsi="Verdana"/>
              </w:rPr>
              <w:t>)</w:t>
            </w:r>
          </w:p>
        </w:tc>
        <w:tc>
          <w:tcPr>
            <w:tcW w:w="938" w:type="pct"/>
            <w:hideMark/>
          </w:tcPr>
          <w:p w14:paraId="1D668840"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(log </w:t>
            </w:r>
            <w:r w:rsidRPr="00C721D6">
              <w:rPr>
                <w:rFonts w:ascii="Verdana" w:hAnsi="Verdana"/>
                <w:i/>
                <w:iCs/>
              </w:rPr>
              <w:t>n</w:t>
            </w:r>
            <w:r w:rsidRPr="00C721D6">
              <w:rPr>
                <w:rFonts w:ascii="Verdana" w:hAnsi="Verdana"/>
              </w:rPr>
              <w:t>)</w:t>
            </w:r>
          </w:p>
        </w:tc>
        <w:tc>
          <w:tcPr>
            <w:tcW w:w="938" w:type="pct"/>
            <w:hideMark/>
          </w:tcPr>
          <w:p w14:paraId="0185B341"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w:t>
            </w:r>
          </w:p>
        </w:tc>
        <w:tc>
          <w:tcPr>
            <w:tcW w:w="1082" w:type="pct"/>
            <w:hideMark/>
          </w:tcPr>
          <w:p w14:paraId="013A7A57"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bl>
    <w:p w14:paraId="6FCF4626" w14:textId="77777777" w:rsidR="009B3F65" w:rsidRPr="00C721D6" w:rsidRDefault="009B3F65" w:rsidP="00E03457">
      <w:pPr>
        <w:jc w:val="both"/>
        <w:rPr>
          <w:rFonts w:ascii="Verdana" w:hAnsi="Verdana"/>
        </w:rPr>
      </w:pPr>
    </w:p>
    <w:tbl>
      <w:tblPr>
        <w:tblStyle w:val="GridTable4"/>
        <w:tblW w:w="5126" w:type="pct"/>
        <w:tblLook w:val="04A0" w:firstRow="1" w:lastRow="0" w:firstColumn="1" w:lastColumn="0" w:noHBand="0" w:noVBand="1"/>
      </w:tblPr>
      <w:tblGrid>
        <w:gridCol w:w="1917"/>
        <w:gridCol w:w="1871"/>
        <w:gridCol w:w="1821"/>
        <w:gridCol w:w="1906"/>
        <w:gridCol w:w="2071"/>
      </w:tblGrid>
      <w:tr w:rsidR="00E32901" w:rsidRPr="00C721D6" w14:paraId="1574E549" w14:textId="77777777" w:rsidTr="004F7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14:paraId="7DC31750" w14:textId="77777777" w:rsidR="00E32901" w:rsidRPr="00C721D6" w:rsidRDefault="00E32901" w:rsidP="00E03457">
            <w:pPr>
              <w:spacing w:after="200" w:line="276" w:lineRule="auto"/>
              <w:jc w:val="both"/>
              <w:rPr>
                <w:rFonts w:ascii="Verdana" w:hAnsi="Verdana"/>
              </w:rPr>
            </w:pPr>
            <w:r w:rsidRPr="00C721D6">
              <w:rPr>
                <w:rFonts w:ascii="Verdana" w:hAnsi="Verdana"/>
              </w:rPr>
              <w:t>Operation</w:t>
            </w:r>
          </w:p>
        </w:tc>
        <w:tc>
          <w:tcPr>
            <w:tcW w:w="976" w:type="pct"/>
            <w:hideMark/>
          </w:tcPr>
          <w:p w14:paraId="40624D7A"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Pairing</w:t>
            </w:r>
          </w:p>
        </w:tc>
        <w:tc>
          <w:tcPr>
            <w:tcW w:w="950" w:type="pct"/>
            <w:hideMark/>
          </w:tcPr>
          <w:p w14:paraId="16430D13"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Brodal</w:t>
            </w:r>
          </w:p>
        </w:tc>
        <w:tc>
          <w:tcPr>
            <w:tcW w:w="994" w:type="pct"/>
            <w:hideMark/>
          </w:tcPr>
          <w:p w14:paraId="25595DE2"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Rank-pairing</w:t>
            </w:r>
          </w:p>
        </w:tc>
        <w:tc>
          <w:tcPr>
            <w:tcW w:w="1080" w:type="pct"/>
            <w:hideMark/>
          </w:tcPr>
          <w:p w14:paraId="7073619E" w14:textId="77777777" w:rsidR="00E32901" w:rsidRPr="00C721D6"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rPr>
              <w:t>Strict Fibonacci</w:t>
            </w:r>
          </w:p>
        </w:tc>
      </w:tr>
      <w:tr w:rsidR="00E32901" w:rsidRPr="00C721D6" w14:paraId="28623036" w14:textId="77777777" w:rsidTr="004F7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14:paraId="408CD0CD" w14:textId="77777777" w:rsidR="00E32901" w:rsidRPr="00C721D6" w:rsidRDefault="00E32901" w:rsidP="00E03457">
            <w:pPr>
              <w:spacing w:after="200" w:line="276" w:lineRule="auto"/>
              <w:jc w:val="both"/>
              <w:rPr>
                <w:rFonts w:ascii="Verdana" w:hAnsi="Verdana"/>
              </w:rPr>
            </w:pPr>
            <w:r w:rsidRPr="00C721D6">
              <w:rPr>
                <w:rFonts w:ascii="Verdana" w:hAnsi="Verdana"/>
              </w:rPr>
              <w:t>find-min</w:t>
            </w:r>
          </w:p>
        </w:tc>
        <w:tc>
          <w:tcPr>
            <w:tcW w:w="976" w:type="pct"/>
            <w:hideMark/>
          </w:tcPr>
          <w:p w14:paraId="7533138C"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50" w:type="pct"/>
            <w:hideMark/>
          </w:tcPr>
          <w:p w14:paraId="4381E236"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94" w:type="pct"/>
            <w:hideMark/>
          </w:tcPr>
          <w:p w14:paraId="68D0114C"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1080" w:type="pct"/>
            <w:hideMark/>
          </w:tcPr>
          <w:p w14:paraId="11348F17"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r w:rsidR="00E32901" w:rsidRPr="00C721D6" w14:paraId="7587B53C" w14:textId="77777777" w:rsidTr="004F7D89">
        <w:tc>
          <w:tcPr>
            <w:cnfStyle w:val="001000000000" w:firstRow="0" w:lastRow="0" w:firstColumn="1" w:lastColumn="0" w:oddVBand="0" w:evenVBand="0" w:oddHBand="0" w:evenHBand="0" w:firstRowFirstColumn="0" w:firstRowLastColumn="0" w:lastRowFirstColumn="0" w:lastRowLastColumn="0"/>
            <w:tcW w:w="1000" w:type="pct"/>
            <w:hideMark/>
          </w:tcPr>
          <w:p w14:paraId="59E04CB3" w14:textId="77777777" w:rsidR="00E32901" w:rsidRPr="00C721D6" w:rsidRDefault="00E32901" w:rsidP="00E03457">
            <w:pPr>
              <w:spacing w:after="200" w:line="276" w:lineRule="auto"/>
              <w:jc w:val="both"/>
              <w:rPr>
                <w:rFonts w:ascii="Verdana" w:hAnsi="Verdana"/>
              </w:rPr>
            </w:pPr>
            <w:r w:rsidRPr="00C721D6">
              <w:rPr>
                <w:rFonts w:ascii="Verdana" w:hAnsi="Verdana"/>
              </w:rPr>
              <w:t>delete-min</w:t>
            </w:r>
          </w:p>
        </w:tc>
        <w:tc>
          <w:tcPr>
            <w:tcW w:w="976" w:type="pct"/>
            <w:hideMark/>
          </w:tcPr>
          <w:p w14:paraId="0CEB5B01"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 xml:space="preserve">) </w:t>
            </w:r>
          </w:p>
        </w:tc>
        <w:tc>
          <w:tcPr>
            <w:tcW w:w="950" w:type="pct"/>
            <w:hideMark/>
          </w:tcPr>
          <w:p w14:paraId="3C0EDF06"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w:t>
            </w:r>
          </w:p>
        </w:tc>
        <w:tc>
          <w:tcPr>
            <w:tcW w:w="994" w:type="pct"/>
            <w:hideMark/>
          </w:tcPr>
          <w:p w14:paraId="218EC2B9"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 xml:space="preserve">) </w:t>
            </w:r>
          </w:p>
        </w:tc>
        <w:tc>
          <w:tcPr>
            <w:tcW w:w="1080" w:type="pct"/>
            <w:hideMark/>
          </w:tcPr>
          <w:p w14:paraId="7CD0E901"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w:t>
            </w:r>
          </w:p>
        </w:tc>
      </w:tr>
      <w:tr w:rsidR="00E32901" w:rsidRPr="00C721D6" w14:paraId="55FC75DB" w14:textId="77777777" w:rsidTr="004F7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14:paraId="7240B1F5" w14:textId="77777777" w:rsidR="00E32901" w:rsidRPr="00C721D6" w:rsidRDefault="004F7D89" w:rsidP="00E03457">
            <w:pPr>
              <w:spacing w:after="200" w:line="276" w:lineRule="auto"/>
              <w:jc w:val="both"/>
              <w:rPr>
                <w:rFonts w:ascii="Verdana" w:hAnsi="Verdana"/>
              </w:rPr>
            </w:pPr>
            <w:r w:rsidRPr="00C721D6">
              <w:rPr>
                <w:rFonts w:ascii="Verdana" w:hAnsi="Verdana"/>
              </w:rPr>
              <w:t>I</w:t>
            </w:r>
            <w:r w:rsidR="00E32901" w:rsidRPr="00C721D6">
              <w:rPr>
                <w:rFonts w:ascii="Verdana" w:hAnsi="Verdana"/>
              </w:rPr>
              <w:t>nsert</w:t>
            </w:r>
          </w:p>
        </w:tc>
        <w:tc>
          <w:tcPr>
            <w:tcW w:w="976" w:type="pct"/>
            <w:hideMark/>
          </w:tcPr>
          <w:p w14:paraId="36F80B40"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50" w:type="pct"/>
            <w:hideMark/>
          </w:tcPr>
          <w:p w14:paraId="64D46AD8"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94" w:type="pct"/>
            <w:hideMark/>
          </w:tcPr>
          <w:p w14:paraId="4413BD15"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1080" w:type="pct"/>
            <w:hideMark/>
          </w:tcPr>
          <w:p w14:paraId="44499596"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r w:rsidR="00E32901" w:rsidRPr="00C721D6" w14:paraId="2DD03885" w14:textId="77777777" w:rsidTr="004F7D89">
        <w:tc>
          <w:tcPr>
            <w:cnfStyle w:val="001000000000" w:firstRow="0" w:lastRow="0" w:firstColumn="1" w:lastColumn="0" w:oddVBand="0" w:evenVBand="0" w:oddHBand="0" w:evenHBand="0" w:firstRowFirstColumn="0" w:firstRowLastColumn="0" w:lastRowFirstColumn="0" w:lastRowLastColumn="0"/>
            <w:tcW w:w="1000" w:type="pct"/>
            <w:hideMark/>
          </w:tcPr>
          <w:p w14:paraId="51422EA5" w14:textId="77777777" w:rsidR="00E32901" w:rsidRPr="00C721D6" w:rsidRDefault="00E32901" w:rsidP="00E03457">
            <w:pPr>
              <w:spacing w:after="200" w:line="276" w:lineRule="auto"/>
              <w:jc w:val="both"/>
              <w:rPr>
                <w:rFonts w:ascii="Verdana" w:hAnsi="Verdana"/>
              </w:rPr>
            </w:pPr>
            <w:r w:rsidRPr="00C721D6">
              <w:rPr>
                <w:rFonts w:ascii="Verdana" w:hAnsi="Verdana"/>
              </w:rPr>
              <w:t>decrease-key</w:t>
            </w:r>
          </w:p>
        </w:tc>
        <w:tc>
          <w:tcPr>
            <w:tcW w:w="976" w:type="pct"/>
            <w:hideMark/>
          </w:tcPr>
          <w:p w14:paraId="730452D8"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o</w:t>
            </w:r>
            <w:r w:rsidRPr="00C721D6">
              <w:rPr>
                <w:rFonts w:ascii="Verdana" w:hAnsi="Verdana"/>
              </w:rPr>
              <w:t>(log </w:t>
            </w:r>
            <w:r w:rsidRPr="00C721D6">
              <w:rPr>
                <w:rFonts w:ascii="Verdana" w:hAnsi="Verdana"/>
                <w:i/>
                <w:iCs/>
              </w:rPr>
              <w:t>n</w:t>
            </w:r>
            <w:r w:rsidRPr="00C721D6">
              <w:rPr>
                <w:rFonts w:ascii="Verdana" w:hAnsi="Verdana"/>
              </w:rPr>
              <w:t>)</w:t>
            </w:r>
          </w:p>
        </w:tc>
        <w:tc>
          <w:tcPr>
            <w:tcW w:w="950" w:type="pct"/>
            <w:hideMark/>
          </w:tcPr>
          <w:p w14:paraId="07EB1FAF"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94" w:type="pct"/>
            <w:hideMark/>
          </w:tcPr>
          <w:p w14:paraId="622B2FC0"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1080" w:type="pct"/>
            <w:hideMark/>
          </w:tcPr>
          <w:p w14:paraId="2DD3B4EA" w14:textId="77777777" w:rsidR="00E32901" w:rsidRPr="00C721D6"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r w:rsidR="00E32901" w:rsidRPr="00C721D6" w14:paraId="01D05D6A" w14:textId="77777777" w:rsidTr="004F7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14:paraId="2815130B" w14:textId="77777777" w:rsidR="00E32901" w:rsidRPr="00C721D6" w:rsidRDefault="004F7D89" w:rsidP="00E03457">
            <w:pPr>
              <w:spacing w:after="200" w:line="276" w:lineRule="auto"/>
              <w:jc w:val="both"/>
              <w:rPr>
                <w:rFonts w:ascii="Verdana" w:hAnsi="Verdana"/>
              </w:rPr>
            </w:pPr>
            <w:r w:rsidRPr="00C721D6">
              <w:rPr>
                <w:rFonts w:ascii="Verdana" w:hAnsi="Verdana"/>
              </w:rPr>
              <w:t>M</w:t>
            </w:r>
            <w:r w:rsidR="00E32901" w:rsidRPr="00C721D6">
              <w:rPr>
                <w:rFonts w:ascii="Verdana" w:hAnsi="Verdana"/>
              </w:rPr>
              <w:t>erge</w:t>
            </w:r>
          </w:p>
        </w:tc>
        <w:tc>
          <w:tcPr>
            <w:tcW w:w="976" w:type="pct"/>
            <w:hideMark/>
          </w:tcPr>
          <w:p w14:paraId="4B8866D6"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50" w:type="pct"/>
            <w:hideMark/>
          </w:tcPr>
          <w:p w14:paraId="4ADDF16A"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994" w:type="pct"/>
            <w:hideMark/>
          </w:tcPr>
          <w:p w14:paraId="3F8348E6"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c>
          <w:tcPr>
            <w:tcW w:w="1080" w:type="pct"/>
            <w:hideMark/>
          </w:tcPr>
          <w:p w14:paraId="2A906DC8" w14:textId="77777777" w:rsidR="00E32901" w:rsidRPr="00C721D6"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721D6">
              <w:rPr>
                <w:rFonts w:ascii="Verdana" w:hAnsi="Verdana"/>
                <w:i/>
                <w:iCs/>
              </w:rPr>
              <w:t>Θ</w:t>
            </w:r>
            <w:r w:rsidRPr="00C721D6">
              <w:rPr>
                <w:rFonts w:ascii="Verdana" w:hAnsi="Verdana"/>
              </w:rPr>
              <w:t>(1)</w:t>
            </w:r>
          </w:p>
        </w:tc>
      </w:tr>
    </w:tbl>
    <w:p w14:paraId="319C511F" w14:textId="77777777" w:rsidR="008829DB" w:rsidRPr="00C721D6" w:rsidRDefault="008829DB" w:rsidP="00E03457">
      <w:pPr>
        <w:pStyle w:val="Heading1"/>
        <w:jc w:val="both"/>
        <w:rPr>
          <w:rFonts w:ascii="Verdana" w:hAnsi="Verdana"/>
        </w:rPr>
      </w:pPr>
      <w:r w:rsidRPr="00C721D6">
        <w:rPr>
          <w:rFonts w:ascii="Verdana" w:hAnsi="Verdana"/>
        </w:rPr>
        <w:t>Applications</w:t>
      </w:r>
    </w:p>
    <w:p w14:paraId="54E0F325" w14:textId="77777777" w:rsidR="008829DB" w:rsidRPr="00C721D6" w:rsidRDefault="008829DB" w:rsidP="00E03457">
      <w:pPr>
        <w:pStyle w:val="ListParagraph"/>
        <w:numPr>
          <w:ilvl w:val="0"/>
          <w:numId w:val="2"/>
        </w:numPr>
        <w:jc w:val="both"/>
        <w:rPr>
          <w:rFonts w:ascii="Verdana" w:hAnsi="Verdana"/>
        </w:rPr>
      </w:pPr>
      <w:r w:rsidRPr="00C721D6">
        <w:rPr>
          <w:rFonts w:ascii="Verdana" w:hAnsi="Verdana"/>
        </w:rPr>
        <w:t>Heapsort: One of the best sorting methods being in-place and with no quadratic worst-case scenarios.</w:t>
      </w:r>
    </w:p>
    <w:p w14:paraId="54DCBDF6" w14:textId="77777777" w:rsidR="008829DB" w:rsidRPr="00C721D6" w:rsidRDefault="008829DB" w:rsidP="00E03457">
      <w:pPr>
        <w:pStyle w:val="ListParagraph"/>
        <w:numPr>
          <w:ilvl w:val="0"/>
          <w:numId w:val="2"/>
        </w:numPr>
        <w:jc w:val="both"/>
        <w:rPr>
          <w:rFonts w:ascii="Verdana" w:hAnsi="Verdana"/>
        </w:rPr>
      </w:pPr>
      <w:r w:rsidRPr="00C721D6">
        <w:rPr>
          <w:rFonts w:ascii="Verdana" w:hAnsi="Verdana"/>
        </w:rPr>
        <w:t>Selection algorithms: A heap allows access to the min or max element in constant time, and other selections (such as median or kth-element) can be done in sub-linear time on data that is in a heap.</w:t>
      </w:r>
    </w:p>
    <w:p w14:paraId="3370794F" w14:textId="77777777" w:rsidR="008829DB" w:rsidRPr="00C721D6" w:rsidRDefault="008829DB" w:rsidP="00E03457">
      <w:pPr>
        <w:pStyle w:val="ListParagraph"/>
        <w:numPr>
          <w:ilvl w:val="0"/>
          <w:numId w:val="2"/>
        </w:numPr>
        <w:jc w:val="both"/>
        <w:rPr>
          <w:rFonts w:ascii="Verdana" w:hAnsi="Verdana"/>
        </w:rPr>
      </w:pPr>
      <w:r w:rsidRPr="00C721D6">
        <w:rPr>
          <w:rFonts w:ascii="Verdana" w:hAnsi="Verdana"/>
        </w:rPr>
        <w:t>Graph algorithms: By using heaps as internal traversal data structures, run time will be reduced by polynomial order. Examples of such problems are Prim's minimal-spanning-tree algorithm and Dijkstra's shortest-path algorithm.</w:t>
      </w:r>
    </w:p>
    <w:p w14:paraId="7CEA9799" w14:textId="77777777" w:rsidR="008829DB" w:rsidRPr="00C721D6" w:rsidRDefault="008829DB" w:rsidP="00E03457">
      <w:pPr>
        <w:pStyle w:val="ListParagraph"/>
        <w:numPr>
          <w:ilvl w:val="0"/>
          <w:numId w:val="2"/>
        </w:numPr>
        <w:jc w:val="both"/>
        <w:rPr>
          <w:rFonts w:ascii="Verdana" w:hAnsi="Verdana"/>
        </w:rPr>
      </w:pPr>
      <w:r w:rsidRPr="00C721D6">
        <w:rPr>
          <w:rFonts w:ascii="Verdana" w:hAnsi="Verdana"/>
        </w:rPr>
        <w:t>Priority Queue: A priority queue is an abstract concept like "a list" or "a map"; just as a list can be implemented with a linked list or an array, a priority queue can be implemented with a heap or a variety of other methods.</w:t>
      </w:r>
    </w:p>
    <w:p w14:paraId="4EC6C8DC" w14:textId="77777777" w:rsidR="000F4AF1" w:rsidRPr="00C721D6" w:rsidRDefault="008829DB" w:rsidP="00E03457">
      <w:pPr>
        <w:pStyle w:val="ListParagraph"/>
        <w:numPr>
          <w:ilvl w:val="0"/>
          <w:numId w:val="2"/>
        </w:numPr>
        <w:jc w:val="both"/>
        <w:rPr>
          <w:rFonts w:ascii="Verdana" w:hAnsi="Verdana"/>
        </w:rPr>
      </w:pPr>
      <w:r w:rsidRPr="00C721D6">
        <w:rPr>
          <w:rFonts w:ascii="Verdana" w:hAnsi="Verdana"/>
        </w:rPr>
        <w:t>Order statistics: The Heap data structure can be used to efficiently find the kth smallest (or largest) element in an array.</w:t>
      </w:r>
    </w:p>
    <w:p w14:paraId="30E263D5" w14:textId="7D75BD3B" w:rsidR="00C721D6" w:rsidRPr="00C721D6" w:rsidRDefault="00C721D6" w:rsidP="00C721D6">
      <w:pPr>
        <w:pStyle w:val="Heading1"/>
        <w:rPr>
          <w:rFonts w:ascii="Verdana" w:hAnsi="Verdana"/>
        </w:rPr>
      </w:pPr>
      <w:r w:rsidRPr="00C721D6">
        <w:rPr>
          <w:rFonts w:ascii="Verdana" w:hAnsi="Verdana"/>
        </w:rPr>
        <w:t>References</w:t>
      </w:r>
    </w:p>
    <w:p w14:paraId="781C9DCB" w14:textId="3A426EC4" w:rsidR="00C721D6" w:rsidRPr="00C721D6" w:rsidRDefault="00C721D6" w:rsidP="00C721D6">
      <w:pPr>
        <w:jc w:val="both"/>
        <w:rPr>
          <w:rFonts w:ascii="Verdana" w:hAnsi="Verdana"/>
        </w:rPr>
      </w:pPr>
      <w:hyperlink r:id="rId6" w:history="1">
        <w:r w:rsidRPr="00C721D6">
          <w:rPr>
            <w:rStyle w:val="Hyperlink"/>
            <w:rFonts w:ascii="Verdana" w:hAnsi="Verdana"/>
          </w:rPr>
          <w:t>https://www.geeksforgeeks.org/heap-data-structure/</w:t>
        </w:r>
      </w:hyperlink>
    </w:p>
    <w:p w14:paraId="1F71D08D" w14:textId="77777777" w:rsidR="00C721D6" w:rsidRPr="00C721D6" w:rsidRDefault="00C721D6" w:rsidP="00C721D6">
      <w:pPr>
        <w:jc w:val="both"/>
        <w:rPr>
          <w:rFonts w:ascii="Verdana" w:hAnsi="Verdana"/>
        </w:rPr>
      </w:pPr>
    </w:p>
    <w:p w14:paraId="7CDE7685" w14:textId="77777777" w:rsidR="00C721D6" w:rsidRPr="00C721D6" w:rsidRDefault="00C721D6" w:rsidP="00C721D6">
      <w:pPr>
        <w:jc w:val="both"/>
        <w:rPr>
          <w:rFonts w:ascii="Verdana" w:hAnsi="Verdana"/>
        </w:rPr>
      </w:pPr>
    </w:p>
    <w:p w14:paraId="3B147890" w14:textId="77777777" w:rsidR="004D405F" w:rsidRPr="00C721D6" w:rsidRDefault="004D405F" w:rsidP="00B300FA">
      <w:pPr>
        <w:jc w:val="both"/>
        <w:rPr>
          <w:rFonts w:ascii="Verdana" w:hAnsi="Verdana"/>
        </w:rPr>
      </w:pPr>
    </w:p>
    <w:sectPr w:rsidR="004D405F" w:rsidRPr="00C7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2408"/>
    <w:multiLevelType w:val="hybridMultilevel"/>
    <w:tmpl w:val="230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97476"/>
    <w:multiLevelType w:val="hybridMultilevel"/>
    <w:tmpl w:val="4BB4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946812">
    <w:abstractNumId w:val="1"/>
  </w:num>
  <w:num w:numId="2" w16cid:durableId="49325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F0E"/>
    <w:rsid w:val="0007499B"/>
    <w:rsid w:val="00086496"/>
    <w:rsid w:val="00087F9A"/>
    <w:rsid w:val="000F4AF1"/>
    <w:rsid w:val="00204D9D"/>
    <w:rsid w:val="00320478"/>
    <w:rsid w:val="003E796D"/>
    <w:rsid w:val="0041239D"/>
    <w:rsid w:val="0041611A"/>
    <w:rsid w:val="00451CAF"/>
    <w:rsid w:val="004C2DF7"/>
    <w:rsid w:val="004D405F"/>
    <w:rsid w:val="004F7D89"/>
    <w:rsid w:val="00553D6C"/>
    <w:rsid w:val="00575A07"/>
    <w:rsid w:val="00594011"/>
    <w:rsid w:val="00621C6C"/>
    <w:rsid w:val="0070649E"/>
    <w:rsid w:val="007672D4"/>
    <w:rsid w:val="00804FBC"/>
    <w:rsid w:val="008829DB"/>
    <w:rsid w:val="008C73AA"/>
    <w:rsid w:val="0090576B"/>
    <w:rsid w:val="00914FB2"/>
    <w:rsid w:val="009B3F65"/>
    <w:rsid w:val="00A035D7"/>
    <w:rsid w:val="00A27C95"/>
    <w:rsid w:val="00A61640"/>
    <w:rsid w:val="00AB6658"/>
    <w:rsid w:val="00AC253D"/>
    <w:rsid w:val="00B1103E"/>
    <w:rsid w:val="00B230C4"/>
    <w:rsid w:val="00B300FA"/>
    <w:rsid w:val="00B37425"/>
    <w:rsid w:val="00C4612C"/>
    <w:rsid w:val="00C721D6"/>
    <w:rsid w:val="00DE1F0E"/>
    <w:rsid w:val="00E03457"/>
    <w:rsid w:val="00E32901"/>
    <w:rsid w:val="00F002AC"/>
    <w:rsid w:val="00FA771F"/>
    <w:rsid w:val="00FE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B407"/>
  <w15:chartTrackingRefBased/>
  <w15:docId w15:val="{024FB50A-F1FD-488C-89D7-24093E00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9B"/>
  </w:style>
  <w:style w:type="paragraph" w:styleId="Heading1">
    <w:name w:val="heading 1"/>
    <w:basedOn w:val="Normal"/>
    <w:next w:val="Normal"/>
    <w:link w:val="Heading1Char"/>
    <w:uiPriority w:val="9"/>
    <w:qFormat/>
    <w:rsid w:val="000749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499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7499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7499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7499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7499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749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499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749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9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499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7499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7499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7499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7499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74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499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74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499B"/>
    <w:pPr>
      <w:spacing w:line="240" w:lineRule="auto"/>
    </w:pPr>
    <w:rPr>
      <w:b/>
      <w:bCs/>
      <w:color w:val="5B9BD5" w:themeColor="accent1"/>
      <w:sz w:val="18"/>
      <w:szCs w:val="18"/>
    </w:rPr>
  </w:style>
  <w:style w:type="paragraph" w:styleId="Title">
    <w:name w:val="Title"/>
    <w:basedOn w:val="Normal"/>
    <w:next w:val="Normal"/>
    <w:link w:val="TitleChar"/>
    <w:uiPriority w:val="10"/>
    <w:qFormat/>
    <w:rsid w:val="0007499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49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7499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499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7499B"/>
    <w:rPr>
      <w:b/>
      <w:bCs/>
    </w:rPr>
  </w:style>
  <w:style w:type="character" w:styleId="Emphasis">
    <w:name w:val="Emphasis"/>
    <w:basedOn w:val="DefaultParagraphFont"/>
    <w:uiPriority w:val="20"/>
    <w:qFormat/>
    <w:rsid w:val="0007499B"/>
    <w:rPr>
      <w:i/>
      <w:iCs/>
    </w:rPr>
  </w:style>
  <w:style w:type="paragraph" w:styleId="NoSpacing">
    <w:name w:val="No Spacing"/>
    <w:uiPriority w:val="1"/>
    <w:qFormat/>
    <w:rsid w:val="0007499B"/>
    <w:pPr>
      <w:spacing w:after="0" w:line="240" w:lineRule="auto"/>
    </w:pPr>
  </w:style>
  <w:style w:type="paragraph" w:styleId="Quote">
    <w:name w:val="Quote"/>
    <w:basedOn w:val="Normal"/>
    <w:next w:val="Normal"/>
    <w:link w:val="QuoteChar"/>
    <w:uiPriority w:val="29"/>
    <w:qFormat/>
    <w:rsid w:val="0007499B"/>
    <w:rPr>
      <w:i/>
      <w:iCs/>
      <w:color w:val="000000" w:themeColor="text1"/>
    </w:rPr>
  </w:style>
  <w:style w:type="character" w:customStyle="1" w:styleId="QuoteChar">
    <w:name w:val="Quote Char"/>
    <w:basedOn w:val="DefaultParagraphFont"/>
    <w:link w:val="Quote"/>
    <w:uiPriority w:val="29"/>
    <w:rsid w:val="0007499B"/>
    <w:rPr>
      <w:i/>
      <w:iCs/>
      <w:color w:val="000000" w:themeColor="text1"/>
    </w:rPr>
  </w:style>
  <w:style w:type="paragraph" w:styleId="IntenseQuote">
    <w:name w:val="Intense Quote"/>
    <w:basedOn w:val="Normal"/>
    <w:next w:val="Normal"/>
    <w:link w:val="IntenseQuoteChar"/>
    <w:uiPriority w:val="30"/>
    <w:qFormat/>
    <w:rsid w:val="0007499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7499B"/>
    <w:rPr>
      <w:b/>
      <w:bCs/>
      <w:i/>
      <w:iCs/>
      <w:color w:val="5B9BD5" w:themeColor="accent1"/>
    </w:rPr>
  </w:style>
  <w:style w:type="character" w:styleId="SubtleEmphasis">
    <w:name w:val="Subtle Emphasis"/>
    <w:basedOn w:val="DefaultParagraphFont"/>
    <w:uiPriority w:val="19"/>
    <w:qFormat/>
    <w:rsid w:val="0007499B"/>
    <w:rPr>
      <w:i/>
      <w:iCs/>
      <w:color w:val="808080" w:themeColor="text1" w:themeTint="7F"/>
    </w:rPr>
  </w:style>
  <w:style w:type="character" w:styleId="IntenseEmphasis">
    <w:name w:val="Intense Emphasis"/>
    <w:basedOn w:val="DefaultParagraphFont"/>
    <w:uiPriority w:val="21"/>
    <w:qFormat/>
    <w:rsid w:val="0007499B"/>
    <w:rPr>
      <w:b/>
      <w:bCs/>
      <w:i/>
      <w:iCs/>
      <w:color w:val="5B9BD5" w:themeColor="accent1"/>
    </w:rPr>
  </w:style>
  <w:style w:type="character" w:styleId="SubtleReference">
    <w:name w:val="Subtle Reference"/>
    <w:basedOn w:val="DefaultParagraphFont"/>
    <w:uiPriority w:val="31"/>
    <w:qFormat/>
    <w:rsid w:val="0007499B"/>
    <w:rPr>
      <w:smallCaps/>
      <w:color w:val="ED7D31" w:themeColor="accent2"/>
      <w:u w:val="single"/>
    </w:rPr>
  </w:style>
  <w:style w:type="character" w:styleId="IntenseReference">
    <w:name w:val="Intense Reference"/>
    <w:basedOn w:val="DefaultParagraphFont"/>
    <w:uiPriority w:val="32"/>
    <w:qFormat/>
    <w:rsid w:val="0007499B"/>
    <w:rPr>
      <w:b/>
      <w:bCs/>
      <w:smallCaps/>
      <w:color w:val="ED7D31" w:themeColor="accent2"/>
      <w:spacing w:val="5"/>
      <w:u w:val="single"/>
    </w:rPr>
  </w:style>
  <w:style w:type="character" w:styleId="BookTitle">
    <w:name w:val="Book Title"/>
    <w:basedOn w:val="DefaultParagraphFont"/>
    <w:uiPriority w:val="33"/>
    <w:qFormat/>
    <w:rsid w:val="0007499B"/>
    <w:rPr>
      <w:b/>
      <w:bCs/>
      <w:smallCaps/>
      <w:spacing w:val="5"/>
    </w:rPr>
  </w:style>
  <w:style w:type="paragraph" w:styleId="TOCHeading">
    <w:name w:val="TOC Heading"/>
    <w:basedOn w:val="Heading1"/>
    <w:next w:val="Normal"/>
    <w:uiPriority w:val="39"/>
    <w:semiHidden/>
    <w:unhideWhenUsed/>
    <w:qFormat/>
    <w:rsid w:val="0007499B"/>
    <w:pPr>
      <w:outlineLvl w:val="9"/>
    </w:pPr>
  </w:style>
  <w:style w:type="paragraph" w:styleId="ListParagraph">
    <w:name w:val="List Paragraph"/>
    <w:basedOn w:val="Normal"/>
    <w:uiPriority w:val="34"/>
    <w:qFormat/>
    <w:rsid w:val="00B37425"/>
    <w:pPr>
      <w:ind w:left="720"/>
      <w:contextualSpacing/>
    </w:pPr>
  </w:style>
  <w:style w:type="character" w:styleId="Hyperlink">
    <w:name w:val="Hyperlink"/>
    <w:basedOn w:val="DefaultParagraphFont"/>
    <w:uiPriority w:val="99"/>
    <w:unhideWhenUsed/>
    <w:rsid w:val="009B3F65"/>
    <w:rPr>
      <w:color w:val="0563C1" w:themeColor="hyperlink"/>
      <w:u w:val="single"/>
    </w:rPr>
  </w:style>
  <w:style w:type="table" w:styleId="GridTable6Colorful-Accent5">
    <w:name w:val="Grid Table 6 Colorful Accent 5"/>
    <w:basedOn w:val="TableNormal"/>
    <w:uiPriority w:val="51"/>
    <w:rsid w:val="009B3F6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575A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72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0701">
      <w:bodyDiv w:val="1"/>
      <w:marLeft w:val="0"/>
      <w:marRight w:val="0"/>
      <w:marTop w:val="0"/>
      <w:marBottom w:val="0"/>
      <w:divBdr>
        <w:top w:val="none" w:sz="0" w:space="0" w:color="auto"/>
        <w:left w:val="none" w:sz="0" w:space="0" w:color="auto"/>
        <w:bottom w:val="none" w:sz="0" w:space="0" w:color="auto"/>
        <w:right w:val="none" w:sz="0" w:space="0" w:color="auto"/>
      </w:divBdr>
    </w:div>
    <w:div w:id="1093555455">
      <w:bodyDiv w:val="1"/>
      <w:marLeft w:val="0"/>
      <w:marRight w:val="0"/>
      <w:marTop w:val="0"/>
      <w:marBottom w:val="0"/>
      <w:divBdr>
        <w:top w:val="none" w:sz="0" w:space="0" w:color="auto"/>
        <w:left w:val="none" w:sz="0" w:space="0" w:color="auto"/>
        <w:bottom w:val="none" w:sz="0" w:space="0" w:color="auto"/>
        <w:right w:val="none" w:sz="0" w:space="0" w:color="auto"/>
      </w:divBdr>
    </w:div>
    <w:div w:id="109362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eap-data-stru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750</Words>
  <Characters>4275</Characters>
  <Application>Microsoft Office Word</Application>
  <DocSecurity>0</DocSecurity>
  <Lines>35</Lines>
  <Paragraphs>10</Paragraphs>
  <ScaleCrop>false</ScaleCrop>
  <Company>HCL Technologies</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188</cp:revision>
  <dcterms:created xsi:type="dcterms:W3CDTF">2018-04-23T11:17:00Z</dcterms:created>
  <dcterms:modified xsi:type="dcterms:W3CDTF">2025-04-06T14:48:00Z</dcterms:modified>
</cp:coreProperties>
</file>